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1.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oter7.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8.xml" ContentType="application/vnd.openxmlformats-officedocument.wordprocessingml.header+xml"/>
  <Override PartName="/word/footer10.xml" ContentType="application/vnd.openxmlformats-officedocument.wordprocessingml.footer+xml"/>
  <Override PartName="/word/header9.xml" ContentType="application/vnd.openxmlformats-officedocument.wordprocessingml.header+xml"/>
  <Override PartName="/word/footer11.xml" ContentType="application/vnd.openxmlformats-officedocument.wordprocessingml.footer+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drawings/drawing2.xml" ContentType="application/vnd.openxmlformats-officedocument.drawingml.chartshapes+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drawings/drawing3.xml" ContentType="application/vnd.openxmlformats-officedocument.drawingml.chartshapes+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4.xml" ContentType="application/vnd.openxmlformats-officedocument.themeOverride+xml"/>
  <Override PartName="/word/drawings/drawing4.xml" ContentType="application/vnd.openxmlformats-officedocument.drawingml.chartshapes+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5.xml" ContentType="application/vnd.openxmlformats-officedocument.themeOverride+xml"/>
  <Override PartName="/word/drawings/drawing5.xml" ContentType="application/vnd.openxmlformats-officedocument.drawingml.chartshapes+xml"/>
  <Override PartName="/word/charts/chart11.xml" ContentType="application/vnd.openxmlformats-officedocument.drawingml.chart+xml"/>
  <Override PartName="/word/theme/themeOverride6.xml" ContentType="application/vnd.openxmlformats-officedocument.themeOverride+xml"/>
  <Override PartName="/word/drawings/drawing6.xml" ContentType="application/vnd.openxmlformats-officedocument.drawingml.chartshapes+xml"/>
  <Override PartName="/word/charts/chart12.xml" ContentType="application/vnd.openxmlformats-officedocument.drawingml.chart+xml"/>
  <Override PartName="/word/theme/themeOverride7.xml" ContentType="application/vnd.openxmlformats-officedocument.themeOverride+xml"/>
  <Override PartName="/word/drawings/drawing7.xml" ContentType="application/vnd.openxmlformats-officedocument.drawingml.chartshapes+xml"/>
  <Override PartName="/word/charts/chart13.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8.xml" ContentType="application/vnd.openxmlformats-officedocument.themeOverride+xml"/>
  <Override PartName="/word/drawings/drawing8.xml" ContentType="application/vnd.openxmlformats-officedocument.drawingml.chartshapes+xml"/>
  <Override PartName="/word/charts/chart14.xml" ContentType="application/vnd.openxmlformats-officedocument.drawingml.chart+xml"/>
  <Override PartName="/word/charts/style12.xml" ContentType="application/vnd.ms-office.chartstyle+xml"/>
  <Override PartName="/word/charts/colors12.xml" ContentType="application/vnd.ms-office.chartcolorstyle+xml"/>
  <Override PartName="/word/drawings/drawing9.xml" ContentType="application/vnd.openxmlformats-officedocument.drawingml.chartshapes+xml"/>
  <Override PartName="/word/charts/chart15.xml" ContentType="application/vnd.openxmlformats-officedocument.drawingml.chart+xml"/>
  <Override PartName="/word/theme/themeOverride9.xml" ContentType="application/vnd.openxmlformats-officedocument.themeOverride+xml"/>
  <Override PartName="/word/drawings/drawing10.xml" ContentType="application/vnd.openxmlformats-officedocument.drawingml.chartshapes+xml"/>
  <Override PartName="/word/charts/chart16.xml" ContentType="application/vnd.openxmlformats-officedocument.drawingml.chart+xml"/>
  <Override PartName="/word/theme/themeOverride10.xml" ContentType="application/vnd.openxmlformats-officedocument.themeOverride+xml"/>
  <Override PartName="/word/drawings/drawing11.xml" ContentType="application/vnd.openxmlformats-officedocument.drawingml.chartshapes+xml"/>
  <Override PartName="/word/charts/chart17.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1.xml" ContentType="application/vnd.openxmlformats-officedocument.themeOverride+xml"/>
  <Override PartName="/word/charts/chart18.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2.xml" ContentType="application/vnd.openxmlformats-officedocument.themeOverride+xml"/>
  <Override PartName="/word/charts/chart19.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3.xml" ContentType="application/vnd.openxmlformats-officedocument.themeOverride+xml"/>
  <Override PartName="/word/charts/chart20.xml" ContentType="application/vnd.openxmlformats-officedocument.drawingml.chart+xml"/>
  <Override PartName="/word/theme/themeOverride14.xml" ContentType="application/vnd.openxmlformats-officedocument.themeOverride+xml"/>
  <Override PartName="/word/charts/chart21.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15.xml" ContentType="application/vnd.openxmlformats-officedocument.themeOverride+xml"/>
  <Override PartName="/word/charts/chart22.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16.xml" ContentType="application/vnd.openxmlformats-officedocument.themeOverride+xml"/>
  <Override PartName="/word/charts/chart23.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17.xml" ContentType="application/vnd.openxmlformats-officedocument.themeOverride+xml"/>
  <Override PartName="/word/charts/chart24.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18.xml" ContentType="application/vnd.openxmlformats-officedocument.themeOverride+xml"/>
  <Override PartName="/word/charts/chart25.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19.xml" ContentType="application/vnd.openxmlformats-officedocument.themeOverride+xml"/>
  <Override PartName="/word/charts/chart26.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20.xml" ContentType="application/vnd.openxmlformats-officedocument.themeOverride+xml"/>
  <Override PartName="/word/charts/chart27.xml" ContentType="application/vnd.openxmlformats-officedocument.drawingml.chart+xml"/>
  <Override PartName="/word/charts/style22.xml" ContentType="application/vnd.ms-office.chartstyle+xml"/>
  <Override PartName="/word/charts/colors22.xml" ContentType="application/vnd.ms-office.chartcolorstyle+xml"/>
  <Override PartName="/word/theme/themeOverride21.xml" ContentType="application/vnd.openxmlformats-officedocument.themeOverride+xml"/>
  <Override PartName="/word/charts/chart28.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22.xml" ContentType="application/vnd.openxmlformats-officedocument.themeOverride+xml"/>
  <Override PartName="/word/charts/chart29.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23.xml" ContentType="application/vnd.openxmlformats-officedocument.themeOverride+xml"/>
  <Override PartName="/word/charts/chart30.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24.xml" ContentType="application/vnd.openxmlformats-officedocument.themeOverride+xml"/>
  <Override PartName="/word/charts/chart31.xml" ContentType="application/vnd.openxmlformats-officedocument.drawingml.chart+xml"/>
  <Override PartName="/word/charts/style26.xml" ContentType="application/vnd.ms-office.chartstyle+xml"/>
  <Override PartName="/word/charts/colors26.xml" ContentType="application/vnd.ms-office.chartcolorstyle+xml"/>
  <Override PartName="/word/theme/themeOverride25.xml" ContentType="application/vnd.openxmlformats-officedocument.themeOverride+xml"/>
  <Override PartName="/word/charts/chart32.xml" ContentType="application/vnd.openxmlformats-officedocument.drawingml.chart+xml"/>
  <Override PartName="/word/charts/style27.xml" ContentType="application/vnd.ms-office.chartstyle+xml"/>
  <Override PartName="/word/charts/colors27.xml" ContentType="application/vnd.ms-office.chartcolorstyle+xml"/>
  <Override PartName="/word/theme/themeOverride26.xml" ContentType="application/vnd.openxmlformats-officedocument.themeOverride+xml"/>
  <Override PartName="/word/charts/chart33.xml" ContentType="application/vnd.openxmlformats-officedocument.drawingml.chart+xml"/>
  <Override PartName="/word/charts/style28.xml" ContentType="application/vnd.ms-office.chartstyle+xml"/>
  <Override PartName="/word/charts/colors28.xml" ContentType="application/vnd.ms-office.chartcolorstyle+xml"/>
  <Override PartName="/word/theme/themeOverride27.xml" ContentType="application/vnd.openxmlformats-officedocument.themeOverride+xml"/>
  <Override PartName="/word/charts/chart34.xml" ContentType="application/vnd.openxmlformats-officedocument.drawingml.chart+xml"/>
  <Override PartName="/word/charts/style29.xml" ContentType="application/vnd.ms-office.chartstyle+xml"/>
  <Override PartName="/word/charts/colors29.xml" ContentType="application/vnd.ms-office.chartcolorstyle+xml"/>
  <Override PartName="/word/theme/themeOverride28.xml" ContentType="application/vnd.openxmlformats-officedocument.themeOverride+xml"/>
  <Override PartName="/word/drawings/drawing12.xml" ContentType="application/vnd.openxmlformats-officedocument.drawingml.chartshapes+xml"/>
  <Override PartName="/word/charts/chart35.xml" ContentType="application/vnd.openxmlformats-officedocument.drawingml.chart+xml"/>
  <Override PartName="/word/charts/style30.xml" ContentType="application/vnd.ms-office.chartstyle+xml"/>
  <Override PartName="/word/charts/colors30.xml" ContentType="application/vnd.ms-office.chartcolorstyle+xml"/>
  <Override PartName="/word/theme/themeOverride29.xml" ContentType="application/vnd.openxmlformats-officedocument.themeOverride+xml"/>
  <Override PartName="/word/drawings/drawing13.xml" ContentType="application/vnd.openxmlformats-officedocument.drawingml.chartshapes+xml"/>
  <Override PartName="/word/charts/chart36.xml" ContentType="application/vnd.openxmlformats-officedocument.drawingml.chart+xml"/>
  <Override PartName="/word/charts/style31.xml" ContentType="application/vnd.ms-office.chartstyle+xml"/>
  <Override PartName="/word/charts/colors31.xml" ContentType="application/vnd.ms-office.chartcolorstyle+xml"/>
  <Override PartName="/word/theme/themeOverride30.xml" ContentType="application/vnd.openxmlformats-officedocument.themeOverride+xml"/>
  <Override PartName="/word/charts/chart37.xml" ContentType="application/vnd.openxmlformats-officedocument.drawingml.chart+xml"/>
  <Override PartName="/word/charts/style32.xml" ContentType="application/vnd.ms-office.chartstyle+xml"/>
  <Override PartName="/word/charts/colors32.xml" ContentType="application/vnd.ms-office.chartcolorstyle+xml"/>
  <Override PartName="/word/theme/themeOverride31.xml" ContentType="application/vnd.openxmlformats-officedocument.themeOverride+xml"/>
  <Override PartName="/word/charts/chart38.xml" ContentType="application/vnd.openxmlformats-officedocument.drawingml.chart+xml"/>
  <Override PartName="/word/charts/style33.xml" ContentType="application/vnd.ms-office.chartstyle+xml"/>
  <Override PartName="/word/charts/colors33.xml" ContentType="application/vnd.ms-office.chartcolorstyle+xml"/>
  <Override PartName="/word/theme/themeOverride32.xml" ContentType="application/vnd.openxmlformats-officedocument.themeOverride+xml"/>
  <Override PartName="/word/charts/chart39.xml" ContentType="application/vnd.openxmlformats-officedocument.drawingml.chart+xml"/>
  <Override PartName="/word/charts/style34.xml" ContentType="application/vnd.ms-office.chartstyle+xml"/>
  <Override PartName="/word/charts/colors34.xml" ContentType="application/vnd.ms-office.chartcolorstyle+xml"/>
  <Override PartName="/word/theme/themeOverride33.xml" ContentType="application/vnd.openxmlformats-officedocument.themeOverride+xml"/>
  <Override PartName="/word/charts/chart40.xml" ContentType="application/vnd.openxmlformats-officedocument.drawingml.chart+xml"/>
  <Override PartName="/word/charts/style35.xml" ContentType="application/vnd.ms-office.chartstyle+xml"/>
  <Override PartName="/word/charts/colors35.xml" ContentType="application/vnd.ms-office.chartcolorstyle+xml"/>
  <Override PartName="/word/theme/themeOverride34.xml" ContentType="application/vnd.openxmlformats-officedocument.themeOverride+xml"/>
  <Override PartName="/word/charts/chart41.xml" ContentType="application/vnd.openxmlformats-officedocument.drawingml.chart+xml"/>
  <Override PartName="/word/charts/style36.xml" ContentType="application/vnd.ms-office.chartstyle+xml"/>
  <Override PartName="/word/charts/colors36.xml" ContentType="application/vnd.ms-office.chartcolorstyle+xml"/>
  <Override PartName="/word/theme/themeOverride35.xml" ContentType="application/vnd.openxmlformats-officedocument.themeOverride+xml"/>
  <Override PartName="/word/charts/chart42.xml" ContentType="application/vnd.openxmlformats-officedocument.drawingml.chart+xml"/>
  <Override PartName="/word/charts/style37.xml" ContentType="application/vnd.ms-office.chartstyle+xml"/>
  <Override PartName="/word/charts/colors37.xml" ContentType="application/vnd.ms-office.chartcolorstyle+xml"/>
  <Override PartName="/word/theme/themeOverride36.xml" ContentType="application/vnd.openxmlformats-officedocument.themeOverride+xml"/>
  <Override PartName="/word/drawings/drawing14.xml" ContentType="application/vnd.openxmlformats-officedocument.drawingml.chartshapes+xml"/>
  <Override PartName="/word/header10.xml" ContentType="application/vnd.openxmlformats-officedocument.wordprocessingml.header+xml"/>
  <Override PartName="/word/footer12.xml" ContentType="application/vnd.openxmlformats-officedocument.wordprocessingml.footer+xml"/>
  <Override PartName="/word/charts/chart43.xml" ContentType="application/vnd.openxmlformats-officedocument.drawingml.chart+xml"/>
  <Override PartName="/word/charts/style38.xml" ContentType="application/vnd.ms-office.chartstyle+xml"/>
  <Override PartName="/word/charts/colors38.xml" ContentType="application/vnd.ms-office.chartcolorstyle+xml"/>
  <Override PartName="/word/theme/themeOverride37.xml" ContentType="application/vnd.openxmlformats-officedocument.themeOverride+xml"/>
  <Override PartName="/word/drawings/drawing15.xml" ContentType="application/vnd.openxmlformats-officedocument.drawingml.chartshapes+xml"/>
  <Override PartName="/word/charts/chart44.xml" ContentType="application/vnd.openxmlformats-officedocument.drawingml.chart+xml"/>
  <Override PartName="/word/charts/style39.xml" ContentType="application/vnd.ms-office.chartstyle+xml"/>
  <Override PartName="/word/charts/colors39.xml" ContentType="application/vnd.ms-office.chartcolorstyle+xml"/>
  <Override PartName="/word/theme/themeOverride38.xml" ContentType="application/vnd.openxmlformats-officedocument.themeOverride+xml"/>
  <Override PartName="/word/drawings/drawing16.xml" ContentType="application/vnd.openxmlformats-officedocument.drawingml.chartshapes+xml"/>
  <Override PartName="/word/charts/chart45.xml" ContentType="application/vnd.openxmlformats-officedocument.drawingml.chart+xml"/>
  <Override PartName="/word/theme/themeOverride39.xml" ContentType="application/vnd.openxmlformats-officedocument.themeOverride+xml"/>
  <Override PartName="/word/charts/chart46.xml" ContentType="application/vnd.openxmlformats-officedocument.drawingml.chart+xml"/>
  <Override PartName="/word/charts/style40.xml" ContentType="application/vnd.ms-office.chartstyle+xml"/>
  <Override PartName="/word/charts/colors40.xml" ContentType="application/vnd.ms-office.chartcolorstyle+xml"/>
  <Override PartName="/word/theme/themeOverride40.xml" ContentType="application/vnd.openxmlformats-officedocument.themeOverride+xml"/>
  <Override PartName="/word/drawings/drawing17.xml" ContentType="application/vnd.openxmlformats-officedocument.drawingml.chartshapes+xml"/>
  <Override PartName="/word/charts/chart47.xml" ContentType="application/vnd.openxmlformats-officedocument.drawingml.chart+xml"/>
  <Override PartName="/word/charts/style41.xml" ContentType="application/vnd.ms-office.chartstyle+xml"/>
  <Override PartName="/word/charts/colors41.xml" ContentType="application/vnd.ms-office.chartcolorstyle+xml"/>
  <Override PartName="/word/theme/themeOverride41.xml" ContentType="application/vnd.openxmlformats-officedocument.themeOverride+xml"/>
  <Override PartName="/word/charts/chart48.xml" ContentType="application/vnd.openxmlformats-officedocument.drawingml.chart+xml"/>
  <Override PartName="/word/theme/themeOverride42.xml" ContentType="application/vnd.openxmlformats-officedocument.themeOverride+xml"/>
  <Override PartName="/word/drawings/drawing18.xml" ContentType="application/vnd.openxmlformats-officedocument.drawingml.chartshapes+xml"/>
  <Override PartName="/word/charts/chart49.xml" ContentType="application/vnd.openxmlformats-officedocument.drawingml.chart+xml"/>
  <Override PartName="/word/charts/style42.xml" ContentType="application/vnd.ms-office.chartstyle+xml"/>
  <Override PartName="/word/charts/colors42.xml" ContentType="application/vnd.ms-office.chartcolorstyle+xml"/>
  <Override PartName="/word/theme/themeOverride43.xml" ContentType="application/vnd.openxmlformats-officedocument.themeOverride+xml"/>
  <Override PartName="/word/header11.xml" ContentType="application/vnd.openxmlformats-officedocument.wordprocessingml.header+xml"/>
  <Override PartName="/word/footer13.xml" ContentType="application/vnd.openxmlformats-officedocument.wordprocessingml.footer+xml"/>
  <Override PartName="/word/charts/chart50.xml" ContentType="application/vnd.openxmlformats-officedocument.drawingml.chart+xml"/>
  <Override PartName="/word/charts/style43.xml" ContentType="application/vnd.ms-office.chartstyle+xml"/>
  <Override PartName="/word/charts/colors43.xml" ContentType="application/vnd.ms-office.chartcolorstyle+xml"/>
  <Override PartName="/word/theme/themeOverride44.xml" ContentType="application/vnd.openxmlformats-officedocument.themeOverride+xml"/>
  <Override PartName="/word/charts/chart51.xml" ContentType="application/vnd.openxmlformats-officedocument.drawingml.chart+xml"/>
  <Override PartName="/word/charts/style44.xml" ContentType="application/vnd.ms-office.chartstyle+xml"/>
  <Override PartName="/word/charts/colors44.xml" ContentType="application/vnd.ms-office.chartcolorstyle+xml"/>
  <Override PartName="/word/theme/themeOverride45.xml" ContentType="application/vnd.openxmlformats-officedocument.themeOverride+xml"/>
  <Override PartName="/word/charts/chart52.xml" ContentType="application/vnd.openxmlformats-officedocument.drawingml.chart+xml"/>
  <Override PartName="/word/charts/style45.xml" ContentType="application/vnd.ms-office.chartstyle+xml"/>
  <Override PartName="/word/charts/colors45.xml" ContentType="application/vnd.ms-office.chartcolorstyle+xml"/>
  <Override PartName="/word/theme/themeOverride46.xml" ContentType="application/vnd.openxmlformats-officedocument.themeOverride+xml"/>
  <Override PartName="/word/charts/chart53.xml" ContentType="application/vnd.openxmlformats-officedocument.drawingml.chart+xml"/>
  <Override PartName="/word/charts/style46.xml" ContentType="application/vnd.ms-office.chartstyle+xml"/>
  <Override PartName="/word/charts/colors46.xml" ContentType="application/vnd.ms-office.chartcolorstyle+xml"/>
  <Override PartName="/word/theme/themeOverride47.xml" ContentType="application/vnd.openxmlformats-officedocument.themeOverride+xml"/>
  <Override PartName="/word/drawings/drawing19.xml" ContentType="application/vnd.openxmlformats-officedocument.drawingml.chartshapes+xml"/>
  <Override PartName="/word/charts/chart54.xml" ContentType="application/vnd.openxmlformats-officedocument.drawingml.chart+xml"/>
  <Override PartName="/word/charts/style47.xml" ContentType="application/vnd.ms-office.chartstyle+xml"/>
  <Override PartName="/word/charts/colors47.xml" ContentType="application/vnd.ms-office.chartcolorstyle+xml"/>
  <Override PartName="/word/theme/themeOverride48.xml" ContentType="application/vnd.openxmlformats-officedocument.themeOverride+xml"/>
  <Override PartName="/word/drawings/drawing20.xml" ContentType="application/vnd.openxmlformats-officedocument.drawingml.chartshapes+xml"/>
  <Override PartName="/word/charts/chart55.xml" ContentType="application/vnd.openxmlformats-officedocument.drawingml.chart+xml"/>
  <Override PartName="/word/charts/style48.xml" ContentType="application/vnd.ms-office.chartstyle+xml"/>
  <Override PartName="/word/charts/colors48.xml" ContentType="application/vnd.ms-office.chartcolorstyle+xml"/>
  <Override PartName="/word/charts/chart56.xml" ContentType="application/vnd.openxmlformats-officedocument.drawingml.chart+xml"/>
  <Override PartName="/word/theme/themeOverride49.xml" ContentType="application/vnd.openxmlformats-officedocument.themeOverride+xml"/>
  <Override PartName="/word/charts/chart57.xml" ContentType="application/vnd.openxmlformats-officedocument.drawingml.chart+xml"/>
  <Override PartName="/word/charts/style49.xml" ContentType="application/vnd.ms-office.chartstyle+xml"/>
  <Override PartName="/word/charts/colors49.xml" ContentType="application/vnd.ms-office.chartcolorstyle+xml"/>
  <Override PartName="/word/theme/themeOverride50.xml" ContentType="application/vnd.openxmlformats-officedocument.themeOverride+xml"/>
  <Override PartName="/word/drawings/drawing21.xml" ContentType="application/vnd.openxmlformats-officedocument.drawingml.chartshapes+xml"/>
  <Override PartName="/word/charts/chart58.xml" ContentType="application/vnd.openxmlformats-officedocument.drawingml.chart+xml"/>
  <Override PartName="/word/charts/style50.xml" ContentType="application/vnd.ms-office.chartstyle+xml"/>
  <Override PartName="/word/charts/colors50.xml" ContentType="application/vnd.ms-office.chartcolorstyle+xml"/>
  <Override PartName="/word/theme/themeOverride51.xml" ContentType="application/vnd.openxmlformats-officedocument.themeOverride+xml"/>
  <Override PartName="/word/drawings/drawing22.xml" ContentType="application/vnd.openxmlformats-officedocument.drawingml.chartshapes+xml"/>
  <Override PartName="/word/header12.xml" ContentType="application/vnd.openxmlformats-officedocument.wordprocessingml.header+xml"/>
  <Override PartName="/word/header13.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charts/chart59.xml" ContentType="application/vnd.openxmlformats-officedocument.drawingml.chart+xml"/>
  <Override PartName="/word/charts/style51.xml" ContentType="application/vnd.ms-office.chartstyle+xml"/>
  <Override PartName="/word/charts/colors51.xml" ContentType="application/vnd.ms-office.chartcolorstyle+xml"/>
  <Override PartName="/word/header23.xml" ContentType="application/vnd.openxmlformats-officedocument.wordprocessingml.header+xml"/>
  <Override PartName="/word/header24.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0.xml" ContentType="application/vnd.openxmlformats-officedocument.wordprocessingml.header+xml"/>
  <Override PartName="/word/charts/chart60.xml" ContentType="application/vnd.openxmlformats-officedocument.drawingml.chart+xml"/>
  <Override PartName="/word/charts/style52.xml" ContentType="application/vnd.ms-office.chartstyle+xml"/>
  <Override PartName="/word/charts/colors52.xml" ContentType="application/vnd.ms-office.chartcolorstyle+xml"/>
  <Override PartName="/word/theme/themeOverride52.xml" ContentType="application/vnd.openxmlformats-officedocument.themeOverride+xml"/>
  <Override PartName="/word/charts/chart61.xml" ContentType="application/vnd.openxmlformats-officedocument.drawingml.chart+xml"/>
  <Override PartName="/word/charts/style53.xml" ContentType="application/vnd.ms-office.chartstyle+xml"/>
  <Override PartName="/word/charts/colors53.xml" ContentType="application/vnd.ms-office.chartcolorstyle+xml"/>
  <Override PartName="/word/theme/themeOverride53.xml" ContentType="application/vnd.openxmlformats-officedocument.themeOverride+xml"/>
  <Override PartName="/word/drawings/drawing23.xml" ContentType="application/vnd.openxmlformats-officedocument.drawingml.chartshapes+xml"/>
  <Override PartName="/word/charts/chart62.xml" ContentType="application/vnd.openxmlformats-officedocument.drawingml.chart+xml"/>
  <Override PartName="/word/charts/style54.xml" ContentType="application/vnd.ms-office.chartstyle+xml"/>
  <Override PartName="/word/charts/colors54.xml" ContentType="application/vnd.ms-office.chartcolorstyle+xml"/>
  <Override PartName="/word/theme/themeOverride54.xml" ContentType="application/vnd.openxmlformats-officedocument.themeOverride+xml"/>
  <Override PartName="/word/drawings/drawing24.xml" ContentType="application/vnd.openxmlformats-officedocument.drawingml.chartshapes+xml"/>
  <Override PartName="/word/header31.xml" ContentType="application/vnd.openxmlformats-officedocument.wordprocessingml.header+xml"/>
  <Override PartName="/word/header32.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7.xml" ContentType="application/vnd.openxmlformats-officedocument.wordprocessingml.header+xml"/>
  <Override PartName="/word/charts/chart63.xml" ContentType="application/vnd.openxmlformats-officedocument.drawingml.chart+xml"/>
  <Override PartName="/word/theme/themeOverride55.xml" ContentType="application/vnd.openxmlformats-officedocument.themeOverride+xml"/>
  <Override PartName="/word/drawings/drawing25.xml" ContentType="application/vnd.openxmlformats-officedocument.drawingml.chartshapes+xml"/>
  <Override PartName="/word/footer34.xml" ContentType="application/vnd.openxmlformats-officedocument.wordprocessingml.footer+xml"/>
  <Override PartName="/word/footer35.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36.xml" ContentType="application/vnd.openxmlformats-officedocument.wordprocessingml.footer+xml"/>
  <Override PartName="/word/header40.xml" ContentType="application/vnd.openxmlformats-officedocument.wordprocessingml.header+xml"/>
  <Override PartName="/word/footer37.xml" ContentType="application/vnd.openxmlformats-officedocument.wordprocessingml.footer+xml"/>
  <Override PartName="/word/header41.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5.xml" ContentType="application/vnd.openxmlformats-officedocument.wordprocessingml.header+xml"/>
  <Override PartName="/word/charts/chart64.xml" ContentType="application/vnd.openxmlformats-officedocument.drawingml.chart+xml"/>
  <Override PartName="/word/charts/style55.xml" ContentType="application/vnd.ms-office.chartstyle+xml"/>
  <Override PartName="/word/charts/colors55.xml" ContentType="application/vnd.ms-office.chartcolorstyle+xml"/>
  <Override PartName="/word/theme/themeOverride56.xml" ContentType="application/vnd.openxmlformats-officedocument.themeOverride+xml"/>
  <Override PartName="/word/charts/chart65.xml" ContentType="application/vnd.openxmlformats-officedocument.drawingml.chart+xml"/>
  <Override PartName="/word/charts/style56.xml" ContentType="application/vnd.ms-office.chartstyle+xml"/>
  <Override PartName="/word/charts/colors56.xml" ContentType="application/vnd.ms-office.chartcolorstyle+xml"/>
  <Override PartName="/word/theme/themeOverride57.xml" ContentType="application/vnd.openxmlformats-officedocument.themeOverride+xml"/>
  <Override PartName="/word/header46.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header47.xml" ContentType="application/vnd.openxmlformats-officedocument.wordprocessingml.header+xml"/>
  <Override PartName="/word/charts/chart66.xml" ContentType="application/vnd.openxmlformats-officedocument.drawingml.chart+xml"/>
  <Override PartName="/word/theme/themeOverride58.xml" ContentType="application/vnd.openxmlformats-officedocument.themeOverride+xml"/>
  <Override PartName="/word/charts/chart67.xml" ContentType="application/vnd.openxmlformats-officedocument.drawingml.chart+xml"/>
  <Override PartName="/word/charts/style57.xml" ContentType="application/vnd.ms-office.chartstyle+xml"/>
  <Override PartName="/word/charts/colors57.xml" ContentType="application/vnd.ms-office.chartcolorstyle+xml"/>
  <Override PartName="/word/drawings/drawing26.xml" ContentType="application/vnd.openxmlformats-officedocument.drawingml.chartshapes+xml"/>
  <Override PartName="/word/charts/chart68.xml" ContentType="application/vnd.openxmlformats-officedocument.drawingml.chart+xml"/>
  <Override PartName="/word/charts/style58.xml" ContentType="application/vnd.ms-office.chartstyle+xml"/>
  <Override PartName="/word/charts/colors58.xml" ContentType="application/vnd.ms-office.chartcolorstyle+xml"/>
  <Override PartName="/word/drawings/drawing27.xml" ContentType="application/vnd.openxmlformats-officedocument.drawingml.chartshapes+xml"/>
  <Override PartName="/word/header48.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49.xml" ContentType="application/vnd.openxmlformats-officedocument.wordprocessingml.header+xml"/>
  <Override PartName="/word/charts/chart69.xml" ContentType="application/vnd.openxmlformats-officedocument.drawingml.chart+xml"/>
  <Override PartName="/word/charts/style59.xml" ContentType="application/vnd.ms-office.chartstyle+xml"/>
  <Override PartName="/word/charts/colors59.xml" ContentType="application/vnd.ms-office.chartcolorstyle+xml"/>
  <Override PartName="/word/drawings/drawing28.xml" ContentType="application/vnd.openxmlformats-officedocument.drawingml.chartshapes+xml"/>
  <Override PartName="/word/charts/chart70.xml" ContentType="application/vnd.openxmlformats-officedocument.drawingml.chart+xml"/>
  <Override PartName="/word/charts/style60.xml" ContentType="application/vnd.ms-office.chartstyle+xml"/>
  <Override PartName="/word/charts/colors60.xml" ContentType="application/vnd.ms-office.chartcolorstyle+xml"/>
  <Override PartName="/word/drawings/drawing29.xml" ContentType="application/vnd.openxmlformats-officedocument.drawingml.chartshapes+xml"/>
  <Override PartName="/word/charts/chart71.xml" ContentType="application/vnd.openxmlformats-officedocument.drawingml.chart+xml"/>
  <Override PartName="/word/theme/themeOverride59.xml" ContentType="application/vnd.openxmlformats-officedocument.themeOverride+xml"/>
  <Override PartName="/word/drawings/drawing30.xml" ContentType="application/vnd.openxmlformats-officedocument.drawingml.chartshapes+xml"/>
  <Override PartName="/word/header50.xml" ContentType="application/vnd.openxmlformats-officedocument.wordprocessingml.header+xml"/>
  <Override PartName="/word/header51.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header54.xml" ContentType="application/vnd.openxmlformats-officedocument.wordprocessingml.header+xml"/>
  <Override PartName="/word/charts/chart72.xml" ContentType="application/vnd.openxmlformats-officedocument.drawingml.chart+xml"/>
  <Override PartName="/word/charts/style61.xml" ContentType="application/vnd.ms-office.chartstyle+xml"/>
  <Override PartName="/word/charts/colors61.xml" ContentType="application/vnd.ms-office.chartcolorstyle+xml"/>
  <Override PartName="/word/charts/chart73.xml" ContentType="application/vnd.openxmlformats-officedocument.drawingml.chart+xml"/>
  <Override PartName="/word/charts/style62.xml" ContentType="application/vnd.ms-office.chartstyle+xml"/>
  <Override PartName="/word/charts/colors62.xml" ContentType="application/vnd.ms-office.chartcolorstyle+xml"/>
  <Override PartName="/word/charts/chart74.xml" ContentType="application/vnd.openxmlformats-officedocument.drawingml.chart+xml"/>
  <Override PartName="/word/charts/style63.xml" ContentType="application/vnd.ms-office.chartstyle+xml"/>
  <Override PartName="/word/charts/colors63.xml" ContentType="application/vnd.ms-office.chartcolorstyle+xml"/>
  <Override PartName="/word/drawings/drawing31.xml" ContentType="application/vnd.openxmlformats-officedocument.drawingml.chartshapes+xml"/>
  <Override PartName="/word/header55.xml" ContentType="application/vnd.openxmlformats-officedocument.wordprocessingml.header+xml"/>
  <Override PartName="/word/header56.xml" ContentType="application/vnd.openxmlformats-officedocument.wordprocessingml.header+xml"/>
  <Override PartName="/word/footer50.xml" ContentType="application/vnd.openxmlformats-officedocument.wordprocessingml.footer+xml"/>
  <Override PartName="/word/footer51.xml" ContentType="application/vnd.openxmlformats-officedocument.wordprocessingml.footer+xml"/>
  <Override PartName="/word/header57.xml" ContentType="application/vnd.openxmlformats-officedocument.wordprocessingml.header+xml"/>
  <Override PartName="/word/charts/chart75.xml" ContentType="application/vnd.openxmlformats-officedocument.drawingml.chart+xml"/>
  <Override PartName="/word/theme/themeOverride60.xml" ContentType="application/vnd.openxmlformats-officedocument.themeOverride+xml"/>
  <Override PartName="/word/charts/chart76.xml" ContentType="application/vnd.openxmlformats-officedocument.drawingml.chart+xml"/>
  <Override PartName="/word/theme/themeOverride61.xml" ContentType="application/vnd.openxmlformats-officedocument.themeOverride+xml"/>
  <Override PartName="/word/charts/chart77.xml" ContentType="application/vnd.openxmlformats-officedocument.drawingml.chart+xml"/>
  <Override PartName="/word/theme/themeOverride62.xml" ContentType="application/vnd.openxmlformats-officedocument.themeOverride+xml"/>
  <Override PartName="/word/charts/chart78.xml" ContentType="application/vnd.openxmlformats-officedocument.drawingml.chart+xml"/>
  <Override PartName="/word/header58.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9.xml" ContentType="application/vnd.openxmlformats-officedocument.wordprocessingml.header+xml"/>
  <Override PartName="/word/footer54.xml" ContentType="application/vnd.openxmlformats-officedocument.wordprocessingml.footer+xml"/>
  <Override PartName="/word/charts/chart79.xml" ContentType="application/vnd.openxmlformats-officedocument.drawingml.chart+xml"/>
  <Override PartName="/word/theme/themeOverride63.xml" ContentType="application/vnd.openxmlformats-officedocument.themeOverride+xml"/>
  <Override PartName="/word/charts/chart80.xml" ContentType="application/vnd.openxmlformats-officedocument.drawingml.chart+xml"/>
  <Override PartName="/word/charts/chart81.xml" ContentType="application/vnd.openxmlformats-officedocument.drawingml.chart+xml"/>
  <Override PartName="/word/charts/style64.xml" ContentType="application/vnd.ms-office.chartstyle+xml"/>
  <Override PartName="/word/charts/colors64.xml" ContentType="application/vnd.ms-office.chartcolorstyle+xml"/>
  <Override PartName="/word/header60.xml" ContentType="application/vnd.openxmlformats-officedocument.wordprocessingml.header+xml"/>
  <Override PartName="/word/header61.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62.xml" ContentType="application/vnd.openxmlformats-officedocument.wordprocessingml.header+xml"/>
  <Override PartName="/word/footer5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257407" w14:textId="0B19132C" w:rsidR="003C384E" w:rsidRPr="001E6302" w:rsidRDefault="003C384E" w:rsidP="003C3685">
      <w:pPr>
        <w:spacing w:before="240"/>
        <w:ind w:firstLine="720"/>
        <w:rPr>
          <w:rFonts w:cstheme="minorHAnsi"/>
          <w:sz w:val="48"/>
          <w:szCs w:val="64"/>
          <w:lang w:val="sr-Cyrl-RS"/>
        </w:rPr>
      </w:pPr>
      <w:r w:rsidRPr="001E6302">
        <w:rPr>
          <w:rFonts w:ascii="Calibri" w:eastAsia="Calibri" w:hAnsi="Calibri" w:cs="Calibri"/>
          <w:bCs/>
          <w:szCs w:val="72"/>
          <w:lang w:val="sr-Cyrl-RS"/>
        </w:rPr>
        <w:t xml:space="preserve">На основу члана 27в став 1. и члана 31. став 1. тачка 1) </w:t>
      </w:r>
      <w:r w:rsidR="001E6302" w:rsidRPr="001E6302">
        <w:rPr>
          <w:rFonts w:ascii="Calibri" w:eastAsia="Calibri" w:hAnsi="Calibri" w:cs="Calibri"/>
          <w:bCs/>
          <w:szCs w:val="72"/>
          <w:lang w:val="sr-Cyrl-RS"/>
        </w:rPr>
        <w:t xml:space="preserve">подтач. </w:t>
      </w:r>
      <w:r w:rsidRPr="001E6302">
        <w:rPr>
          <w:rFonts w:ascii="Calibri" w:eastAsia="Calibri" w:hAnsi="Calibri" w:cs="Calibri"/>
          <w:bCs/>
          <w:szCs w:val="72"/>
          <w:lang w:val="sr-Cyrl-RS"/>
        </w:rPr>
        <w:t>(</w:t>
      </w:r>
      <w:r w:rsidR="006272DB" w:rsidRPr="000979D4">
        <w:rPr>
          <w:rFonts w:ascii="Calibri" w:eastAsia="Calibri" w:hAnsi="Calibri" w:cs="Calibri"/>
          <w:bCs/>
          <w:szCs w:val="72"/>
          <w:lang w:val="sr-Cyrl-RS"/>
        </w:rPr>
        <w:t>12</w:t>
      </w:r>
      <w:r w:rsidRPr="001E6302">
        <w:rPr>
          <w:rFonts w:ascii="Calibri" w:eastAsia="Calibri" w:hAnsi="Calibri" w:cs="Calibri"/>
          <w:bCs/>
          <w:szCs w:val="72"/>
          <w:lang w:val="sr-Cyrl-RS"/>
        </w:rPr>
        <w:t>)</w:t>
      </w:r>
      <w:r w:rsidR="00B841EF" w:rsidRPr="001E6302">
        <w:rPr>
          <w:rFonts w:ascii="Calibri" w:eastAsia="Calibri" w:hAnsi="Calibri" w:cs="Calibri"/>
          <w:bCs/>
          <w:szCs w:val="72"/>
          <w:lang w:val="sr-Cyrl-RS"/>
        </w:rPr>
        <w:t xml:space="preserve"> и (13)</w:t>
      </w:r>
      <w:r w:rsidRPr="001E6302">
        <w:rPr>
          <w:rFonts w:ascii="Calibri" w:eastAsia="Calibri" w:hAnsi="Calibri" w:cs="Calibri"/>
          <w:bCs/>
          <w:szCs w:val="72"/>
          <w:lang w:val="sr-Cyrl-RS"/>
        </w:rPr>
        <w:t xml:space="preserve"> Закона о буџетском систему („Службени гласник РС”, бр. 54/09, 73/10, 101/10, 101/11, 93/12, 62/13, 63/13 – исправка, 108/13, 142/14, 68/15 – др. закон, 103/15, 99/16, 113/17, 95/18, 31/19, 72/19, 149/20, 118/21, 118/21 – др. закон и 138/22)</w:t>
      </w:r>
      <w:r w:rsidRPr="001E6302">
        <w:rPr>
          <w:rFonts w:cstheme="minorHAnsi"/>
          <w:bCs/>
          <w:szCs w:val="72"/>
          <w:lang w:val="sr-Cyrl-RS"/>
        </w:rPr>
        <w:t>,</w:t>
      </w:r>
    </w:p>
    <w:p w14:paraId="69E1195E" w14:textId="77777777" w:rsidR="003C384E" w:rsidRPr="00110695" w:rsidRDefault="003C384E" w:rsidP="003C3685">
      <w:pPr>
        <w:ind w:firstLine="720"/>
        <w:rPr>
          <w:rFonts w:cstheme="minorHAnsi"/>
          <w:bCs/>
          <w:szCs w:val="72"/>
          <w:lang w:val="sr-Cyrl-RS"/>
        </w:rPr>
      </w:pPr>
      <w:r w:rsidRPr="00110695">
        <w:rPr>
          <w:rFonts w:cstheme="minorHAnsi"/>
          <w:bCs/>
          <w:szCs w:val="72"/>
          <w:lang w:val="sr-Cyrl-RS"/>
        </w:rPr>
        <w:t>Влада усваја</w:t>
      </w:r>
    </w:p>
    <w:p w14:paraId="7B970968" w14:textId="77777777" w:rsidR="003C384E" w:rsidRPr="00110695" w:rsidRDefault="003C384E" w:rsidP="008420D4">
      <w:pPr>
        <w:spacing w:after="0" w:line="240" w:lineRule="auto"/>
        <w:jc w:val="center"/>
        <w:rPr>
          <w:rFonts w:cstheme="minorHAnsi"/>
          <w:b/>
          <w:bCs/>
          <w:sz w:val="26"/>
          <w:szCs w:val="26"/>
          <w:lang w:val="sr-Cyrl-RS"/>
        </w:rPr>
      </w:pPr>
      <w:r w:rsidRPr="00110695">
        <w:rPr>
          <w:rFonts w:cstheme="minorHAnsi"/>
          <w:b/>
          <w:bCs/>
          <w:sz w:val="26"/>
          <w:szCs w:val="26"/>
          <w:lang w:val="sr-Cyrl-RS"/>
        </w:rPr>
        <w:t>РЕВИДИРАНУ ФИСКАЛНУ СТРАТЕГИЈУ</w:t>
      </w:r>
    </w:p>
    <w:p w14:paraId="6C50C7F3" w14:textId="77777777" w:rsidR="003C384E" w:rsidRPr="00110695" w:rsidRDefault="003C384E" w:rsidP="008420D4">
      <w:pPr>
        <w:spacing w:after="0" w:line="240" w:lineRule="auto"/>
        <w:jc w:val="center"/>
        <w:rPr>
          <w:rFonts w:cstheme="minorHAnsi"/>
          <w:b/>
          <w:bCs/>
          <w:sz w:val="26"/>
          <w:szCs w:val="26"/>
          <w:lang w:val="sr-Cyrl-RS"/>
        </w:rPr>
      </w:pPr>
      <w:r w:rsidRPr="00110695">
        <w:rPr>
          <w:rFonts w:cstheme="minorHAnsi"/>
          <w:b/>
          <w:bCs/>
          <w:sz w:val="26"/>
          <w:szCs w:val="26"/>
          <w:lang w:val="sr-Cyrl-RS"/>
        </w:rPr>
        <w:t>ЗА 2024. ГОДИНУ СА ПРОЈЕКЦИЈАМА ЗА 2025. И 2026. ГОДИНУ</w:t>
      </w:r>
    </w:p>
    <w:p w14:paraId="7213A824" w14:textId="77777777" w:rsidR="003C384E" w:rsidRPr="00110695" w:rsidRDefault="003C384E" w:rsidP="008420D4">
      <w:pPr>
        <w:spacing w:after="0" w:line="240" w:lineRule="auto"/>
        <w:jc w:val="center"/>
        <w:rPr>
          <w:rFonts w:cstheme="minorHAnsi"/>
          <w:b/>
          <w:bCs/>
          <w:sz w:val="24"/>
          <w:szCs w:val="72"/>
          <w:lang w:val="sr-Cyrl-RS"/>
        </w:rPr>
      </w:pPr>
    </w:p>
    <w:p w14:paraId="77265873" w14:textId="77777777" w:rsidR="003C384E" w:rsidRPr="00110695" w:rsidRDefault="003C384E" w:rsidP="00D20C27">
      <w:pPr>
        <w:pStyle w:val="Heading1"/>
        <w:jc w:val="center"/>
        <w:rPr>
          <w:rFonts w:asciiTheme="minorHAnsi" w:hAnsiTheme="minorHAnsi" w:cstheme="minorHAnsi"/>
          <w:b/>
          <w:sz w:val="26"/>
          <w:szCs w:val="26"/>
          <w:lang w:val="sr-Cyrl-RS"/>
        </w:rPr>
      </w:pPr>
      <w:bookmarkStart w:id="0" w:name="_Toc146277910"/>
      <w:r w:rsidRPr="00110695">
        <w:rPr>
          <w:rFonts w:asciiTheme="minorHAnsi" w:hAnsiTheme="minorHAnsi" w:cstheme="minorHAnsi"/>
          <w:b/>
          <w:sz w:val="26"/>
          <w:szCs w:val="26"/>
          <w:lang w:val="sr-Cyrl-RS"/>
        </w:rPr>
        <w:t>I. МАКРОЕКОНОМСКИ ОКВИР ЗА ПЕРИОД ОД 2024. ДО 2026. ГОДИНЕ</w:t>
      </w:r>
      <w:bookmarkEnd w:id="0"/>
    </w:p>
    <w:p w14:paraId="151C18DC" w14:textId="77777777" w:rsidR="003C384E" w:rsidRPr="00110695" w:rsidRDefault="003C384E" w:rsidP="00087CD9">
      <w:pPr>
        <w:spacing w:after="120"/>
        <w:jc w:val="center"/>
        <w:rPr>
          <w:rFonts w:cstheme="minorHAnsi"/>
          <w:color w:val="2F5496" w:themeColor="accent1" w:themeShade="BF"/>
          <w:sz w:val="18"/>
          <w:lang w:val="sr-Cyrl-RS"/>
        </w:rPr>
      </w:pPr>
    </w:p>
    <w:p w14:paraId="71F264BE" w14:textId="77777777" w:rsidR="003C384E" w:rsidRPr="00110695" w:rsidRDefault="003C384E" w:rsidP="00D20C27">
      <w:pPr>
        <w:pStyle w:val="Heading2"/>
        <w:jc w:val="center"/>
        <w:rPr>
          <w:rFonts w:asciiTheme="minorHAnsi" w:hAnsiTheme="minorHAnsi" w:cstheme="minorHAnsi"/>
          <w:b/>
          <w:sz w:val="24"/>
          <w:lang w:val="sr-Cyrl-RS"/>
        </w:rPr>
      </w:pPr>
      <w:bookmarkStart w:id="1" w:name="_Toc146277911"/>
      <w:r w:rsidRPr="00110695">
        <w:rPr>
          <w:rFonts w:asciiTheme="minorHAnsi" w:hAnsiTheme="minorHAnsi" w:cstheme="minorHAnsi"/>
          <w:b/>
          <w:sz w:val="22"/>
          <w:lang w:val="sr-Cyrl-RS"/>
        </w:rPr>
        <w:t xml:space="preserve">1. </w:t>
      </w:r>
      <w:r w:rsidRPr="00110695">
        <w:rPr>
          <w:rFonts w:asciiTheme="minorHAnsi" w:hAnsiTheme="minorHAnsi" w:cstheme="minorHAnsi"/>
          <w:b/>
          <w:sz w:val="24"/>
          <w:lang w:val="sr-Cyrl-RS"/>
        </w:rPr>
        <w:t>Општи оквир и главни циљеви и смернице економске политике</w:t>
      </w:r>
      <w:bookmarkEnd w:id="1"/>
    </w:p>
    <w:p w14:paraId="7B0FCF65" w14:textId="77777777" w:rsidR="003C384E" w:rsidRPr="00110695" w:rsidRDefault="003C384E" w:rsidP="002D6E55">
      <w:pPr>
        <w:rPr>
          <w:rFonts w:cstheme="minorHAnsi"/>
          <w:color w:val="auto"/>
          <w:sz w:val="18"/>
          <w:highlight w:val="darkGray"/>
          <w:lang w:val="sr-Cyrl-RS"/>
        </w:rPr>
      </w:pPr>
    </w:p>
    <w:p w14:paraId="289457FE" w14:textId="77777777" w:rsidR="003C384E" w:rsidRPr="00110695" w:rsidRDefault="003C384E" w:rsidP="002D6E55">
      <w:pPr>
        <w:rPr>
          <w:rFonts w:cstheme="minorHAnsi"/>
          <w:color w:val="auto"/>
          <w:sz w:val="18"/>
          <w:highlight w:val="darkGray"/>
          <w:lang w:val="sr-Cyrl-RS"/>
        </w:rPr>
        <w:sectPr w:rsidR="003C384E" w:rsidRPr="00110695" w:rsidSect="00766A90">
          <w:headerReference w:type="default" r:id="rId8"/>
          <w:footerReference w:type="default" r:id="rId9"/>
          <w:pgSz w:w="12240" w:h="15840" w:code="1"/>
          <w:pgMar w:top="1440" w:right="1440" w:bottom="1440" w:left="1440" w:header="720" w:footer="720" w:gutter="0"/>
          <w:pgNumType w:start="1"/>
          <w:cols w:space="720"/>
          <w:titlePg/>
          <w:docGrid w:linePitch="360"/>
        </w:sectPr>
      </w:pPr>
    </w:p>
    <w:p w14:paraId="5E008051" w14:textId="77777777" w:rsidR="003C384E" w:rsidRPr="00110695" w:rsidRDefault="003C384E" w:rsidP="002D6E55">
      <w:pPr>
        <w:rPr>
          <w:rFonts w:ascii="Calibri" w:eastAsia="Calibri" w:hAnsi="Calibri" w:cs="Calibri"/>
          <w:bCs/>
          <w:color w:val="0070C0"/>
          <w:szCs w:val="72"/>
          <w:lang w:val="sr-Cyrl-RS"/>
        </w:rPr>
      </w:pPr>
      <w:r w:rsidRPr="00110695">
        <w:rPr>
          <w:rFonts w:ascii="Calibri" w:eastAsia="Calibri" w:hAnsi="Calibri" w:cs="Calibri"/>
          <w:b/>
          <w:bCs/>
          <w:color w:val="0070C0"/>
          <w:szCs w:val="72"/>
          <w:lang w:val="sr-Cyrl-RS"/>
        </w:rPr>
        <w:t>Привредна активност у Србији показала је довољну отпорност, имајући у виду проблеме и неизвесности са којима је суочена.</w:t>
      </w:r>
      <w:r w:rsidRPr="00110695">
        <w:rPr>
          <w:rFonts w:ascii="Calibri" w:eastAsia="Calibri" w:hAnsi="Calibri" w:cs="Calibri"/>
          <w:bCs/>
          <w:color w:val="0070C0"/>
          <w:szCs w:val="72"/>
          <w:lang w:val="sr-Cyrl-RS"/>
        </w:rPr>
        <w:t xml:space="preserve"> У протеклих, више од годину дана, економија је погођена високим ценама хране и енергената, падом у домаћој производњи електричне енергије, слабијим растом најзначајнијих трговинских партнера и пооштравањем услова финансирања. Раст бруто домаћег производа (у даљем тексту: БДП) у 2022. години износио је 2,3%, док се у 2023. години очекује раст од 2,5%, имајући у виду и даље присутне отежане околности пословања. У средњем року, предвиђа се опоравак. Пројектована стопа раста у 2024. години износи 3,5%, а затим се очекује повратак на путању потенцијалног раста од преко 4% на крају посматраног периода.</w:t>
      </w:r>
    </w:p>
    <w:p w14:paraId="5447837C" w14:textId="77777777" w:rsidR="003C384E" w:rsidRPr="00110695" w:rsidRDefault="003C384E" w:rsidP="002D6E55">
      <w:pPr>
        <w:rPr>
          <w:rFonts w:ascii="Calibri" w:eastAsia="Calibri" w:hAnsi="Calibri" w:cs="Calibri"/>
          <w:bCs/>
          <w:color w:val="0070C0"/>
          <w:szCs w:val="72"/>
          <w:lang w:val="sr-Cyrl-RS"/>
        </w:rPr>
      </w:pPr>
      <w:r w:rsidRPr="00110695">
        <w:rPr>
          <w:rFonts w:ascii="Calibri" w:eastAsia="Calibri" w:hAnsi="Calibri" w:cs="Calibri"/>
          <w:b/>
          <w:bCs/>
          <w:color w:val="0070C0"/>
          <w:szCs w:val="72"/>
          <w:lang w:val="sr-Cyrl-RS"/>
        </w:rPr>
        <w:t>Привреда Србије, као и других земаља у окружењу и на сличном нивоу привредног развоја, под утицајем је бројних неизвесности.</w:t>
      </w:r>
      <w:r w:rsidRPr="00110695">
        <w:rPr>
          <w:rFonts w:ascii="Calibri" w:eastAsia="Calibri" w:hAnsi="Calibri" w:cs="Calibri"/>
          <w:bCs/>
          <w:color w:val="0070C0"/>
          <w:szCs w:val="72"/>
          <w:lang w:val="sr-Cyrl-RS"/>
        </w:rPr>
        <w:t xml:space="preserve"> Неизвесност економских изгледа последица је даљег развоја геополитичких околности, ситуације у енергетском сектору, изгледа за раст најзначајнијих економских партнера, инфлације и неповољних услова на међународном финансијском тржишту.</w:t>
      </w:r>
    </w:p>
    <w:p w14:paraId="568C00A4" w14:textId="77777777" w:rsidR="003C384E" w:rsidRPr="00110695" w:rsidRDefault="003C384E" w:rsidP="002D6E55">
      <w:pPr>
        <w:rPr>
          <w:rFonts w:ascii="Calibri" w:eastAsia="Calibri" w:hAnsi="Calibri" w:cs="Calibri"/>
          <w:bCs/>
          <w:color w:val="0070C0"/>
          <w:szCs w:val="72"/>
          <w:lang w:val="sr-Cyrl-RS"/>
        </w:rPr>
      </w:pPr>
      <w:r w:rsidRPr="00110695">
        <w:rPr>
          <w:rFonts w:ascii="Calibri" w:eastAsia="Calibri" w:hAnsi="Calibri" w:cs="Calibri"/>
          <w:b/>
          <w:bCs/>
          <w:color w:val="0070C0"/>
          <w:szCs w:val="72"/>
          <w:lang w:val="sr-Cyrl-RS"/>
        </w:rPr>
        <w:t>Макроекономске политике у наредном периоду морају бити довољно чврсте, у циљу обуздавања инфлације као приоритетног задатка.</w:t>
      </w:r>
      <w:r w:rsidRPr="00110695">
        <w:rPr>
          <w:rFonts w:ascii="Calibri" w:eastAsia="Calibri" w:hAnsi="Calibri" w:cs="Calibri"/>
          <w:bCs/>
          <w:color w:val="0070C0"/>
          <w:szCs w:val="72"/>
          <w:lang w:val="sr-Cyrl-RS"/>
        </w:rPr>
        <w:t xml:space="preserve"> Пооштравање монетарне политике је оправдано и одговарајуће, док фискална политика даје допринос и подршку у смањењу инфлације. </w:t>
      </w:r>
      <w:r w:rsidRPr="00110695">
        <w:rPr>
          <w:rFonts w:ascii="Calibri" w:eastAsia="Calibri" w:hAnsi="Calibri" w:cs="Calibri"/>
          <w:bCs/>
          <w:color w:val="0070C0"/>
          <w:szCs w:val="72"/>
          <w:lang w:val="sr-Cyrl-RS"/>
        </w:rPr>
        <w:t>Остварени дефицит у 2022. години нижи је од предвиђеног. Пролећном Фискалном стратегијом планирани дефицит у 2023. години од 3% био је конзистентан са потребним заокретом економске политике у циљу обуздавања инфлације и стварања резерви као одговор на високу неизвесност. Јесењим циклусом ревидирања фискалног оквира и ребалансом буџета дефицит сектора државе је додатно смањен и по новој процени у текућој години износиће 2,8% БДП. Фискалне мере помогле су у смањењу утицаја енергетске кризе на потрошаче и привреднике. Повољније околности у енергетском сектору у 2023. години, у односу на претходну, омогућиле су прерасподелу неискоришћених средстава за државну интервенцију у енергетици, на друге расходе, те са бољим остварењем укупних прихода чине додатни фискални простор који се користи за очување и побољшање животног стандарда (ванредно повећање пензија, плата запосленима у појединим јавним службама, помоћ родитељима деце млађе од 16 година, једнократна помоћ пензионерима). Део фискалног простора искоришћен је и за смањење дефицита. Фокус фискалне политике у средњем року је постепена и умерена консолидација, док се посебно циљаним мерама наставља подршка енергетски угроженим домаћинствима и предузећима, уз наставак инвестиционе активности државе у инфраструктуру и јачање капиталних улагања у сектор енергетике.</w:t>
      </w:r>
    </w:p>
    <w:p w14:paraId="54017030" w14:textId="1C4876A2" w:rsidR="003C384E" w:rsidRPr="00110695" w:rsidRDefault="003C384E" w:rsidP="00D75319">
      <w:pPr>
        <w:spacing w:after="0"/>
        <w:rPr>
          <w:rFonts w:ascii="Calibri" w:eastAsia="Calibri" w:hAnsi="Calibri" w:cs="Calibri"/>
          <w:bCs/>
          <w:color w:val="0070C0"/>
          <w:szCs w:val="72"/>
          <w:lang w:val="sr-Cyrl-RS"/>
        </w:rPr>
      </w:pPr>
      <w:r w:rsidRPr="00110695">
        <w:rPr>
          <w:rFonts w:ascii="Calibri" w:eastAsia="Calibri" w:hAnsi="Calibri" w:cs="Calibri"/>
          <w:b/>
          <w:bCs/>
          <w:color w:val="0070C0"/>
          <w:szCs w:val="72"/>
          <w:lang w:val="sr-Cyrl-RS"/>
        </w:rPr>
        <w:lastRenderedPageBreak/>
        <w:t>Окосницу одрживе фискалне политике у средњем року чини нови сет фискалних правила која представљају довољну гаранцију за стабилизацију и одрживу путању дефицита и дуга.</w:t>
      </w:r>
      <w:r w:rsidRPr="00110695">
        <w:rPr>
          <w:rFonts w:ascii="Calibri" w:eastAsia="Calibri" w:hAnsi="Calibri" w:cs="Calibri"/>
          <w:bCs/>
          <w:color w:val="0070C0"/>
          <w:szCs w:val="72"/>
          <w:lang w:val="sr-Cyrl-RS"/>
        </w:rPr>
        <w:t xml:space="preserve"> Пуна примена општих фискалних правила која ограничавају дефицит сектора државе, у </w:t>
      </w:r>
      <w:r w:rsidRPr="00110695">
        <w:rPr>
          <w:rFonts w:ascii="Calibri" w:eastAsia="Calibri" w:hAnsi="Calibri" w:cs="Calibri"/>
          <w:bCs/>
          <w:color w:val="0070C0"/>
          <w:szCs w:val="72"/>
          <w:lang w:val="sr-Cyrl-RS"/>
        </w:rPr>
        <w:t>односу на достигнути ниво дуга, предвиђена је за 2025. годину. До тада, усклађеност са потребним смањењем дефицита и дуга обезбеђена је Фискалном стратегијом Владе и подржана Аранжманом са Међународним монетарним фондом (у даљем тексту: ММФ).</w:t>
      </w:r>
    </w:p>
    <w:p w14:paraId="5639CEC2" w14:textId="77777777" w:rsidR="003C384E" w:rsidRPr="00110695" w:rsidRDefault="003C384E" w:rsidP="00D75319">
      <w:pPr>
        <w:spacing w:after="0"/>
        <w:rPr>
          <w:rFonts w:ascii="Calibri" w:eastAsia="Calibri" w:hAnsi="Calibri" w:cs="Calibri"/>
          <w:bCs/>
          <w:color w:val="0070C0"/>
          <w:szCs w:val="72"/>
          <w:lang w:val="sr-Cyrl-RS"/>
        </w:rPr>
        <w:sectPr w:rsidR="003C384E" w:rsidRPr="00110695" w:rsidSect="006272DB">
          <w:type w:val="continuous"/>
          <w:pgSz w:w="12240" w:h="15840" w:code="1"/>
          <w:pgMar w:top="1440" w:right="1440" w:bottom="1440" w:left="1440" w:header="720" w:footer="720" w:gutter="0"/>
          <w:cols w:num="2" w:space="720"/>
          <w:titlePg/>
          <w:docGrid w:linePitch="360"/>
        </w:sectPr>
      </w:pPr>
    </w:p>
    <w:p w14:paraId="4BA368DD" w14:textId="77777777" w:rsidR="00730D89" w:rsidRDefault="00730D89" w:rsidP="00730D89">
      <w:pPr>
        <w:rPr>
          <w:lang w:val="sr-Cyrl-CS"/>
        </w:rPr>
      </w:pPr>
      <w:bookmarkStart w:id="2" w:name="_Toc119654141"/>
      <w:bookmarkStart w:id="3" w:name="_Toc135994497"/>
    </w:p>
    <w:p w14:paraId="67481FF4" w14:textId="77777777" w:rsidR="00D17D25" w:rsidRPr="00E64231" w:rsidRDefault="00D17D25" w:rsidP="00D75319">
      <w:pPr>
        <w:spacing w:after="0"/>
        <w:rPr>
          <w:rFonts w:ascii="Calibri" w:eastAsia="Calibri" w:hAnsi="Calibri" w:cs="Calibri"/>
          <w:bCs/>
          <w:color w:val="0070C0"/>
          <w:sz w:val="16"/>
          <w:szCs w:val="72"/>
          <w:lang w:val="sr-Cyrl-RS"/>
        </w:rPr>
        <w:sectPr w:rsidR="00D17D25" w:rsidRPr="00E64231" w:rsidSect="00886C5E">
          <w:headerReference w:type="default" r:id="rId10"/>
          <w:footerReference w:type="default" r:id="rId11"/>
          <w:headerReference w:type="first" r:id="rId12"/>
          <w:footerReference w:type="first" r:id="rId13"/>
          <w:type w:val="continuous"/>
          <w:pgSz w:w="12240" w:h="15840" w:code="1"/>
          <w:pgMar w:top="1440" w:right="1440" w:bottom="1440" w:left="1440" w:header="720" w:footer="720" w:gutter="0"/>
          <w:cols w:space="720"/>
          <w:titlePg/>
          <w:docGrid w:linePitch="360"/>
        </w:sectPr>
      </w:pPr>
      <w:bookmarkStart w:id="4" w:name="_Toc86923728"/>
      <w:bookmarkStart w:id="5" w:name="_Toc119654150"/>
      <w:bookmarkEnd w:id="2"/>
      <w:bookmarkEnd w:id="3"/>
    </w:p>
    <w:p w14:paraId="7D6EC406" w14:textId="77777777" w:rsidR="003C384E" w:rsidRDefault="003C384E" w:rsidP="003C384E">
      <w:pPr>
        <w:rPr>
          <w:rFonts w:eastAsiaTheme="majorEastAsia"/>
          <w:szCs w:val="26"/>
          <w:lang w:val="sr-Cyrl-RS"/>
        </w:rPr>
      </w:pPr>
      <w:r>
        <w:rPr>
          <w:lang w:val="sr-Cyrl-RS"/>
        </w:rPr>
        <w:br w:type="page"/>
      </w:r>
    </w:p>
    <w:p w14:paraId="54FECCCC" w14:textId="68F0EADB" w:rsidR="00D17D25" w:rsidRPr="00FC38DC" w:rsidRDefault="00D17D25" w:rsidP="002D6E55">
      <w:pPr>
        <w:pStyle w:val="Heading2"/>
        <w:jc w:val="center"/>
        <w:rPr>
          <w:rFonts w:asciiTheme="minorHAnsi" w:hAnsiTheme="minorHAnsi" w:cstheme="minorHAnsi"/>
          <w:b/>
          <w:bCs/>
          <w:color w:val="2F5496"/>
          <w:sz w:val="24"/>
          <w:lang w:val="sr-Cyrl-RS"/>
        </w:rPr>
      </w:pPr>
      <w:bookmarkStart w:id="6" w:name="_Toc146277912"/>
      <w:r w:rsidRPr="00FC38DC">
        <w:rPr>
          <w:rFonts w:asciiTheme="minorHAnsi" w:hAnsiTheme="minorHAnsi" w:cstheme="minorHAnsi"/>
          <w:b/>
          <w:bCs/>
          <w:color w:val="2F5496"/>
          <w:sz w:val="24"/>
          <w:lang w:val="sr-Cyrl-RS"/>
        </w:rPr>
        <w:lastRenderedPageBreak/>
        <w:t>2. Процене међународног економског окружења</w:t>
      </w:r>
      <w:bookmarkEnd w:id="6"/>
    </w:p>
    <w:p w14:paraId="4E03A34C" w14:textId="77777777" w:rsidR="00D17D25" w:rsidRPr="00FC38DC" w:rsidRDefault="00D17D25" w:rsidP="002D6E55">
      <w:pPr>
        <w:rPr>
          <w:lang w:val="sr-Cyrl-RS"/>
        </w:rPr>
      </w:pPr>
      <w:r w:rsidRPr="00FC38DC">
        <w:rPr>
          <w:rFonts w:cstheme="minorHAnsi"/>
          <w:b/>
          <w:noProof/>
          <w:sz w:val="24"/>
        </w:rPr>
        <mc:AlternateContent>
          <mc:Choice Requires="wps">
            <w:drawing>
              <wp:anchor distT="0" distB="0" distL="114300" distR="114300" simplePos="0" relativeHeight="251688448" behindDoc="1" locked="0" layoutInCell="1" allowOverlap="1" wp14:anchorId="6FD4EA9F" wp14:editId="5639C9AD">
                <wp:simplePos x="0" y="0"/>
                <wp:positionH relativeFrom="margin">
                  <wp:posOffset>-104775</wp:posOffset>
                </wp:positionH>
                <wp:positionV relativeFrom="paragraph">
                  <wp:posOffset>201930</wp:posOffset>
                </wp:positionV>
                <wp:extent cx="6139815" cy="5314950"/>
                <wp:effectExtent l="0" t="0" r="0" b="0"/>
                <wp:wrapNone/>
                <wp:docPr id="63" name="Rectangle 63"/>
                <wp:cNvGraphicFramePr/>
                <a:graphic xmlns:a="http://schemas.openxmlformats.org/drawingml/2006/main">
                  <a:graphicData uri="http://schemas.microsoft.com/office/word/2010/wordprocessingShape">
                    <wps:wsp>
                      <wps:cNvSpPr/>
                      <wps:spPr>
                        <a:xfrm>
                          <a:off x="0" y="0"/>
                          <a:ext cx="6139815" cy="5314950"/>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7AE08B" id="Rectangle 63" o:spid="_x0000_s1026" style="position:absolute;margin-left:-8.25pt;margin-top:15.9pt;width:483.45pt;height:418.5pt;z-index:-251628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" fillcolor="#d8d8d8 [2732]" stroked="f" strokeweight="1pt">
                <v:fill r:id="rId14" o:title="" color2="white [3212]" type="pattern"/>
                <w10:wrap anchorx="margin"/>
              </v:rect>
            </w:pict>
          </mc:Fallback>
        </mc:AlternateContent>
      </w:r>
    </w:p>
    <w:p w14:paraId="7C9C77BE" w14:textId="77777777" w:rsidR="00D17D25" w:rsidRPr="00FC38DC" w:rsidRDefault="00D17D25" w:rsidP="002D6E55">
      <w:pPr>
        <w:spacing w:after="240"/>
        <w:rPr>
          <w:rFonts w:cstheme="minorHAnsi"/>
          <w:bCs/>
          <w:color w:val="FF0000"/>
          <w:szCs w:val="72"/>
          <w:lang w:val="sr-Cyrl-RS"/>
        </w:rPr>
        <w:sectPr w:rsidR="00D17D25" w:rsidRPr="00FC38DC" w:rsidSect="00BE69F5">
          <w:headerReference w:type="even" r:id="rId15"/>
          <w:headerReference w:type="default" r:id="rId16"/>
          <w:footerReference w:type="even" r:id="rId17"/>
          <w:footerReference w:type="default" r:id="rId18"/>
          <w:footerReference w:type="first" r:id="rId19"/>
          <w:type w:val="continuous"/>
          <w:pgSz w:w="12240" w:h="15840" w:code="1"/>
          <w:pgMar w:top="1440" w:right="1440" w:bottom="1440" w:left="1440" w:header="720" w:footer="720" w:gutter="0"/>
          <w:cols w:space="720"/>
          <w:titlePg/>
          <w:docGrid w:linePitch="360"/>
        </w:sectPr>
      </w:pPr>
    </w:p>
    <w:p w14:paraId="19AAABC3" w14:textId="08FB7475" w:rsidR="00D17D25" w:rsidRPr="00FC38DC" w:rsidRDefault="00D17D25" w:rsidP="006D0DA9">
      <w:pPr>
        <w:spacing w:after="480"/>
        <w:rPr>
          <w:rFonts w:cstheme="minorHAnsi"/>
          <w:bCs/>
          <w:color w:val="0070C0"/>
          <w:szCs w:val="72"/>
          <w:lang w:val="sr-Cyrl-RS"/>
        </w:rPr>
      </w:pPr>
      <w:r w:rsidRPr="00FC38DC">
        <w:rPr>
          <w:rFonts w:cstheme="minorHAnsi"/>
          <w:bCs/>
          <w:color w:val="0070C0"/>
          <w:szCs w:val="72"/>
          <w:lang w:val="sr-Cyrl-RS"/>
        </w:rPr>
        <w:t>Према јулским проценама ММФ, глобални економски раст успорава са 3,5% у 2022. на 3,0% у 2023. и у 2024. години. Иако су јулске процене глобалног опоравка благо ревидиране навише, економска активност и трговина на глобалном нивоу су успориле у овој години, под утицајем повећане неизвесности услед изражених геополити</w:t>
      </w:r>
      <w:r>
        <w:rPr>
          <w:rFonts w:cstheme="minorHAnsi"/>
          <w:bCs/>
          <w:color w:val="0070C0"/>
          <w:szCs w:val="72"/>
          <w:lang w:val="sr-Cyrl-RS"/>
        </w:rPr>
        <w:t>чких тензија и енергетске кризе, и даље високе инфлације</w:t>
      </w:r>
      <w:r w:rsidRPr="00FC38DC">
        <w:rPr>
          <w:rFonts w:cstheme="minorHAnsi"/>
          <w:bCs/>
          <w:color w:val="0070C0"/>
          <w:szCs w:val="72"/>
          <w:lang w:val="sr-Cyrl-RS"/>
        </w:rPr>
        <w:t>, као и заоштрени</w:t>
      </w:r>
      <w:r>
        <w:rPr>
          <w:rFonts w:cstheme="minorHAnsi"/>
          <w:bCs/>
          <w:color w:val="0070C0"/>
          <w:szCs w:val="72"/>
          <w:lang w:val="sr-Cyrl-RS"/>
        </w:rPr>
        <w:t>х</w:t>
      </w:r>
      <w:r w:rsidRPr="00FC38DC">
        <w:rPr>
          <w:rFonts w:cstheme="minorHAnsi"/>
          <w:bCs/>
          <w:color w:val="0070C0"/>
          <w:szCs w:val="72"/>
          <w:lang w:val="sr-Cyrl-RS"/>
        </w:rPr>
        <w:t xml:space="preserve"> глобални</w:t>
      </w:r>
      <w:r>
        <w:rPr>
          <w:rFonts w:cstheme="minorHAnsi"/>
          <w:bCs/>
          <w:color w:val="0070C0"/>
          <w:szCs w:val="72"/>
          <w:lang w:val="sr-Cyrl-RS"/>
        </w:rPr>
        <w:t>х</w:t>
      </w:r>
      <w:r w:rsidRPr="00FC38DC">
        <w:rPr>
          <w:rFonts w:cstheme="minorHAnsi"/>
          <w:bCs/>
          <w:color w:val="0070C0"/>
          <w:szCs w:val="72"/>
          <w:lang w:val="sr-Cyrl-RS"/>
        </w:rPr>
        <w:t xml:space="preserve"> финансијски</w:t>
      </w:r>
      <w:r>
        <w:rPr>
          <w:rFonts w:cstheme="minorHAnsi"/>
          <w:bCs/>
          <w:color w:val="0070C0"/>
          <w:szCs w:val="72"/>
          <w:lang w:val="sr-Cyrl-RS"/>
        </w:rPr>
        <w:t>х услова</w:t>
      </w:r>
      <w:r w:rsidRPr="00FC38DC">
        <w:rPr>
          <w:rFonts w:cstheme="minorHAnsi"/>
          <w:bCs/>
          <w:color w:val="0070C0"/>
          <w:szCs w:val="72"/>
          <w:lang w:val="sr-Cyrl-RS"/>
        </w:rPr>
        <w:t>. Негативан ефекат наведених фактора делом је компензован смањењем застоја у глобалним ланцима снабдевања и очуваним тржиштем рада. Раст бржи од очекиваног остварен је у земљама у успону (са изузетком Кине) и САД. Турбуленције у банкарском сектору развијених земаља нису имале већих негативних последица.</w:t>
      </w:r>
      <w:r w:rsidRPr="00FC38DC">
        <w:rPr>
          <w:lang w:val="sr-Cyrl-RS"/>
        </w:rPr>
        <w:t xml:space="preserve"> </w:t>
      </w:r>
      <w:r w:rsidRPr="00FC38DC">
        <w:rPr>
          <w:rFonts w:cstheme="minorHAnsi"/>
          <w:bCs/>
          <w:color w:val="0070C0"/>
          <w:szCs w:val="72"/>
          <w:lang w:val="sr-Cyrl-RS"/>
        </w:rPr>
        <w:t>Ограничење задуживања САД и раније предузете снажне мере контроле и управљању ризицима у банкарском сектору САД и Швајцарске умањиле су негативне и</w:t>
      </w:r>
      <w:r>
        <w:rPr>
          <w:rFonts w:cstheme="minorHAnsi"/>
          <w:bCs/>
          <w:color w:val="0070C0"/>
          <w:szCs w:val="72"/>
          <w:lang w:val="sr-Cyrl-RS"/>
        </w:rPr>
        <w:t>м</w:t>
      </w:r>
      <w:r w:rsidRPr="00FC38DC">
        <w:rPr>
          <w:rFonts w:cstheme="minorHAnsi"/>
          <w:bCs/>
          <w:color w:val="0070C0"/>
          <w:szCs w:val="72"/>
          <w:lang w:val="sr-Cyrl-RS"/>
        </w:rPr>
        <w:t>пликације по финансијски си</w:t>
      </w:r>
      <w:r w:rsidR="00E10BD8">
        <w:rPr>
          <w:rFonts w:cstheme="minorHAnsi"/>
          <w:bCs/>
          <w:color w:val="0070C0"/>
          <w:szCs w:val="72"/>
          <w:lang w:val="sr-Cyrl-RS"/>
        </w:rPr>
        <w:t>стем. Процене раста земаља евро</w:t>
      </w:r>
      <w:r w:rsidRPr="00FC38DC">
        <w:rPr>
          <w:rFonts w:cstheme="minorHAnsi"/>
          <w:bCs/>
          <w:color w:val="0070C0"/>
          <w:szCs w:val="72"/>
          <w:lang w:val="sr-Cyrl-RS"/>
        </w:rPr>
        <w:t>зоне благо су кориговане навише</w:t>
      </w:r>
      <w:r>
        <w:rPr>
          <w:rFonts w:cstheme="minorHAnsi"/>
          <w:bCs/>
          <w:color w:val="0070C0"/>
          <w:szCs w:val="72"/>
          <w:lang w:val="sr-Cyrl-RS"/>
        </w:rPr>
        <w:t xml:space="preserve"> у односу на априлска очекивања</w:t>
      </w:r>
      <w:r w:rsidRPr="00FC38DC">
        <w:rPr>
          <w:rFonts w:cstheme="minorHAnsi"/>
          <w:bCs/>
          <w:color w:val="0070C0"/>
          <w:szCs w:val="72"/>
          <w:lang w:val="sr-Cyrl-RS"/>
        </w:rPr>
        <w:t xml:space="preserve"> због бржег раста услужног сектора, а у мањој мери производног сектора, при чему се за Немачку </w:t>
      </w:r>
      <w:r>
        <w:rPr>
          <w:rFonts w:cstheme="minorHAnsi"/>
          <w:bCs/>
          <w:color w:val="0070C0"/>
          <w:szCs w:val="72"/>
          <w:lang w:val="sr-Cyrl-RS"/>
        </w:rPr>
        <w:t xml:space="preserve">ипак </w:t>
      </w:r>
      <w:r w:rsidRPr="00FC38DC">
        <w:rPr>
          <w:rFonts w:cstheme="minorHAnsi"/>
          <w:bCs/>
          <w:color w:val="0070C0"/>
          <w:szCs w:val="72"/>
          <w:lang w:val="sr-Cyrl-RS"/>
        </w:rPr>
        <w:t>пројектује блага рецесија. Повећање каматних стопа од стране централних банака у циљу сузбијања инфлације утицало је на успоравање раста глобалне инфлације са 8,7 % у 2022. на 6,8% у 2023</w:t>
      </w:r>
      <w:r w:rsidR="002E4DFA">
        <w:rPr>
          <w:rFonts w:cstheme="minorHAnsi"/>
          <w:bCs/>
          <w:color w:val="0070C0"/>
          <w:szCs w:val="72"/>
          <w:lang w:val="sr-Cyrl-RS"/>
        </w:rPr>
        <w:t>.</w:t>
      </w:r>
      <w:r w:rsidRPr="00FC38DC">
        <w:rPr>
          <w:rFonts w:cstheme="minorHAnsi"/>
          <w:bCs/>
          <w:color w:val="0070C0"/>
          <w:szCs w:val="72"/>
          <w:lang w:val="sr-Cyrl-RS"/>
        </w:rPr>
        <w:t xml:space="preserve">, уз тренд споријег опадања базне инфлације. Поремећаји у ланцима снабдевања полако нестају, док се неравнотеже </w:t>
      </w:r>
      <w:r w:rsidRPr="00FC38DC">
        <w:rPr>
          <w:rFonts w:cstheme="minorHAnsi"/>
          <w:bCs/>
          <w:color w:val="0070C0"/>
          <w:szCs w:val="72"/>
          <w:lang w:val="sr-Cyrl-RS"/>
        </w:rPr>
        <w:t>на тржишту енергената и хране постепено смањују. Инфлаторни притисци на глобалном нивоу су постојанији и јачи него што се то претходно очекивало. Иако раст светских цена полако успорава, што углавном одражава оштар заокрет у ценама енергије и хране, у многим земљама базна инфлација још увек није достигла врхунац. Повећање степена рестриктивности монетарне политике од стране већине централних банака доприноси смањењу инфлације и постепеном повратку у циљане оквире. Глобалну економију карактерише улазак у циклус који одликује низак економски раст са значајно вишим ризицима по финансијску стабилност и економски раст. Опрезност и координација у вођењу економске политике постаје главни изазов за креаторе јавних политика. Монетарна политика треба да остане чврсто фокусирана на смањење инфлације, а рестриктивнија фискална политика би требало да јој пружи подршку. Остварење монетарног циља, смањење нивоа инфлације уз помоћ повећања каматних стопа, не сме да угрози економски раст и стабилност финансијског система. Јачање мултилатералне сарадње је од суштинског значаја за постизање напретка у стварању отпорније светске економије, укључујући јачање глобалне финансијске сигурности, ублажавање трошкова климатских промена и смањење штетних ефеката растуће геополитичке подељености.</w:t>
      </w:r>
    </w:p>
    <w:p w14:paraId="438C1582" w14:textId="77777777" w:rsidR="00D17D25" w:rsidRPr="00FC38DC" w:rsidRDefault="00D17D25" w:rsidP="002D6E55">
      <w:pPr>
        <w:jc w:val="left"/>
        <w:rPr>
          <w:rFonts w:cstheme="minorHAnsi"/>
          <w:b/>
          <w:color w:val="FF0000"/>
          <w:sz w:val="22"/>
          <w:lang w:val="sr-Cyrl-RS"/>
        </w:rPr>
        <w:sectPr w:rsidR="00D17D25" w:rsidRPr="00FC38DC" w:rsidSect="002D6E55">
          <w:type w:val="continuous"/>
          <w:pgSz w:w="12240" w:h="15840"/>
          <w:pgMar w:top="1440" w:right="1440" w:bottom="1440" w:left="1440" w:header="708" w:footer="708" w:gutter="0"/>
          <w:cols w:num="2" w:space="708"/>
          <w:docGrid w:linePitch="360"/>
        </w:sectPr>
      </w:pPr>
    </w:p>
    <w:p w14:paraId="7021E282" w14:textId="77777777" w:rsidR="00D17D25" w:rsidRPr="00FC38DC" w:rsidRDefault="00D17D25" w:rsidP="002D6E55">
      <w:pPr>
        <w:jc w:val="left"/>
        <w:rPr>
          <w:rFonts w:cstheme="minorHAnsi"/>
          <w:b/>
          <w:color w:val="2F5496"/>
          <w:sz w:val="22"/>
          <w:lang w:val="sr-Cyrl-RS"/>
        </w:rPr>
      </w:pPr>
      <w:r w:rsidRPr="00FC38DC">
        <w:rPr>
          <w:rFonts w:cstheme="minorHAnsi"/>
          <w:b/>
          <w:color w:val="2F5496"/>
          <w:sz w:val="22"/>
          <w:lang w:val="sr-Cyrl-RS"/>
        </w:rPr>
        <w:t>Макроекономске процене ММФ</w:t>
      </w:r>
    </w:p>
    <w:p w14:paraId="5EFB7D9A" w14:textId="77777777" w:rsidR="00D17D25" w:rsidRPr="00FC38DC" w:rsidRDefault="00D17D25" w:rsidP="00886C5E">
      <w:pPr>
        <w:rPr>
          <w:rFonts w:cstheme="minorHAnsi"/>
          <w:bCs/>
          <w:szCs w:val="72"/>
          <w:lang w:val="sr-Cyrl-RS"/>
        </w:rPr>
      </w:pPr>
      <w:r w:rsidRPr="00FC38DC">
        <w:rPr>
          <w:rFonts w:cstheme="minorHAnsi"/>
          <w:bCs/>
          <w:szCs w:val="72"/>
          <w:lang w:val="sr-Cyrl-RS"/>
        </w:rPr>
        <w:t>Опоравак глобалне економије од негативних последица пандемије коронавируса и конфликта у Украјини и даље се одвија успорено услед све већих разлика међу економским секторима и регионима, као и због даље присутних изражених инфлаторних притисака. Према најновијим пројекцијама ММФ, глобални раст ће након 3,5% у 2022. години успорити на 3,0% у 2023. години, што представља благу ревизију навише од 0,2% у односу на претходну, априлску, пројекцију.</w:t>
      </w:r>
    </w:p>
    <w:p w14:paraId="710E57D5" w14:textId="77777777" w:rsidR="00D17D25" w:rsidRPr="00FC38DC" w:rsidRDefault="00D17D25" w:rsidP="002D6E55">
      <w:pPr>
        <w:rPr>
          <w:rFonts w:cstheme="minorHAnsi"/>
          <w:bCs/>
          <w:color w:val="44546A"/>
          <w:szCs w:val="72"/>
          <w:lang w:val="sr-Cyrl-RS"/>
        </w:rPr>
      </w:pPr>
      <w:r w:rsidRPr="00FC38DC">
        <w:rPr>
          <w:rFonts w:cstheme="minorHAnsi"/>
          <w:bCs/>
          <w:color w:val="44546A"/>
          <w:szCs w:val="72"/>
          <w:lang w:val="sr-Cyrl-RS"/>
        </w:rPr>
        <w:t xml:space="preserve">Упркос заоштравању монетарних политика водећих централних банка, инфлаторни притисци </w:t>
      </w:r>
      <w:r w:rsidRPr="00FC38DC">
        <w:rPr>
          <w:rFonts w:cstheme="minorHAnsi"/>
          <w:bCs/>
          <w:szCs w:val="72"/>
          <w:lang w:val="sr-Cyrl-RS"/>
        </w:rPr>
        <w:t>опстају уз повећану рањивост банкарског сектора</w:t>
      </w:r>
      <w:r w:rsidRPr="00FC38DC">
        <w:rPr>
          <w:rFonts w:cstheme="minorHAnsi"/>
          <w:bCs/>
          <w:color w:val="44546A"/>
          <w:szCs w:val="72"/>
          <w:lang w:val="sr-Cyrl-RS"/>
        </w:rPr>
        <w:t>. Поред тога, у многим земљама нивои јавног дуга су и даље високи што ограничава могућности фискалне политике да одговори на нове изазове.</w:t>
      </w:r>
    </w:p>
    <w:p w14:paraId="4E4C6CE1" w14:textId="77777777" w:rsidR="00D17D25" w:rsidRPr="00FC38DC" w:rsidRDefault="00D17D25" w:rsidP="00D75319">
      <w:pPr>
        <w:spacing w:after="0"/>
        <w:rPr>
          <w:rFonts w:cstheme="minorHAnsi"/>
          <w:color w:val="44546A"/>
          <w:lang w:val="sr-Cyrl-RS"/>
        </w:rPr>
      </w:pPr>
      <w:r w:rsidRPr="00FC38DC">
        <w:rPr>
          <w:rFonts w:cstheme="minorHAnsi"/>
          <w:color w:val="44546A"/>
          <w:lang w:val="sr-Cyrl-RS"/>
        </w:rPr>
        <w:t xml:space="preserve">И поред успостављеног тренда пада цена на тржишту енергената, решавања застоја у глобалним ланцима снабдевања и смањење трошкова транспорта који доприносе слабљењу трошковних притисака на глобалном нивоу, ризици за остваривање пројекција остају изражени, пре свега као последица и даље присутне неизвесности. Главни фактори успоравања односе се на затезање монетарних политика централних банака и наставак конфликта </w:t>
      </w:r>
      <w:r w:rsidRPr="00FC38DC">
        <w:rPr>
          <w:rFonts w:cstheme="minorHAnsi"/>
          <w:color w:val="44546A"/>
          <w:lang w:val="sr-Cyrl-RS"/>
        </w:rPr>
        <w:lastRenderedPageBreak/>
        <w:t xml:space="preserve">у Украјини. Опрезност у вођењу </w:t>
      </w:r>
      <w:r>
        <w:rPr>
          <w:rFonts w:cstheme="minorHAnsi"/>
          <w:color w:val="44546A"/>
          <w:lang w:val="sr-Cyrl-RS"/>
        </w:rPr>
        <w:t>монетарне политике остаје приоритет,</w:t>
      </w:r>
      <w:r w:rsidRPr="00FC38DC">
        <w:rPr>
          <w:rFonts w:cstheme="minorHAnsi"/>
          <w:color w:val="44546A"/>
          <w:lang w:val="sr-Cyrl-RS"/>
        </w:rPr>
        <w:t xml:space="preserve"> упркос израженим </w:t>
      </w:r>
      <w:r w:rsidRPr="00FC38DC">
        <w:rPr>
          <w:rFonts w:cstheme="minorHAnsi"/>
          <w:color w:val="44546A"/>
          <w:lang w:val="sr-Cyrl-RS"/>
        </w:rPr>
        <w:t>негати</w:t>
      </w:r>
      <w:r>
        <w:rPr>
          <w:rFonts w:cstheme="minorHAnsi"/>
          <w:color w:val="44546A"/>
          <w:lang w:val="sr-Cyrl-RS"/>
        </w:rPr>
        <w:t>вним ефектима по привредни раст</w:t>
      </w:r>
      <w:r w:rsidRPr="00FC38DC">
        <w:rPr>
          <w:rFonts w:cstheme="minorHAnsi"/>
          <w:color w:val="44546A"/>
          <w:lang w:val="sr-Cyrl-RS"/>
        </w:rPr>
        <w:t xml:space="preserve"> уз високу вероватноћу рецесије у развијеним земљама.</w:t>
      </w:r>
    </w:p>
    <w:p w14:paraId="64F9E028" w14:textId="77777777" w:rsidR="00D17D25" w:rsidRPr="00FC38DC" w:rsidRDefault="00D17D25" w:rsidP="002D6E55">
      <w:pPr>
        <w:spacing w:after="360"/>
        <w:rPr>
          <w:rFonts w:cstheme="minorHAnsi"/>
          <w:color w:val="44546A"/>
          <w:lang w:val="sr-Cyrl-RS"/>
        </w:rPr>
        <w:sectPr w:rsidR="00D17D25" w:rsidRPr="00FC38DC" w:rsidSect="002D6E55">
          <w:type w:val="continuous"/>
          <w:pgSz w:w="12240" w:h="15840"/>
          <w:pgMar w:top="1440" w:right="1440" w:bottom="1440" w:left="1440" w:header="708" w:footer="708" w:gutter="0"/>
          <w:cols w:num="2" w:space="708"/>
          <w:docGrid w:linePitch="360"/>
        </w:sectPr>
      </w:pPr>
    </w:p>
    <w:p w14:paraId="6119585D" w14:textId="77777777" w:rsidR="00D17D25" w:rsidRPr="00FC38DC" w:rsidRDefault="00D17D25" w:rsidP="002D6E55">
      <w:pPr>
        <w:spacing w:after="0" w:line="240" w:lineRule="auto"/>
        <w:rPr>
          <w:rFonts w:cstheme="minorHAnsi"/>
          <w:color w:val="auto"/>
          <w:lang w:val="sr-Cyrl-RS"/>
        </w:rPr>
      </w:pPr>
    </w:p>
    <w:tbl>
      <w:tblPr>
        <w:tblW w:w="5000" w:type="pct"/>
        <w:jc w:val="center"/>
        <w:tblLook w:val="04A0" w:firstRow="1" w:lastRow="0" w:firstColumn="1" w:lastColumn="0" w:noHBand="0" w:noVBand="1"/>
      </w:tblPr>
      <w:tblGrid>
        <w:gridCol w:w="5666"/>
        <w:gridCol w:w="1232"/>
        <w:gridCol w:w="1232"/>
        <w:gridCol w:w="1230"/>
      </w:tblGrid>
      <w:tr w:rsidR="00D17D25" w:rsidRPr="004E7112" w14:paraId="0A9391C8" w14:textId="77777777" w:rsidTr="00886C5E">
        <w:trPr>
          <w:trHeight w:val="315"/>
          <w:jc w:val="center"/>
        </w:trPr>
        <w:tc>
          <w:tcPr>
            <w:tcW w:w="5000" w:type="pct"/>
            <w:gridSpan w:val="4"/>
            <w:tcBorders>
              <w:top w:val="nil"/>
              <w:left w:val="nil"/>
              <w:bottom w:val="single" w:sz="8" w:space="0" w:color="002060"/>
              <w:right w:val="nil"/>
            </w:tcBorders>
            <w:shd w:val="clear" w:color="auto" w:fill="auto"/>
            <w:vAlign w:val="center"/>
            <w:hideMark/>
          </w:tcPr>
          <w:p w14:paraId="245FCEF7" w14:textId="77777777" w:rsidR="00D17D25" w:rsidRPr="00FC38DC" w:rsidRDefault="00D17D25" w:rsidP="00886C5E">
            <w:pPr>
              <w:spacing w:after="0" w:line="240" w:lineRule="auto"/>
              <w:jc w:val="center"/>
              <w:rPr>
                <w:rFonts w:eastAsia="Times New Roman" w:cstheme="minorHAnsi"/>
                <w:b/>
                <w:bCs/>
                <w:color w:val="002060"/>
                <w:sz w:val="18"/>
                <w:szCs w:val="18"/>
                <w:lang w:val="sr-Cyrl-RS" w:eastAsia="en-GB"/>
              </w:rPr>
            </w:pPr>
            <w:r w:rsidRPr="00FC38DC">
              <w:rPr>
                <w:rFonts w:eastAsia="Times New Roman" w:cstheme="minorHAnsi"/>
                <w:b/>
                <w:bCs/>
                <w:color w:val="002060"/>
                <w:sz w:val="18"/>
                <w:szCs w:val="18"/>
                <w:lang w:val="sr-Cyrl-RS" w:eastAsia="en-GB"/>
              </w:rPr>
              <w:t>Табела 1. Међународно окружење – макроекономски показатељи</w:t>
            </w:r>
          </w:p>
        </w:tc>
      </w:tr>
      <w:tr w:rsidR="00D17D25" w:rsidRPr="00FC38DC" w14:paraId="330C8C5D" w14:textId="77777777" w:rsidTr="00886C5E">
        <w:trPr>
          <w:trHeight w:val="210"/>
          <w:jc w:val="center"/>
        </w:trPr>
        <w:tc>
          <w:tcPr>
            <w:tcW w:w="3027" w:type="pct"/>
            <w:tcBorders>
              <w:top w:val="nil"/>
              <w:left w:val="single" w:sz="8" w:space="0" w:color="FFFFFF"/>
              <w:bottom w:val="single" w:sz="8" w:space="0" w:color="FFFFFF"/>
              <w:right w:val="single" w:sz="8" w:space="0" w:color="FFFFFF"/>
            </w:tcBorders>
            <w:shd w:val="clear" w:color="auto" w:fill="auto"/>
            <w:vAlign w:val="center"/>
            <w:hideMark/>
          </w:tcPr>
          <w:p w14:paraId="5A4C5409" w14:textId="77777777" w:rsidR="00D17D25" w:rsidRPr="00FC38DC" w:rsidRDefault="00D17D25" w:rsidP="00886C5E">
            <w:pPr>
              <w:spacing w:after="0" w:line="240" w:lineRule="auto"/>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 </w:t>
            </w:r>
          </w:p>
        </w:tc>
        <w:tc>
          <w:tcPr>
            <w:tcW w:w="658" w:type="pct"/>
            <w:tcBorders>
              <w:top w:val="nil"/>
              <w:left w:val="nil"/>
              <w:bottom w:val="single" w:sz="8" w:space="0" w:color="002060"/>
              <w:right w:val="single" w:sz="8" w:space="0" w:color="FFFFFF"/>
            </w:tcBorders>
            <w:shd w:val="clear" w:color="auto" w:fill="auto"/>
            <w:vAlign w:val="center"/>
            <w:hideMark/>
          </w:tcPr>
          <w:p w14:paraId="3D40C7D1"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2022</w:t>
            </w:r>
          </w:p>
        </w:tc>
        <w:tc>
          <w:tcPr>
            <w:tcW w:w="658" w:type="pct"/>
            <w:tcBorders>
              <w:top w:val="nil"/>
              <w:left w:val="nil"/>
              <w:bottom w:val="single" w:sz="8" w:space="0" w:color="002060"/>
              <w:right w:val="single" w:sz="8" w:space="0" w:color="FFFFFF"/>
            </w:tcBorders>
            <w:shd w:val="clear" w:color="auto" w:fill="auto"/>
            <w:vAlign w:val="center"/>
            <w:hideMark/>
          </w:tcPr>
          <w:p w14:paraId="793E8200"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2023</w:t>
            </w:r>
          </w:p>
        </w:tc>
        <w:tc>
          <w:tcPr>
            <w:tcW w:w="657" w:type="pct"/>
            <w:tcBorders>
              <w:top w:val="nil"/>
              <w:left w:val="nil"/>
              <w:bottom w:val="single" w:sz="8" w:space="0" w:color="002060"/>
              <w:right w:val="single" w:sz="8" w:space="0" w:color="FFFFFF"/>
            </w:tcBorders>
            <w:shd w:val="clear" w:color="auto" w:fill="auto"/>
            <w:vAlign w:val="center"/>
            <w:hideMark/>
          </w:tcPr>
          <w:p w14:paraId="6E0E3B79"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2024</w:t>
            </w:r>
          </w:p>
        </w:tc>
      </w:tr>
      <w:tr w:rsidR="00D17D25" w:rsidRPr="00FC38DC" w14:paraId="5A869151" w14:textId="77777777" w:rsidTr="00886C5E">
        <w:trPr>
          <w:trHeight w:val="210"/>
          <w:jc w:val="center"/>
        </w:trPr>
        <w:tc>
          <w:tcPr>
            <w:tcW w:w="3027" w:type="pct"/>
            <w:tcBorders>
              <w:top w:val="nil"/>
              <w:left w:val="single" w:sz="8" w:space="0" w:color="FFFFFF"/>
              <w:bottom w:val="single" w:sz="8" w:space="0" w:color="FFFFFF"/>
              <w:right w:val="nil"/>
            </w:tcBorders>
            <w:shd w:val="clear" w:color="000000" w:fill="E7E6E6"/>
            <w:vAlign w:val="center"/>
            <w:hideMark/>
          </w:tcPr>
          <w:p w14:paraId="0371ABEC" w14:textId="77777777" w:rsidR="00D17D25" w:rsidRPr="00FC38DC" w:rsidRDefault="00D17D25" w:rsidP="00886C5E">
            <w:pPr>
              <w:spacing w:after="0" w:line="240" w:lineRule="auto"/>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Реални раст БДП</w:t>
            </w:r>
            <w:r w:rsidRPr="00FC38DC">
              <w:rPr>
                <w:rFonts w:eastAsia="Times New Roman" w:cstheme="minorHAnsi"/>
                <w:color w:val="002060"/>
                <w:sz w:val="18"/>
                <w:szCs w:val="18"/>
                <w:vertAlign w:val="superscript"/>
                <w:lang w:val="sr-Cyrl-RS" w:eastAsia="en-GB"/>
              </w:rPr>
              <w:t>1</w:t>
            </w:r>
            <w:r w:rsidRPr="00FC38DC">
              <w:rPr>
                <w:rFonts w:eastAsia="Times New Roman" w:cstheme="minorHAnsi"/>
                <w:color w:val="002060"/>
                <w:sz w:val="18"/>
                <w:szCs w:val="18"/>
                <w:lang w:val="sr-Cyrl-RS" w:eastAsia="en-GB"/>
              </w:rPr>
              <w:t>, %</w:t>
            </w:r>
          </w:p>
        </w:tc>
        <w:tc>
          <w:tcPr>
            <w:tcW w:w="658" w:type="pct"/>
            <w:tcBorders>
              <w:top w:val="nil"/>
              <w:left w:val="nil"/>
              <w:bottom w:val="single" w:sz="8" w:space="0" w:color="FFFFFF"/>
              <w:right w:val="nil"/>
            </w:tcBorders>
            <w:shd w:val="clear" w:color="000000" w:fill="E7E6E6"/>
            <w:vAlign w:val="center"/>
            <w:hideMark/>
          </w:tcPr>
          <w:p w14:paraId="3ADD31EF" w14:textId="77777777" w:rsidR="00D17D25" w:rsidRPr="00FC38DC" w:rsidRDefault="00D17D25" w:rsidP="00886C5E">
            <w:pPr>
              <w:spacing w:after="0" w:line="240" w:lineRule="auto"/>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 </w:t>
            </w:r>
          </w:p>
        </w:tc>
        <w:tc>
          <w:tcPr>
            <w:tcW w:w="658" w:type="pct"/>
            <w:tcBorders>
              <w:top w:val="nil"/>
              <w:left w:val="nil"/>
              <w:bottom w:val="single" w:sz="8" w:space="0" w:color="FFFFFF"/>
              <w:right w:val="nil"/>
            </w:tcBorders>
            <w:shd w:val="clear" w:color="000000" w:fill="E7E6E6"/>
            <w:vAlign w:val="center"/>
            <w:hideMark/>
          </w:tcPr>
          <w:p w14:paraId="52D17650" w14:textId="77777777" w:rsidR="00D17D25" w:rsidRPr="00FC38DC" w:rsidRDefault="00D17D25" w:rsidP="00886C5E">
            <w:pPr>
              <w:spacing w:after="0" w:line="240" w:lineRule="auto"/>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 </w:t>
            </w:r>
          </w:p>
        </w:tc>
        <w:tc>
          <w:tcPr>
            <w:tcW w:w="657" w:type="pct"/>
            <w:tcBorders>
              <w:top w:val="nil"/>
              <w:left w:val="nil"/>
              <w:bottom w:val="single" w:sz="8" w:space="0" w:color="FFFFFF"/>
              <w:right w:val="nil"/>
            </w:tcBorders>
            <w:shd w:val="clear" w:color="000000" w:fill="E7E6E6"/>
            <w:vAlign w:val="center"/>
            <w:hideMark/>
          </w:tcPr>
          <w:p w14:paraId="48B4C8C2" w14:textId="77777777" w:rsidR="00D17D25" w:rsidRPr="00FC38DC" w:rsidRDefault="00D17D25" w:rsidP="00886C5E">
            <w:pPr>
              <w:spacing w:after="0" w:line="240" w:lineRule="auto"/>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 </w:t>
            </w:r>
          </w:p>
        </w:tc>
      </w:tr>
      <w:tr w:rsidR="00D17D25" w:rsidRPr="00FC38DC" w14:paraId="7F38B59F" w14:textId="77777777" w:rsidTr="00886C5E">
        <w:trPr>
          <w:trHeight w:val="210"/>
          <w:jc w:val="center"/>
        </w:trPr>
        <w:tc>
          <w:tcPr>
            <w:tcW w:w="3027" w:type="pct"/>
            <w:tcBorders>
              <w:top w:val="nil"/>
              <w:left w:val="nil"/>
              <w:bottom w:val="nil"/>
              <w:right w:val="nil"/>
            </w:tcBorders>
            <w:shd w:val="clear" w:color="auto" w:fill="auto"/>
            <w:vAlign w:val="center"/>
            <w:hideMark/>
          </w:tcPr>
          <w:p w14:paraId="7781BE45" w14:textId="77777777" w:rsidR="00D17D25" w:rsidRPr="00FC38DC" w:rsidRDefault="00D17D25" w:rsidP="00886C5E">
            <w:pPr>
              <w:spacing w:after="0" w:line="240" w:lineRule="auto"/>
              <w:ind w:firstLineChars="200" w:firstLine="360"/>
              <w:jc w:val="left"/>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Свет укупно</w:t>
            </w:r>
          </w:p>
        </w:tc>
        <w:tc>
          <w:tcPr>
            <w:tcW w:w="658" w:type="pct"/>
            <w:tcBorders>
              <w:top w:val="nil"/>
              <w:left w:val="nil"/>
              <w:bottom w:val="nil"/>
              <w:right w:val="nil"/>
            </w:tcBorders>
            <w:shd w:val="clear" w:color="auto" w:fill="auto"/>
            <w:vAlign w:val="center"/>
            <w:hideMark/>
          </w:tcPr>
          <w:p w14:paraId="476D41D8"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3,5</w:t>
            </w:r>
          </w:p>
        </w:tc>
        <w:tc>
          <w:tcPr>
            <w:tcW w:w="658" w:type="pct"/>
            <w:tcBorders>
              <w:top w:val="nil"/>
              <w:left w:val="nil"/>
              <w:bottom w:val="nil"/>
              <w:right w:val="nil"/>
            </w:tcBorders>
            <w:shd w:val="clear" w:color="auto" w:fill="auto"/>
            <w:vAlign w:val="center"/>
            <w:hideMark/>
          </w:tcPr>
          <w:p w14:paraId="4583E125"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3,0</w:t>
            </w:r>
          </w:p>
        </w:tc>
        <w:tc>
          <w:tcPr>
            <w:tcW w:w="657" w:type="pct"/>
            <w:tcBorders>
              <w:top w:val="nil"/>
              <w:left w:val="nil"/>
              <w:bottom w:val="nil"/>
              <w:right w:val="nil"/>
            </w:tcBorders>
            <w:shd w:val="clear" w:color="auto" w:fill="auto"/>
            <w:vAlign w:val="center"/>
            <w:hideMark/>
          </w:tcPr>
          <w:p w14:paraId="6F6134EF"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3,0</w:t>
            </w:r>
          </w:p>
        </w:tc>
      </w:tr>
      <w:tr w:rsidR="00D17D25" w:rsidRPr="00FC38DC" w14:paraId="68ADEF4E" w14:textId="77777777" w:rsidTr="00886C5E">
        <w:trPr>
          <w:trHeight w:val="210"/>
          <w:jc w:val="center"/>
        </w:trPr>
        <w:tc>
          <w:tcPr>
            <w:tcW w:w="3027" w:type="pct"/>
            <w:tcBorders>
              <w:top w:val="nil"/>
              <w:left w:val="nil"/>
              <w:bottom w:val="nil"/>
              <w:right w:val="nil"/>
            </w:tcBorders>
            <w:shd w:val="clear" w:color="auto" w:fill="auto"/>
            <w:vAlign w:val="center"/>
            <w:hideMark/>
          </w:tcPr>
          <w:p w14:paraId="3D9C9E41" w14:textId="77777777" w:rsidR="00D17D25" w:rsidRPr="00FC38DC" w:rsidRDefault="00D17D25" w:rsidP="00886C5E">
            <w:pPr>
              <w:spacing w:after="0" w:line="240" w:lineRule="auto"/>
              <w:ind w:firstLineChars="200" w:firstLine="360"/>
              <w:jc w:val="left"/>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Развијене економије</w:t>
            </w:r>
          </w:p>
        </w:tc>
        <w:tc>
          <w:tcPr>
            <w:tcW w:w="658" w:type="pct"/>
            <w:tcBorders>
              <w:top w:val="nil"/>
              <w:left w:val="nil"/>
              <w:bottom w:val="nil"/>
              <w:right w:val="nil"/>
            </w:tcBorders>
            <w:shd w:val="clear" w:color="auto" w:fill="auto"/>
            <w:vAlign w:val="center"/>
            <w:hideMark/>
          </w:tcPr>
          <w:p w14:paraId="3C700971"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2,7</w:t>
            </w:r>
          </w:p>
        </w:tc>
        <w:tc>
          <w:tcPr>
            <w:tcW w:w="658" w:type="pct"/>
            <w:tcBorders>
              <w:top w:val="nil"/>
              <w:left w:val="nil"/>
              <w:bottom w:val="nil"/>
              <w:right w:val="nil"/>
            </w:tcBorders>
            <w:shd w:val="clear" w:color="auto" w:fill="auto"/>
            <w:vAlign w:val="center"/>
            <w:hideMark/>
          </w:tcPr>
          <w:p w14:paraId="3127081F"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1,5</w:t>
            </w:r>
          </w:p>
        </w:tc>
        <w:tc>
          <w:tcPr>
            <w:tcW w:w="657" w:type="pct"/>
            <w:tcBorders>
              <w:top w:val="nil"/>
              <w:left w:val="nil"/>
              <w:bottom w:val="nil"/>
              <w:right w:val="nil"/>
            </w:tcBorders>
            <w:shd w:val="clear" w:color="auto" w:fill="auto"/>
            <w:vAlign w:val="center"/>
            <w:hideMark/>
          </w:tcPr>
          <w:p w14:paraId="416F5F75"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1,4</w:t>
            </w:r>
          </w:p>
        </w:tc>
      </w:tr>
      <w:tr w:rsidR="00D17D25" w:rsidRPr="00FC38DC" w14:paraId="2E437DD0" w14:textId="77777777" w:rsidTr="00886C5E">
        <w:trPr>
          <w:trHeight w:val="210"/>
          <w:jc w:val="center"/>
        </w:trPr>
        <w:tc>
          <w:tcPr>
            <w:tcW w:w="3027" w:type="pct"/>
            <w:tcBorders>
              <w:top w:val="nil"/>
              <w:left w:val="nil"/>
              <w:bottom w:val="nil"/>
              <w:right w:val="nil"/>
            </w:tcBorders>
            <w:shd w:val="clear" w:color="auto" w:fill="auto"/>
            <w:vAlign w:val="center"/>
            <w:hideMark/>
          </w:tcPr>
          <w:p w14:paraId="73C28170" w14:textId="77777777" w:rsidR="00D17D25" w:rsidRPr="00FC38DC" w:rsidRDefault="00D17D25" w:rsidP="00886C5E">
            <w:pPr>
              <w:spacing w:after="0" w:line="240" w:lineRule="auto"/>
              <w:ind w:firstLineChars="400" w:firstLine="720"/>
              <w:jc w:val="left"/>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САД</w:t>
            </w:r>
          </w:p>
        </w:tc>
        <w:tc>
          <w:tcPr>
            <w:tcW w:w="658" w:type="pct"/>
            <w:tcBorders>
              <w:top w:val="nil"/>
              <w:left w:val="nil"/>
              <w:bottom w:val="nil"/>
              <w:right w:val="nil"/>
            </w:tcBorders>
            <w:shd w:val="clear" w:color="auto" w:fill="auto"/>
            <w:vAlign w:val="center"/>
            <w:hideMark/>
          </w:tcPr>
          <w:p w14:paraId="07EC9A6E"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2,1</w:t>
            </w:r>
          </w:p>
        </w:tc>
        <w:tc>
          <w:tcPr>
            <w:tcW w:w="658" w:type="pct"/>
            <w:tcBorders>
              <w:top w:val="nil"/>
              <w:left w:val="nil"/>
              <w:bottom w:val="nil"/>
              <w:right w:val="nil"/>
            </w:tcBorders>
            <w:shd w:val="clear" w:color="auto" w:fill="auto"/>
            <w:vAlign w:val="center"/>
            <w:hideMark/>
          </w:tcPr>
          <w:p w14:paraId="1AED2170"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1,8</w:t>
            </w:r>
          </w:p>
        </w:tc>
        <w:tc>
          <w:tcPr>
            <w:tcW w:w="657" w:type="pct"/>
            <w:tcBorders>
              <w:top w:val="nil"/>
              <w:left w:val="nil"/>
              <w:bottom w:val="nil"/>
              <w:right w:val="nil"/>
            </w:tcBorders>
            <w:shd w:val="clear" w:color="auto" w:fill="auto"/>
            <w:vAlign w:val="center"/>
            <w:hideMark/>
          </w:tcPr>
          <w:p w14:paraId="1628975D"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1,0</w:t>
            </w:r>
          </w:p>
        </w:tc>
      </w:tr>
      <w:tr w:rsidR="00D17D25" w:rsidRPr="00FC38DC" w14:paraId="52FBE57C" w14:textId="77777777" w:rsidTr="00886C5E">
        <w:trPr>
          <w:trHeight w:val="210"/>
          <w:jc w:val="center"/>
        </w:trPr>
        <w:tc>
          <w:tcPr>
            <w:tcW w:w="3027" w:type="pct"/>
            <w:tcBorders>
              <w:top w:val="nil"/>
              <w:left w:val="nil"/>
              <w:bottom w:val="nil"/>
              <w:right w:val="nil"/>
            </w:tcBorders>
            <w:shd w:val="clear" w:color="auto" w:fill="auto"/>
            <w:vAlign w:val="center"/>
            <w:hideMark/>
          </w:tcPr>
          <w:p w14:paraId="6E3E62C9" w14:textId="77777777" w:rsidR="00D17D25" w:rsidRPr="00FC38DC" w:rsidRDefault="00D17D25" w:rsidP="00886C5E">
            <w:pPr>
              <w:spacing w:after="0" w:line="240" w:lineRule="auto"/>
              <w:ind w:firstLineChars="400" w:firstLine="720"/>
              <w:jc w:val="left"/>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Еврозона</w:t>
            </w:r>
          </w:p>
        </w:tc>
        <w:tc>
          <w:tcPr>
            <w:tcW w:w="658" w:type="pct"/>
            <w:tcBorders>
              <w:top w:val="nil"/>
              <w:left w:val="nil"/>
              <w:bottom w:val="nil"/>
              <w:right w:val="nil"/>
            </w:tcBorders>
            <w:shd w:val="clear" w:color="auto" w:fill="auto"/>
            <w:vAlign w:val="center"/>
            <w:hideMark/>
          </w:tcPr>
          <w:p w14:paraId="6A60AB22"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3,5</w:t>
            </w:r>
          </w:p>
        </w:tc>
        <w:tc>
          <w:tcPr>
            <w:tcW w:w="658" w:type="pct"/>
            <w:tcBorders>
              <w:top w:val="nil"/>
              <w:left w:val="nil"/>
              <w:bottom w:val="nil"/>
              <w:right w:val="nil"/>
            </w:tcBorders>
            <w:shd w:val="clear" w:color="auto" w:fill="auto"/>
            <w:vAlign w:val="center"/>
            <w:hideMark/>
          </w:tcPr>
          <w:p w14:paraId="199229C5"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0,9</w:t>
            </w:r>
          </w:p>
        </w:tc>
        <w:tc>
          <w:tcPr>
            <w:tcW w:w="657" w:type="pct"/>
            <w:tcBorders>
              <w:top w:val="nil"/>
              <w:left w:val="nil"/>
              <w:bottom w:val="nil"/>
              <w:right w:val="nil"/>
            </w:tcBorders>
            <w:shd w:val="clear" w:color="auto" w:fill="auto"/>
            <w:vAlign w:val="center"/>
            <w:hideMark/>
          </w:tcPr>
          <w:p w14:paraId="17592C0E"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1,5</w:t>
            </w:r>
          </w:p>
        </w:tc>
      </w:tr>
      <w:tr w:rsidR="00D17D25" w:rsidRPr="00FC38DC" w14:paraId="23CF4435" w14:textId="77777777" w:rsidTr="00886C5E">
        <w:trPr>
          <w:trHeight w:val="210"/>
          <w:jc w:val="center"/>
        </w:trPr>
        <w:tc>
          <w:tcPr>
            <w:tcW w:w="3027" w:type="pct"/>
            <w:tcBorders>
              <w:top w:val="nil"/>
              <w:left w:val="nil"/>
              <w:bottom w:val="nil"/>
              <w:right w:val="nil"/>
            </w:tcBorders>
            <w:shd w:val="clear" w:color="auto" w:fill="auto"/>
            <w:vAlign w:val="center"/>
            <w:hideMark/>
          </w:tcPr>
          <w:p w14:paraId="249F9C11" w14:textId="77777777" w:rsidR="00D17D25" w:rsidRPr="00FC38DC" w:rsidRDefault="00D17D25" w:rsidP="00886C5E">
            <w:pPr>
              <w:spacing w:after="0" w:line="240" w:lineRule="auto"/>
              <w:ind w:firstLineChars="200" w:firstLine="360"/>
              <w:jc w:val="left"/>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Земље у успону</w:t>
            </w:r>
          </w:p>
        </w:tc>
        <w:tc>
          <w:tcPr>
            <w:tcW w:w="658" w:type="pct"/>
            <w:tcBorders>
              <w:top w:val="nil"/>
              <w:left w:val="nil"/>
              <w:bottom w:val="nil"/>
              <w:right w:val="nil"/>
            </w:tcBorders>
            <w:shd w:val="clear" w:color="auto" w:fill="auto"/>
            <w:vAlign w:val="center"/>
            <w:hideMark/>
          </w:tcPr>
          <w:p w14:paraId="1A32FFBC"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4,0</w:t>
            </w:r>
          </w:p>
        </w:tc>
        <w:tc>
          <w:tcPr>
            <w:tcW w:w="658" w:type="pct"/>
            <w:tcBorders>
              <w:top w:val="nil"/>
              <w:left w:val="nil"/>
              <w:bottom w:val="nil"/>
              <w:right w:val="nil"/>
            </w:tcBorders>
            <w:shd w:val="clear" w:color="auto" w:fill="auto"/>
            <w:vAlign w:val="center"/>
            <w:hideMark/>
          </w:tcPr>
          <w:p w14:paraId="318994AF"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4,0</w:t>
            </w:r>
          </w:p>
        </w:tc>
        <w:tc>
          <w:tcPr>
            <w:tcW w:w="657" w:type="pct"/>
            <w:tcBorders>
              <w:top w:val="nil"/>
              <w:left w:val="nil"/>
              <w:bottom w:val="nil"/>
              <w:right w:val="nil"/>
            </w:tcBorders>
            <w:shd w:val="clear" w:color="auto" w:fill="auto"/>
            <w:vAlign w:val="center"/>
            <w:hideMark/>
          </w:tcPr>
          <w:p w14:paraId="0619B8B2"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4,1</w:t>
            </w:r>
          </w:p>
        </w:tc>
      </w:tr>
      <w:tr w:rsidR="00D17D25" w:rsidRPr="00FC38DC" w14:paraId="06357246" w14:textId="77777777" w:rsidTr="00886C5E">
        <w:trPr>
          <w:trHeight w:val="210"/>
          <w:jc w:val="center"/>
        </w:trPr>
        <w:tc>
          <w:tcPr>
            <w:tcW w:w="3027" w:type="pct"/>
            <w:tcBorders>
              <w:top w:val="nil"/>
              <w:left w:val="nil"/>
              <w:bottom w:val="nil"/>
              <w:right w:val="nil"/>
            </w:tcBorders>
            <w:shd w:val="clear" w:color="auto" w:fill="auto"/>
            <w:vAlign w:val="center"/>
            <w:hideMark/>
          </w:tcPr>
          <w:p w14:paraId="617859ED" w14:textId="77777777" w:rsidR="00D17D25" w:rsidRPr="00FC38DC" w:rsidRDefault="00D17D25" w:rsidP="00886C5E">
            <w:pPr>
              <w:spacing w:after="0" w:line="240" w:lineRule="auto"/>
              <w:ind w:firstLineChars="400" w:firstLine="720"/>
              <w:jc w:val="left"/>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Кина</w:t>
            </w:r>
          </w:p>
        </w:tc>
        <w:tc>
          <w:tcPr>
            <w:tcW w:w="658" w:type="pct"/>
            <w:tcBorders>
              <w:top w:val="nil"/>
              <w:left w:val="nil"/>
              <w:bottom w:val="nil"/>
              <w:right w:val="nil"/>
            </w:tcBorders>
            <w:shd w:val="clear" w:color="auto" w:fill="auto"/>
            <w:vAlign w:val="center"/>
            <w:hideMark/>
          </w:tcPr>
          <w:p w14:paraId="611ECD89"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3,0</w:t>
            </w:r>
          </w:p>
        </w:tc>
        <w:tc>
          <w:tcPr>
            <w:tcW w:w="658" w:type="pct"/>
            <w:tcBorders>
              <w:top w:val="nil"/>
              <w:left w:val="nil"/>
              <w:bottom w:val="nil"/>
              <w:right w:val="nil"/>
            </w:tcBorders>
            <w:shd w:val="clear" w:color="auto" w:fill="auto"/>
            <w:vAlign w:val="center"/>
            <w:hideMark/>
          </w:tcPr>
          <w:p w14:paraId="75BFE4F2"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5,2</w:t>
            </w:r>
          </w:p>
        </w:tc>
        <w:tc>
          <w:tcPr>
            <w:tcW w:w="657" w:type="pct"/>
            <w:tcBorders>
              <w:top w:val="nil"/>
              <w:left w:val="nil"/>
              <w:bottom w:val="nil"/>
              <w:right w:val="nil"/>
            </w:tcBorders>
            <w:shd w:val="clear" w:color="auto" w:fill="auto"/>
            <w:vAlign w:val="center"/>
            <w:hideMark/>
          </w:tcPr>
          <w:p w14:paraId="5DBF127F"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4,5</w:t>
            </w:r>
          </w:p>
        </w:tc>
      </w:tr>
      <w:tr w:rsidR="00D17D25" w:rsidRPr="00FC38DC" w14:paraId="779677AA" w14:textId="77777777" w:rsidTr="00886C5E">
        <w:trPr>
          <w:trHeight w:val="210"/>
          <w:jc w:val="center"/>
        </w:trPr>
        <w:tc>
          <w:tcPr>
            <w:tcW w:w="3027" w:type="pct"/>
            <w:tcBorders>
              <w:top w:val="nil"/>
              <w:left w:val="nil"/>
              <w:bottom w:val="nil"/>
              <w:right w:val="nil"/>
            </w:tcBorders>
            <w:shd w:val="clear" w:color="auto" w:fill="auto"/>
            <w:vAlign w:val="center"/>
            <w:hideMark/>
          </w:tcPr>
          <w:p w14:paraId="4B6D9CA1" w14:textId="77777777" w:rsidR="00D17D25" w:rsidRPr="00FC38DC" w:rsidRDefault="00D17D25" w:rsidP="00886C5E">
            <w:pPr>
              <w:spacing w:after="0" w:line="240" w:lineRule="auto"/>
              <w:ind w:firstLineChars="400" w:firstLine="720"/>
              <w:jc w:val="left"/>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 xml:space="preserve">Русија </w:t>
            </w:r>
          </w:p>
        </w:tc>
        <w:tc>
          <w:tcPr>
            <w:tcW w:w="658" w:type="pct"/>
            <w:tcBorders>
              <w:top w:val="nil"/>
              <w:left w:val="nil"/>
              <w:bottom w:val="nil"/>
              <w:right w:val="nil"/>
            </w:tcBorders>
            <w:shd w:val="clear" w:color="auto" w:fill="auto"/>
            <w:vAlign w:val="center"/>
            <w:hideMark/>
          </w:tcPr>
          <w:p w14:paraId="471EA4FA"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-2,1</w:t>
            </w:r>
          </w:p>
        </w:tc>
        <w:tc>
          <w:tcPr>
            <w:tcW w:w="658" w:type="pct"/>
            <w:tcBorders>
              <w:top w:val="nil"/>
              <w:left w:val="nil"/>
              <w:bottom w:val="nil"/>
              <w:right w:val="nil"/>
            </w:tcBorders>
            <w:shd w:val="clear" w:color="auto" w:fill="auto"/>
            <w:vAlign w:val="center"/>
            <w:hideMark/>
          </w:tcPr>
          <w:p w14:paraId="7DABF883"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1,5</w:t>
            </w:r>
          </w:p>
        </w:tc>
        <w:tc>
          <w:tcPr>
            <w:tcW w:w="657" w:type="pct"/>
            <w:tcBorders>
              <w:top w:val="nil"/>
              <w:left w:val="nil"/>
              <w:bottom w:val="nil"/>
              <w:right w:val="nil"/>
            </w:tcBorders>
            <w:shd w:val="clear" w:color="auto" w:fill="auto"/>
            <w:vAlign w:val="center"/>
            <w:hideMark/>
          </w:tcPr>
          <w:p w14:paraId="4969B6CB"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1,3</w:t>
            </w:r>
          </w:p>
        </w:tc>
      </w:tr>
      <w:tr w:rsidR="00D17D25" w:rsidRPr="00FC38DC" w14:paraId="1C58B9F3" w14:textId="77777777" w:rsidTr="00886C5E">
        <w:trPr>
          <w:trHeight w:val="210"/>
          <w:jc w:val="center"/>
        </w:trPr>
        <w:tc>
          <w:tcPr>
            <w:tcW w:w="3027" w:type="pct"/>
            <w:tcBorders>
              <w:top w:val="nil"/>
              <w:left w:val="nil"/>
              <w:bottom w:val="nil"/>
              <w:right w:val="nil"/>
            </w:tcBorders>
            <w:shd w:val="clear" w:color="auto" w:fill="auto"/>
            <w:vAlign w:val="center"/>
            <w:hideMark/>
          </w:tcPr>
          <w:p w14:paraId="6279A081" w14:textId="77777777" w:rsidR="00D17D25" w:rsidRPr="00FC38DC" w:rsidRDefault="00D17D25" w:rsidP="00886C5E">
            <w:pPr>
              <w:spacing w:after="0" w:line="240" w:lineRule="auto"/>
              <w:ind w:firstLineChars="200" w:firstLine="360"/>
              <w:jc w:val="left"/>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Раст светске трговине, %</w:t>
            </w:r>
          </w:p>
        </w:tc>
        <w:tc>
          <w:tcPr>
            <w:tcW w:w="658" w:type="pct"/>
            <w:tcBorders>
              <w:top w:val="nil"/>
              <w:left w:val="nil"/>
              <w:bottom w:val="nil"/>
              <w:right w:val="nil"/>
            </w:tcBorders>
            <w:shd w:val="clear" w:color="auto" w:fill="auto"/>
            <w:vAlign w:val="center"/>
            <w:hideMark/>
          </w:tcPr>
          <w:p w14:paraId="6F0F567E"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5,2</w:t>
            </w:r>
          </w:p>
        </w:tc>
        <w:tc>
          <w:tcPr>
            <w:tcW w:w="658" w:type="pct"/>
            <w:tcBorders>
              <w:top w:val="nil"/>
              <w:left w:val="nil"/>
              <w:bottom w:val="nil"/>
              <w:right w:val="nil"/>
            </w:tcBorders>
            <w:shd w:val="clear" w:color="auto" w:fill="auto"/>
            <w:vAlign w:val="center"/>
            <w:hideMark/>
          </w:tcPr>
          <w:p w14:paraId="3A76139D"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2,0</w:t>
            </w:r>
          </w:p>
        </w:tc>
        <w:tc>
          <w:tcPr>
            <w:tcW w:w="657" w:type="pct"/>
            <w:tcBorders>
              <w:top w:val="nil"/>
              <w:left w:val="nil"/>
              <w:bottom w:val="nil"/>
              <w:right w:val="nil"/>
            </w:tcBorders>
            <w:shd w:val="clear" w:color="auto" w:fill="auto"/>
            <w:vAlign w:val="center"/>
            <w:hideMark/>
          </w:tcPr>
          <w:p w14:paraId="5EDB40FB"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3,7</w:t>
            </w:r>
          </w:p>
        </w:tc>
      </w:tr>
      <w:tr w:rsidR="00D17D25" w:rsidRPr="00FC38DC" w14:paraId="358DFEE9" w14:textId="77777777" w:rsidTr="00886C5E">
        <w:trPr>
          <w:trHeight w:val="210"/>
          <w:jc w:val="center"/>
        </w:trPr>
        <w:tc>
          <w:tcPr>
            <w:tcW w:w="3027" w:type="pct"/>
            <w:tcBorders>
              <w:top w:val="nil"/>
              <w:left w:val="nil"/>
              <w:bottom w:val="nil"/>
              <w:right w:val="nil"/>
            </w:tcBorders>
            <w:shd w:val="clear" w:color="000000" w:fill="E7E6E6"/>
            <w:vAlign w:val="center"/>
            <w:hideMark/>
          </w:tcPr>
          <w:p w14:paraId="12E24DD0" w14:textId="77777777" w:rsidR="00D17D25" w:rsidRPr="00FC38DC" w:rsidRDefault="00D17D25" w:rsidP="00886C5E">
            <w:pPr>
              <w:spacing w:after="0" w:line="240" w:lineRule="auto"/>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Потрошачке цене, просек периода, %</w:t>
            </w:r>
          </w:p>
        </w:tc>
        <w:tc>
          <w:tcPr>
            <w:tcW w:w="658" w:type="pct"/>
            <w:tcBorders>
              <w:top w:val="nil"/>
              <w:left w:val="nil"/>
              <w:bottom w:val="nil"/>
              <w:right w:val="nil"/>
            </w:tcBorders>
            <w:shd w:val="clear" w:color="000000" w:fill="E7E6E6"/>
            <w:vAlign w:val="center"/>
          </w:tcPr>
          <w:p w14:paraId="0ECFD053"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p>
        </w:tc>
        <w:tc>
          <w:tcPr>
            <w:tcW w:w="658" w:type="pct"/>
            <w:tcBorders>
              <w:top w:val="nil"/>
              <w:left w:val="nil"/>
              <w:bottom w:val="nil"/>
              <w:right w:val="nil"/>
            </w:tcBorders>
            <w:shd w:val="clear" w:color="000000" w:fill="E7E6E6"/>
            <w:vAlign w:val="center"/>
          </w:tcPr>
          <w:p w14:paraId="5577B6A0"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p>
        </w:tc>
        <w:tc>
          <w:tcPr>
            <w:tcW w:w="657" w:type="pct"/>
            <w:tcBorders>
              <w:top w:val="nil"/>
              <w:left w:val="nil"/>
              <w:bottom w:val="nil"/>
              <w:right w:val="nil"/>
            </w:tcBorders>
            <w:shd w:val="clear" w:color="000000" w:fill="E7E6E6"/>
            <w:vAlign w:val="center"/>
          </w:tcPr>
          <w:p w14:paraId="6CA5F3FC"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p>
        </w:tc>
      </w:tr>
      <w:tr w:rsidR="00D17D25" w:rsidRPr="00FC38DC" w14:paraId="27C754C7" w14:textId="77777777" w:rsidTr="00886C5E">
        <w:trPr>
          <w:trHeight w:val="210"/>
          <w:jc w:val="center"/>
        </w:trPr>
        <w:tc>
          <w:tcPr>
            <w:tcW w:w="3027" w:type="pct"/>
            <w:tcBorders>
              <w:top w:val="nil"/>
              <w:left w:val="nil"/>
              <w:bottom w:val="nil"/>
              <w:right w:val="nil"/>
            </w:tcBorders>
            <w:shd w:val="clear" w:color="auto" w:fill="auto"/>
            <w:vAlign w:val="center"/>
            <w:hideMark/>
          </w:tcPr>
          <w:p w14:paraId="23790DEF" w14:textId="77777777" w:rsidR="00D17D25" w:rsidRPr="00FC38DC" w:rsidRDefault="00D17D25" w:rsidP="00886C5E">
            <w:pPr>
              <w:spacing w:after="0" w:line="240" w:lineRule="auto"/>
              <w:ind w:firstLineChars="200" w:firstLine="360"/>
              <w:jc w:val="left"/>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Еврозона</w:t>
            </w:r>
          </w:p>
        </w:tc>
        <w:tc>
          <w:tcPr>
            <w:tcW w:w="658" w:type="pct"/>
            <w:tcBorders>
              <w:top w:val="nil"/>
              <w:left w:val="nil"/>
              <w:bottom w:val="nil"/>
              <w:right w:val="nil"/>
            </w:tcBorders>
            <w:shd w:val="clear" w:color="auto" w:fill="auto"/>
            <w:vAlign w:val="center"/>
            <w:hideMark/>
          </w:tcPr>
          <w:p w14:paraId="761842C4"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8,4</w:t>
            </w:r>
          </w:p>
        </w:tc>
        <w:tc>
          <w:tcPr>
            <w:tcW w:w="658" w:type="pct"/>
            <w:tcBorders>
              <w:top w:val="nil"/>
              <w:left w:val="nil"/>
              <w:bottom w:val="nil"/>
              <w:right w:val="nil"/>
            </w:tcBorders>
            <w:shd w:val="clear" w:color="auto" w:fill="auto"/>
            <w:vAlign w:val="center"/>
            <w:hideMark/>
          </w:tcPr>
          <w:p w14:paraId="1BC65B35"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5,2</w:t>
            </w:r>
          </w:p>
        </w:tc>
        <w:tc>
          <w:tcPr>
            <w:tcW w:w="657" w:type="pct"/>
            <w:tcBorders>
              <w:top w:val="nil"/>
              <w:left w:val="nil"/>
              <w:bottom w:val="nil"/>
              <w:right w:val="nil"/>
            </w:tcBorders>
            <w:shd w:val="clear" w:color="auto" w:fill="auto"/>
            <w:vAlign w:val="center"/>
            <w:hideMark/>
          </w:tcPr>
          <w:p w14:paraId="23A5B96D"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2,8</w:t>
            </w:r>
          </w:p>
        </w:tc>
      </w:tr>
      <w:tr w:rsidR="00D17D25" w:rsidRPr="00FC38DC" w14:paraId="3759913F" w14:textId="77777777" w:rsidTr="00886C5E">
        <w:trPr>
          <w:trHeight w:val="210"/>
          <w:jc w:val="center"/>
        </w:trPr>
        <w:tc>
          <w:tcPr>
            <w:tcW w:w="3027" w:type="pct"/>
            <w:tcBorders>
              <w:top w:val="nil"/>
              <w:left w:val="nil"/>
              <w:bottom w:val="nil"/>
              <w:right w:val="nil"/>
            </w:tcBorders>
            <w:shd w:val="clear" w:color="auto" w:fill="auto"/>
            <w:vAlign w:val="center"/>
            <w:hideMark/>
          </w:tcPr>
          <w:p w14:paraId="250C2964" w14:textId="77777777" w:rsidR="00D17D25" w:rsidRPr="00FC38DC" w:rsidRDefault="00D17D25" w:rsidP="00886C5E">
            <w:pPr>
              <w:spacing w:after="0" w:line="240" w:lineRule="auto"/>
              <w:ind w:firstLineChars="200" w:firstLine="360"/>
              <w:jc w:val="left"/>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Развијене економије</w:t>
            </w:r>
          </w:p>
        </w:tc>
        <w:tc>
          <w:tcPr>
            <w:tcW w:w="658" w:type="pct"/>
            <w:tcBorders>
              <w:top w:val="nil"/>
              <w:left w:val="nil"/>
              <w:bottom w:val="nil"/>
              <w:right w:val="nil"/>
            </w:tcBorders>
            <w:shd w:val="clear" w:color="auto" w:fill="auto"/>
            <w:vAlign w:val="center"/>
            <w:hideMark/>
          </w:tcPr>
          <w:p w14:paraId="5E9CA5A9"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7,3</w:t>
            </w:r>
          </w:p>
        </w:tc>
        <w:tc>
          <w:tcPr>
            <w:tcW w:w="658" w:type="pct"/>
            <w:tcBorders>
              <w:top w:val="nil"/>
              <w:left w:val="nil"/>
              <w:bottom w:val="nil"/>
              <w:right w:val="nil"/>
            </w:tcBorders>
            <w:shd w:val="clear" w:color="auto" w:fill="auto"/>
            <w:vAlign w:val="center"/>
            <w:hideMark/>
          </w:tcPr>
          <w:p w14:paraId="3A8C3769"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4,7</w:t>
            </w:r>
          </w:p>
        </w:tc>
        <w:tc>
          <w:tcPr>
            <w:tcW w:w="657" w:type="pct"/>
            <w:tcBorders>
              <w:top w:val="nil"/>
              <w:left w:val="nil"/>
              <w:bottom w:val="nil"/>
              <w:right w:val="nil"/>
            </w:tcBorders>
            <w:shd w:val="clear" w:color="auto" w:fill="auto"/>
            <w:vAlign w:val="center"/>
            <w:hideMark/>
          </w:tcPr>
          <w:p w14:paraId="30368A04"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2,8</w:t>
            </w:r>
          </w:p>
        </w:tc>
      </w:tr>
      <w:tr w:rsidR="00D17D25" w:rsidRPr="00FC38DC" w14:paraId="26C83EC7" w14:textId="77777777" w:rsidTr="00886C5E">
        <w:trPr>
          <w:trHeight w:val="210"/>
          <w:jc w:val="center"/>
        </w:trPr>
        <w:tc>
          <w:tcPr>
            <w:tcW w:w="3027" w:type="pct"/>
            <w:tcBorders>
              <w:top w:val="nil"/>
              <w:left w:val="nil"/>
              <w:right w:val="nil"/>
            </w:tcBorders>
            <w:shd w:val="clear" w:color="auto" w:fill="auto"/>
            <w:vAlign w:val="center"/>
            <w:hideMark/>
          </w:tcPr>
          <w:p w14:paraId="0225F6E8" w14:textId="77777777" w:rsidR="00D17D25" w:rsidRPr="00FC38DC" w:rsidRDefault="00D17D25" w:rsidP="00886C5E">
            <w:pPr>
              <w:spacing w:after="0" w:line="240" w:lineRule="auto"/>
              <w:ind w:firstLineChars="200" w:firstLine="360"/>
              <w:jc w:val="left"/>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Земље у успону</w:t>
            </w:r>
          </w:p>
        </w:tc>
        <w:tc>
          <w:tcPr>
            <w:tcW w:w="658" w:type="pct"/>
            <w:tcBorders>
              <w:top w:val="nil"/>
              <w:left w:val="nil"/>
              <w:right w:val="nil"/>
            </w:tcBorders>
            <w:shd w:val="clear" w:color="auto" w:fill="auto"/>
            <w:vAlign w:val="center"/>
            <w:hideMark/>
          </w:tcPr>
          <w:p w14:paraId="057DCDAB"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9,8</w:t>
            </w:r>
          </w:p>
        </w:tc>
        <w:tc>
          <w:tcPr>
            <w:tcW w:w="658" w:type="pct"/>
            <w:tcBorders>
              <w:top w:val="nil"/>
              <w:left w:val="nil"/>
              <w:right w:val="nil"/>
            </w:tcBorders>
            <w:shd w:val="clear" w:color="auto" w:fill="auto"/>
            <w:vAlign w:val="center"/>
            <w:hideMark/>
          </w:tcPr>
          <w:p w14:paraId="4647D31E"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8,3</w:t>
            </w:r>
          </w:p>
        </w:tc>
        <w:tc>
          <w:tcPr>
            <w:tcW w:w="657" w:type="pct"/>
            <w:tcBorders>
              <w:top w:val="nil"/>
              <w:left w:val="nil"/>
              <w:right w:val="nil"/>
            </w:tcBorders>
            <w:shd w:val="clear" w:color="auto" w:fill="auto"/>
            <w:vAlign w:val="center"/>
            <w:hideMark/>
          </w:tcPr>
          <w:p w14:paraId="4C7B06FF"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6,8</w:t>
            </w:r>
          </w:p>
        </w:tc>
      </w:tr>
      <w:tr w:rsidR="00D17D25" w:rsidRPr="00FC38DC" w14:paraId="536AD977" w14:textId="77777777" w:rsidTr="00886C5E">
        <w:trPr>
          <w:trHeight w:val="210"/>
          <w:jc w:val="center"/>
        </w:trPr>
        <w:tc>
          <w:tcPr>
            <w:tcW w:w="3027" w:type="pct"/>
            <w:tcBorders>
              <w:top w:val="nil"/>
              <w:left w:val="nil"/>
              <w:right w:val="nil"/>
            </w:tcBorders>
            <w:shd w:val="clear" w:color="auto" w:fill="auto"/>
            <w:vAlign w:val="center"/>
            <w:hideMark/>
          </w:tcPr>
          <w:p w14:paraId="6B1D1F79" w14:textId="77777777" w:rsidR="00D17D25" w:rsidRPr="00FC38DC" w:rsidRDefault="00D17D25" w:rsidP="00886C5E">
            <w:pPr>
              <w:spacing w:after="0" w:line="240" w:lineRule="auto"/>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Цене нафте, у доларима, годишње промене, %</w:t>
            </w:r>
          </w:p>
        </w:tc>
        <w:tc>
          <w:tcPr>
            <w:tcW w:w="658" w:type="pct"/>
            <w:tcBorders>
              <w:top w:val="nil"/>
              <w:left w:val="nil"/>
              <w:right w:val="nil"/>
            </w:tcBorders>
            <w:shd w:val="clear" w:color="auto" w:fill="auto"/>
            <w:vAlign w:val="center"/>
            <w:hideMark/>
          </w:tcPr>
          <w:p w14:paraId="574D5439"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39,2</w:t>
            </w:r>
          </w:p>
        </w:tc>
        <w:tc>
          <w:tcPr>
            <w:tcW w:w="658" w:type="pct"/>
            <w:tcBorders>
              <w:top w:val="nil"/>
              <w:left w:val="nil"/>
              <w:right w:val="nil"/>
            </w:tcBorders>
            <w:shd w:val="clear" w:color="auto" w:fill="auto"/>
            <w:vAlign w:val="center"/>
            <w:hideMark/>
          </w:tcPr>
          <w:p w14:paraId="4CA504DE"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-20,7</w:t>
            </w:r>
          </w:p>
        </w:tc>
        <w:tc>
          <w:tcPr>
            <w:tcW w:w="657" w:type="pct"/>
            <w:tcBorders>
              <w:top w:val="nil"/>
              <w:left w:val="nil"/>
              <w:right w:val="nil"/>
            </w:tcBorders>
            <w:shd w:val="clear" w:color="auto" w:fill="auto"/>
            <w:vAlign w:val="center"/>
            <w:hideMark/>
          </w:tcPr>
          <w:p w14:paraId="71B8A3A5"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-6,2</w:t>
            </w:r>
          </w:p>
        </w:tc>
      </w:tr>
      <w:tr w:rsidR="00D17D25" w:rsidRPr="00FC38DC" w14:paraId="1500A132" w14:textId="77777777" w:rsidTr="00886C5E">
        <w:trPr>
          <w:trHeight w:val="210"/>
          <w:jc w:val="center"/>
        </w:trPr>
        <w:tc>
          <w:tcPr>
            <w:tcW w:w="3027" w:type="pct"/>
            <w:tcBorders>
              <w:left w:val="nil"/>
              <w:bottom w:val="single" w:sz="8" w:space="0" w:color="002060"/>
              <w:right w:val="nil"/>
            </w:tcBorders>
            <w:shd w:val="clear" w:color="auto" w:fill="auto"/>
            <w:vAlign w:val="center"/>
          </w:tcPr>
          <w:p w14:paraId="4525930E" w14:textId="77777777" w:rsidR="00D17D25" w:rsidRPr="00FC38DC" w:rsidRDefault="00D17D25" w:rsidP="00886C5E">
            <w:pPr>
              <w:spacing w:after="0" w:line="240" w:lineRule="auto"/>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Цене примарних производа, осим горива, годишње промене, %</w:t>
            </w:r>
          </w:p>
        </w:tc>
        <w:tc>
          <w:tcPr>
            <w:tcW w:w="658" w:type="pct"/>
            <w:tcBorders>
              <w:left w:val="nil"/>
              <w:bottom w:val="single" w:sz="8" w:space="0" w:color="002060"/>
              <w:right w:val="nil"/>
            </w:tcBorders>
            <w:shd w:val="clear" w:color="auto" w:fill="auto"/>
            <w:vAlign w:val="center"/>
          </w:tcPr>
          <w:p w14:paraId="4D875E58"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7,9</w:t>
            </w:r>
          </w:p>
        </w:tc>
        <w:tc>
          <w:tcPr>
            <w:tcW w:w="658" w:type="pct"/>
            <w:tcBorders>
              <w:left w:val="nil"/>
              <w:bottom w:val="single" w:sz="8" w:space="0" w:color="002060"/>
              <w:right w:val="nil"/>
            </w:tcBorders>
            <w:shd w:val="clear" w:color="auto" w:fill="auto"/>
            <w:vAlign w:val="center"/>
          </w:tcPr>
          <w:p w14:paraId="5D3B4323"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-4,8</w:t>
            </w:r>
          </w:p>
        </w:tc>
        <w:tc>
          <w:tcPr>
            <w:tcW w:w="657" w:type="pct"/>
            <w:tcBorders>
              <w:left w:val="nil"/>
              <w:bottom w:val="single" w:sz="8" w:space="0" w:color="002060"/>
              <w:right w:val="nil"/>
            </w:tcBorders>
            <w:shd w:val="clear" w:color="auto" w:fill="auto"/>
            <w:vAlign w:val="center"/>
          </w:tcPr>
          <w:p w14:paraId="458B8881" w14:textId="77777777" w:rsidR="00D17D25" w:rsidRPr="00FC38DC" w:rsidRDefault="00D17D25" w:rsidP="00886C5E">
            <w:pPr>
              <w:spacing w:after="0" w:line="240" w:lineRule="auto"/>
              <w:jc w:val="center"/>
              <w:rPr>
                <w:rFonts w:eastAsia="Times New Roman" w:cstheme="minorHAnsi"/>
                <w:color w:val="002060"/>
                <w:sz w:val="18"/>
                <w:szCs w:val="18"/>
                <w:lang w:val="sr-Cyrl-RS" w:eastAsia="en-GB"/>
              </w:rPr>
            </w:pPr>
            <w:r w:rsidRPr="00FC38DC">
              <w:rPr>
                <w:rFonts w:eastAsia="Times New Roman" w:cstheme="minorHAnsi"/>
                <w:color w:val="002060"/>
                <w:sz w:val="18"/>
                <w:szCs w:val="18"/>
                <w:lang w:val="sr-Cyrl-RS" w:eastAsia="en-GB"/>
              </w:rPr>
              <w:t>-1,4</w:t>
            </w:r>
          </w:p>
        </w:tc>
      </w:tr>
      <w:tr w:rsidR="00D17D25" w:rsidRPr="00FC38DC" w14:paraId="055BACE6" w14:textId="77777777" w:rsidTr="00886C5E">
        <w:trPr>
          <w:trHeight w:val="210"/>
          <w:jc w:val="center"/>
        </w:trPr>
        <w:tc>
          <w:tcPr>
            <w:tcW w:w="5000" w:type="pct"/>
            <w:gridSpan w:val="4"/>
            <w:tcBorders>
              <w:top w:val="single" w:sz="8" w:space="0" w:color="002060"/>
              <w:left w:val="nil"/>
              <w:bottom w:val="nil"/>
              <w:right w:val="nil"/>
            </w:tcBorders>
            <w:shd w:val="clear" w:color="auto" w:fill="auto"/>
            <w:vAlign w:val="center"/>
            <w:hideMark/>
          </w:tcPr>
          <w:p w14:paraId="5434B6F5" w14:textId="77777777" w:rsidR="00D17D25" w:rsidRPr="00FC38DC" w:rsidRDefault="00D17D25" w:rsidP="00886C5E">
            <w:pPr>
              <w:spacing w:after="0" w:line="240" w:lineRule="auto"/>
              <w:rPr>
                <w:rFonts w:eastAsia="Times New Roman" w:cstheme="minorHAnsi"/>
                <w:sz w:val="16"/>
                <w:szCs w:val="16"/>
                <w:lang w:val="sr-Cyrl-RS" w:eastAsia="en-GB"/>
              </w:rPr>
            </w:pPr>
            <w:r w:rsidRPr="00FC38DC">
              <w:rPr>
                <w:rFonts w:eastAsia="Times New Roman" w:cstheme="minorHAnsi"/>
                <w:sz w:val="16"/>
                <w:szCs w:val="16"/>
                <w:lang w:val="sr-Cyrl-RS" w:eastAsia="en-GB"/>
              </w:rPr>
              <w:t xml:space="preserve">Извор: ММФ, </w:t>
            </w:r>
            <w:r w:rsidRPr="00FC38DC">
              <w:rPr>
                <w:rFonts w:eastAsia="Times New Roman" w:cstheme="minorHAnsi"/>
                <w:i/>
                <w:iCs/>
                <w:sz w:val="16"/>
                <w:szCs w:val="16"/>
                <w:lang w:val="sr-Cyrl-RS" w:eastAsia="en-GB"/>
              </w:rPr>
              <w:t>World Economic Outlook</w:t>
            </w:r>
            <w:r w:rsidRPr="00FC38DC">
              <w:rPr>
                <w:rFonts w:eastAsia="Times New Roman" w:cstheme="minorHAnsi"/>
                <w:sz w:val="16"/>
                <w:szCs w:val="16"/>
                <w:lang w:val="sr-Cyrl-RS" w:eastAsia="en-GB"/>
              </w:rPr>
              <w:t>, јул 2023.</w:t>
            </w:r>
          </w:p>
        </w:tc>
      </w:tr>
      <w:tr w:rsidR="00D17D25" w:rsidRPr="00FC38DC" w14:paraId="32E78B50" w14:textId="77777777" w:rsidTr="00886C5E">
        <w:trPr>
          <w:trHeight w:val="210"/>
          <w:jc w:val="center"/>
        </w:trPr>
        <w:tc>
          <w:tcPr>
            <w:tcW w:w="5000" w:type="pct"/>
            <w:gridSpan w:val="4"/>
            <w:tcBorders>
              <w:top w:val="nil"/>
              <w:left w:val="nil"/>
              <w:bottom w:val="nil"/>
              <w:right w:val="nil"/>
            </w:tcBorders>
            <w:shd w:val="clear" w:color="auto" w:fill="auto"/>
            <w:vAlign w:val="center"/>
            <w:hideMark/>
          </w:tcPr>
          <w:p w14:paraId="2904A981" w14:textId="77777777" w:rsidR="00D17D25" w:rsidRPr="00FC38DC" w:rsidRDefault="00D17D25" w:rsidP="00886C5E">
            <w:pPr>
              <w:spacing w:after="0" w:line="240" w:lineRule="auto"/>
              <w:rPr>
                <w:rFonts w:eastAsia="Times New Roman" w:cstheme="minorHAnsi"/>
                <w:sz w:val="16"/>
                <w:szCs w:val="16"/>
                <w:lang w:val="sr-Cyrl-RS" w:eastAsia="en-GB"/>
              </w:rPr>
            </w:pPr>
            <w:r w:rsidRPr="00FC38DC">
              <w:rPr>
                <w:rFonts w:eastAsia="Times New Roman" w:cstheme="minorHAnsi"/>
                <w:sz w:val="16"/>
                <w:szCs w:val="16"/>
                <w:vertAlign w:val="superscript"/>
                <w:lang w:val="sr-Cyrl-RS" w:eastAsia="en-GB"/>
              </w:rPr>
              <w:t>1</w:t>
            </w:r>
            <w:r w:rsidRPr="00FC38DC">
              <w:rPr>
                <w:rFonts w:eastAsia="Times New Roman" w:cstheme="minorHAnsi"/>
                <w:sz w:val="16"/>
                <w:szCs w:val="16"/>
                <w:lang w:val="sr-Cyrl-RS" w:eastAsia="en-GB"/>
              </w:rPr>
              <w:t xml:space="preserve"> Светски БДП израчунат је према паритету куповне моћи.</w:t>
            </w:r>
          </w:p>
        </w:tc>
      </w:tr>
    </w:tbl>
    <w:p w14:paraId="77D8408B" w14:textId="77777777" w:rsidR="00D17D25" w:rsidRPr="00FC38DC" w:rsidRDefault="00D17D25" w:rsidP="002D6E55">
      <w:pPr>
        <w:spacing w:after="0" w:line="240" w:lineRule="auto"/>
        <w:rPr>
          <w:rFonts w:cstheme="minorHAnsi"/>
          <w:color w:val="auto"/>
          <w:lang w:val="sr-Cyrl-RS"/>
        </w:rPr>
        <w:sectPr w:rsidR="00D17D25" w:rsidRPr="00FC38DC" w:rsidSect="002D6E55">
          <w:type w:val="continuous"/>
          <w:pgSz w:w="12240" w:h="15840"/>
          <w:pgMar w:top="1440" w:right="1440" w:bottom="1440" w:left="1440" w:header="708" w:footer="708" w:gutter="0"/>
          <w:cols w:space="708"/>
          <w:docGrid w:linePitch="360"/>
        </w:sectPr>
      </w:pPr>
    </w:p>
    <w:p w14:paraId="3E311573" w14:textId="77777777" w:rsidR="00D17D25" w:rsidRPr="00FC38DC" w:rsidRDefault="00D17D25" w:rsidP="00886C5E">
      <w:pPr>
        <w:spacing w:after="80"/>
        <w:rPr>
          <w:rFonts w:cstheme="minorHAnsi"/>
          <w:bCs/>
          <w:szCs w:val="72"/>
          <w:lang w:val="sr-Cyrl-RS"/>
        </w:rPr>
      </w:pPr>
      <w:r w:rsidRPr="00FC38DC">
        <w:rPr>
          <w:rFonts w:cstheme="minorHAnsi"/>
          <w:bCs/>
          <w:szCs w:val="72"/>
          <w:lang w:val="sr-Cyrl-RS"/>
        </w:rPr>
        <w:t>Код развијених земаља очекује се значајно успоравање раста, са 2,7% у 2022. години, на 1,5% у 2023. години, уз свега неколико земаља из ове групе које ће имати већу стопу раста у 2023. години у односу на претходну. Код земаља у успону очекује се стабилан раст од 4,0% у 2023. години, али уз велике неједнакости у брзини опоравка унутар саме групе. Очекује се успоравање глобалне инфлације са</w:t>
      </w:r>
      <w:r w:rsidRPr="00FC38DC" w:rsidDel="00A75EA0">
        <w:rPr>
          <w:rFonts w:cstheme="minorHAnsi"/>
          <w:bCs/>
          <w:szCs w:val="72"/>
          <w:lang w:val="sr-Cyrl-RS"/>
        </w:rPr>
        <w:t xml:space="preserve"> </w:t>
      </w:r>
      <w:r w:rsidRPr="00FC38DC">
        <w:rPr>
          <w:rFonts w:cstheme="minorHAnsi"/>
          <w:bCs/>
          <w:szCs w:val="72"/>
          <w:lang w:val="sr-Cyrl-RS"/>
        </w:rPr>
        <w:t>8,7% просечно годишње у 2022. години на 6,8% у 2023. години и 5,2% у 2024. години, што је и даље више од предпандемијског нивоа. При томе, за три четвртине светских економија очекује се нижа просечна годишња инфлација у 2023. години у односу на претходну годину. Пооштравање монетарне политике ће постепено ублажити инфлацију, али централни покретач успоравања предвиђеног за 2023. годину јесте пад међународних цена добара. Разлике у темпу смањења инфлације међу земљама одражавају факторе попут различите изложености кретањима цена роба и валута, као и степена утицаја инфлације на привреду. Базна инфлација опада нешто спорије и показала се постојанијом него што је претходно предвиђено, нарочито у развијеним економијама.</w:t>
      </w:r>
    </w:p>
    <w:p w14:paraId="7C10A77A" w14:textId="77777777" w:rsidR="00D17D25" w:rsidRPr="00FC38DC" w:rsidRDefault="00D17D25" w:rsidP="002D6E55">
      <w:pPr>
        <w:spacing w:after="80"/>
        <w:rPr>
          <w:rFonts w:cstheme="minorHAnsi"/>
          <w:bCs/>
          <w:szCs w:val="72"/>
          <w:lang w:val="sr-Cyrl-RS"/>
        </w:rPr>
      </w:pPr>
    </w:p>
    <w:p w14:paraId="25F5F732" w14:textId="77777777" w:rsidR="00D17D25" w:rsidRPr="00FC38DC" w:rsidRDefault="00D17D25" w:rsidP="002D6E55">
      <w:pPr>
        <w:spacing w:after="80"/>
        <w:rPr>
          <w:rFonts w:cstheme="minorHAnsi"/>
          <w:bCs/>
          <w:szCs w:val="72"/>
          <w:lang w:val="sr-Cyrl-RS"/>
        </w:rPr>
      </w:pPr>
      <w:r w:rsidRPr="00FC38DC">
        <w:rPr>
          <w:noProof/>
        </w:rPr>
        <w:drawing>
          <wp:inline distT="0" distB="0" distL="0" distR="0" wp14:anchorId="01FACBB1" wp14:editId="0D64F09D">
            <wp:extent cx="2746800" cy="1620000"/>
            <wp:effectExtent l="0" t="0" r="0" b="0"/>
            <wp:docPr id="14" name="Chart 14">
              <a:extLst xmlns:a="http://schemas.openxmlformats.org/drawingml/2006/main">
                <a:ext uri="{FF2B5EF4-FFF2-40B4-BE49-F238E27FC236}">
                  <a16:creationId xmlns:a16="http://schemas.microsoft.com/office/drawing/2014/main" id="{00000000-0008-0000-08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68190703" w14:textId="77777777" w:rsidR="00D17D25" w:rsidRPr="00FC38DC" w:rsidRDefault="00D17D25" w:rsidP="002D6E55">
      <w:pPr>
        <w:spacing w:after="80"/>
        <w:rPr>
          <w:rFonts w:cstheme="minorHAnsi"/>
          <w:bCs/>
          <w:szCs w:val="72"/>
          <w:lang w:val="sr-Cyrl-RS"/>
        </w:rPr>
      </w:pPr>
      <w:r w:rsidRPr="00FC38DC">
        <w:rPr>
          <w:noProof/>
        </w:rPr>
        <w:drawing>
          <wp:inline distT="0" distB="0" distL="0" distR="0" wp14:anchorId="746F6A10" wp14:editId="7144CD0A">
            <wp:extent cx="2746800" cy="1648575"/>
            <wp:effectExtent l="0" t="0" r="0" b="8890"/>
            <wp:docPr id="22" name="Chart 22">
              <a:extLst xmlns:a="http://schemas.openxmlformats.org/drawingml/2006/main">
                <a:ext uri="{FF2B5EF4-FFF2-40B4-BE49-F238E27FC236}">
                  <a16:creationId xmlns:a16="http://schemas.microsoft.com/office/drawing/2014/main" id="{00000000-0008-0000-08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232EF3BB" w14:textId="77777777" w:rsidR="00D17D25" w:rsidRPr="00FC38DC" w:rsidRDefault="00D17D25" w:rsidP="00886C5E">
      <w:pPr>
        <w:spacing w:after="80"/>
        <w:rPr>
          <w:rFonts w:cstheme="minorHAnsi"/>
          <w:bCs/>
          <w:szCs w:val="72"/>
          <w:lang w:val="sr-Cyrl-RS"/>
        </w:rPr>
      </w:pPr>
      <w:r w:rsidRPr="00FC38DC">
        <w:rPr>
          <w:noProof/>
        </w:rPr>
        <w:drawing>
          <wp:inline distT="0" distB="0" distL="0" distR="0" wp14:anchorId="777AE1C1" wp14:editId="4033A352">
            <wp:extent cx="2647619" cy="180952"/>
            <wp:effectExtent l="0" t="0" r="635" b="0"/>
            <wp:docPr id="2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pic:cNvPicPr>
                      <a:picLocks noChangeAspect="1"/>
                    </pic:cNvPicPr>
                  </pic:nvPicPr>
                  <pic:blipFill>
                    <a:blip r:embed="rId22"/>
                    <a:stretch>
                      <a:fillRect/>
                    </a:stretch>
                  </pic:blipFill>
                  <pic:spPr>
                    <a:xfrm>
                      <a:off x="0" y="0"/>
                      <a:ext cx="2647619" cy="180952"/>
                    </a:xfrm>
                    <a:prstGeom prst="rect">
                      <a:avLst/>
                    </a:prstGeom>
                  </pic:spPr>
                </pic:pic>
              </a:graphicData>
            </a:graphic>
          </wp:inline>
        </w:drawing>
      </w:r>
    </w:p>
    <w:p w14:paraId="5B490727" w14:textId="77777777" w:rsidR="00D17D25" w:rsidRPr="00FC38DC" w:rsidRDefault="00D17D25" w:rsidP="002D6E55">
      <w:pPr>
        <w:rPr>
          <w:rFonts w:cstheme="minorHAnsi"/>
          <w:bCs/>
          <w:i/>
          <w:color w:val="44546A"/>
          <w:sz w:val="16"/>
          <w:szCs w:val="72"/>
          <w:lang w:val="sr-Cyrl-RS"/>
        </w:rPr>
      </w:pPr>
      <w:r w:rsidRPr="00FC38DC">
        <w:rPr>
          <w:rFonts w:cstheme="minorHAnsi"/>
          <w:bCs/>
          <w:color w:val="44546A"/>
          <w:sz w:val="16"/>
          <w:szCs w:val="72"/>
          <w:lang w:val="sr-Cyrl-RS"/>
        </w:rPr>
        <w:t xml:space="preserve">Извор: ММФ, </w:t>
      </w:r>
      <w:r w:rsidRPr="00FC38DC">
        <w:rPr>
          <w:rFonts w:cstheme="minorHAnsi"/>
          <w:bCs/>
          <w:i/>
          <w:color w:val="44546A"/>
          <w:sz w:val="16"/>
          <w:szCs w:val="72"/>
          <w:lang w:val="sr-Cyrl-RS"/>
        </w:rPr>
        <w:t>World Economic Outlook</w:t>
      </w:r>
    </w:p>
    <w:p w14:paraId="1BA4422E" w14:textId="77777777" w:rsidR="00D17D25" w:rsidRPr="00FC38DC" w:rsidRDefault="00D17D25" w:rsidP="00886C5E">
      <w:pPr>
        <w:pStyle w:val="Caption"/>
        <w:keepNext/>
        <w:spacing w:after="0"/>
        <w:rPr>
          <w:rFonts w:cstheme="minorHAnsi"/>
          <w:iCs w:val="0"/>
          <w:szCs w:val="22"/>
          <w:lang w:val="sr-Cyrl-RS"/>
        </w:rPr>
      </w:pPr>
      <w:r w:rsidRPr="00FC38DC">
        <w:rPr>
          <w:rFonts w:cstheme="minorHAnsi"/>
          <w:iCs w:val="0"/>
          <w:szCs w:val="22"/>
          <w:lang w:val="sr-Cyrl-RS"/>
        </w:rPr>
        <w:lastRenderedPageBreak/>
        <w:t>Глобални економски раст, п.п.</w:t>
      </w:r>
    </w:p>
    <w:p w14:paraId="078B9E7B" w14:textId="77777777" w:rsidR="00D17D25" w:rsidRPr="00FC38DC" w:rsidRDefault="00D17D25" w:rsidP="00886C5E">
      <w:pPr>
        <w:spacing w:after="40"/>
        <w:rPr>
          <w:rFonts w:cstheme="minorHAnsi"/>
          <w:bCs/>
          <w:color w:val="44546A"/>
          <w:sz w:val="16"/>
          <w:szCs w:val="72"/>
          <w:lang w:val="sr-Cyrl-RS"/>
        </w:rPr>
      </w:pPr>
      <w:r w:rsidRPr="00FC38DC">
        <w:rPr>
          <w:noProof/>
        </w:rPr>
        <w:drawing>
          <wp:inline distT="0" distB="0" distL="0" distR="0" wp14:anchorId="180D6485" wp14:editId="54D61317">
            <wp:extent cx="2743200" cy="2394000"/>
            <wp:effectExtent l="0" t="0" r="0" b="6350"/>
            <wp:docPr id="2" name="Chart 2">
              <a:extLst xmlns:a="http://schemas.openxmlformats.org/drawingml/2006/main">
                <a:ext uri="{FF2B5EF4-FFF2-40B4-BE49-F238E27FC236}">
                  <a16:creationId xmlns:a16="http://schemas.microsoft.com/office/drawing/2014/main" id="{00000000-0008-0000-04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24B77E7" w14:textId="77777777" w:rsidR="00D17D25" w:rsidRPr="00FC38DC" w:rsidRDefault="00D17D25" w:rsidP="002D6E55">
      <w:pPr>
        <w:rPr>
          <w:rFonts w:cstheme="minorHAnsi"/>
          <w:bCs/>
          <w:color w:val="44546A"/>
          <w:sz w:val="16"/>
          <w:szCs w:val="72"/>
          <w:lang w:val="sr-Cyrl-RS"/>
        </w:rPr>
      </w:pPr>
      <w:r w:rsidRPr="00FC38DC">
        <w:rPr>
          <w:rFonts w:cstheme="minorHAnsi"/>
          <w:bCs/>
          <w:color w:val="44546A"/>
          <w:sz w:val="16"/>
          <w:szCs w:val="72"/>
          <w:lang w:val="sr-Cyrl-RS"/>
        </w:rPr>
        <w:t xml:space="preserve">Извор: ММФ, </w:t>
      </w:r>
      <w:r w:rsidRPr="00FC38DC">
        <w:rPr>
          <w:rFonts w:cstheme="minorHAnsi"/>
          <w:bCs/>
          <w:i/>
          <w:iCs/>
          <w:color w:val="44546A"/>
          <w:sz w:val="16"/>
          <w:szCs w:val="72"/>
          <w:lang w:val="sr-Cyrl-RS"/>
        </w:rPr>
        <w:t>World Economic Outlook</w:t>
      </w:r>
      <w:r w:rsidRPr="00FC38DC">
        <w:rPr>
          <w:rFonts w:cstheme="minorHAnsi"/>
          <w:bCs/>
          <w:color w:val="44546A"/>
          <w:sz w:val="16"/>
          <w:szCs w:val="72"/>
          <w:lang w:val="sr-Cyrl-RS"/>
        </w:rPr>
        <w:t>, април и јул 2023.</w:t>
      </w:r>
    </w:p>
    <w:p w14:paraId="74439AA1" w14:textId="77777777" w:rsidR="00D17D25" w:rsidRPr="00FC38DC" w:rsidRDefault="00D17D25" w:rsidP="00886C5E">
      <w:pPr>
        <w:rPr>
          <w:rFonts w:cstheme="minorHAnsi"/>
          <w:bCs/>
          <w:szCs w:val="72"/>
          <w:lang w:val="sr-Cyrl-RS"/>
        </w:rPr>
      </w:pPr>
      <w:r w:rsidRPr="00FC38DC">
        <w:rPr>
          <w:rFonts w:cstheme="minorHAnsi"/>
          <w:bCs/>
          <w:szCs w:val="72"/>
          <w:lang w:val="sr-Cyrl-RS"/>
        </w:rPr>
        <w:t>За земље у успону, очекује се да ће привредни раст у просеку износити 4,0% у 2023. години уз благо убрзање на 4,1% у 2024. години. Након завршетка појаве нових таласа вируса COVID-19 у Кини и укидања мера ограничења у јануару ове године, високофреквентни економски показатељи указују да опоравак Кине може успорити, делом због нерешених проблема у сектору некретнина, са потенцијално негативним ефектима на глобално тржиште. Раст земаља Блиског истока и централне Азије ревидиран је наниже на 2,5% у 2023. години, док се за 2024. годину пројектује убрзавање раста на 3,2%, док се за регион Латинске Америке предвиђа бржи раст од 1,9% у 2023. и 2,2% у 2024. години. Значајну ревизију раста навише од 0,8 п.п., ММФ предвиђа за Русију која ће забележити раст од 1,5% у 2023. години и 1,3% у 2024. години, као резултат снажног опоравка трговине, грађевинарства и индустрије у првој половини 2023. године вођен снажним фискалним стимулусом. У земљама са ниским нивоом дохотка очекује се просечно повећање БДП од 4,9% током 2023–2024. године. Међутим, уочљив је тренд повећања неједнакости у дохотку и благо удаљавање од земаља са средњим нивоом дохотка.</w:t>
      </w:r>
    </w:p>
    <w:p w14:paraId="608FF7CA" w14:textId="77777777" w:rsidR="00D17D25" w:rsidRPr="00FC38DC" w:rsidRDefault="00D17D25" w:rsidP="00886C5E">
      <w:pPr>
        <w:rPr>
          <w:spacing w:val="-2"/>
          <w:lang w:val="sr-Cyrl-RS"/>
        </w:rPr>
      </w:pPr>
      <w:r w:rsidRPr="00FC38DC">
        <w:rPr>
          <w:rFonts w:cstheme="minorHAnsi"/>
          <w:bCs/>
          <w:szCs w:val="72"/>
          <w:lang w:val="sr-Cyrl-RS"/>
        </w:rPr>
        <w:t xml:space="preserve">Током 2022. дошло је до снажног раста светских цена примарних производа. Избијањем сукоба у Украјини, већ високе цене примарних производа додатно су порасле. Међутим, растом рецесионих притисака на глобалном нивоу, цене великог броја </w:t>
      </w:r>
      <w:r w:rsidRPr="00FC38DC">
        <w:rPr>
          <w:rFonts w:cstheme="minorHAnsi"/>
          <w:bCs/>
          <w:szCs w:val="72"/>
          <w:lang w:val="sr-Cyrl-RS"/>
        </w:rPr>
        <w:t xml:space="preserve">примарних производа су опадале током 2023. године. </w:t>
      </w:r>
      <w:r w:rsidRPr="00FC38DC">
        <w:rPr>
          <w:rFonts w:cstheme="minorHAnsi"/>
          <w:bCs/>
          <w:spacing w:val="-2"/>
          <w:szCs w:val="72"/>
          <w:lang w:val="sr-Cyrl-RS"/>
        </w:rPr>
        <w:t xml:space="preserve">Предвиђа се да ће у 2023. пад цена примарних производа бити главни покретач за смањивање инфлације. У поређењу са априлским проценама, очекује се нешто бржи пад цена примарних производа, осим горива, за 4,8% у 2023. години и 1,4% у 2024. години. Цене сирове нафте су порасле за 39,2% у 2022. години док се у 2023. очекује </w:t>
      </w:r>
      <w:r>
        <w:rPr>
          <w:rFonts w:cstheme="minorHAnsi"/>
          <w:bCs/>
          <w:spacing w:val="-2"/>
          <w:szCs w:val="72"/>
          <w:lang w:val="sr-Cyrl-RS"/>
        </w:rPr>
        <w:t>смањење за</w:t>
      </w:r>
      <w:r w:rsidRPr="00FC38DC">
        <w:rPr>
          <w:rFonts w:cstheme="minorHAnsi"/>
          <w:bCs/>
          <w:spacing w:val="-2"/>
          <w:szCs w:val="72"/>
          <w:lang w:val="sr-Cyrl-RS"/>
        </w:rPr>
        <w:t xml:space="preserve"> око 20%, што је нешто мањи пад него у априлској пројекцији. Предвиђено је да ће цене сирове нафте пасти са 76,4 $/барелу у 2023. на 71,7 $/барелу у 2024. години, односно за око 6%.</w:t>
      </w:r>
    </w:p>
    <w:p w14:paraId="0E21F067" w14:textId="77777777" w:rsidR="00D17D25" w:rsidRPr="00FC38DC" w:rsidRDefault="00D17D25" w:rsidP="002D6E55">
      <w:pPr>
        <w:pStyle w:val="Caption"/>
        <w:keepNext/>
        <w:spacing w:after="0"/>
        <w:rPr>
          <w:rFonts w:cstheme="minorHAnsi"/>
          <w:b w:val="0"/>
          <w:i/>
          <w:iCs w:val="0"/>
          <w:szCs w:val="22"/>
          <w:lang w:val="sr-Cyrl-RS"/>
        </w:rPr>
      </w:pPr>
      <w:r w:rsidRPr="00FC38DC">
        <w:rPr>
          <w:rFonts w:cstheme="minorHAnsi"/>
          <w:iCs w:val="0"/>
          <w:szCs w:val="22"/>
          <w:lang w:val="sr-Cyrl-RS"/>
        </w:rPr>
        <w:t>Кретање цена, индекси, 2016=100</w:t>
      </w:r>
    </w:p>
    <w:p w14:paraId="47106819" w14:textId="77777777" w:rsidR="00D17D25" w:rsidRPr="00FC38DC" w:rsidRDefault="00D17D25" w:rsidP="00886C5E">
      <w:pPr>
        <w:spacing w:after="40"/>
        <w:rPr>
          <w:rFonts w:cstheme="minorHAnsi"/>
          <w:bCs/>
          <w:sz w:val="16"/>
          <w:szCs w:val="72"/>
          <w:lang w:val="sr-Cyrl-RS"/>
        </w:rPr>
      </w:pPr>
      <w:r w:rsidRPr="00FC38DC">
        <w:rPr>
          <w:noProof/>
        </w:rPr>
        <w:drawing>
          <wp:inline distT="0" distB="0" distL="0" distR="0" wp14:anchorId="33A72BDA" wp14:editId="2F4A2383">
            <wp:extent cx="2743200" cy="1800000"/>
            <wp:effectExtent l="0" t="0" r="0" b="0"/>
            <wp:docPr id="1" name="Chart 1">
              <a:extLst xmlns:a="http://schemas.openxmlformats.org/drawingml/2006/main">
                <a:ext uri="{FF2B5EF4-FFF2-40B4-BE49-F238E27FC236}">
                  <a16:creationId xmlns:a16="http://schemas.microsoft.com/office/drawing/2014/main" id="{00000000-0008-0000-0100-00000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5B766843" w14:textId="77777777" w:rsidR="00D17D25" w:rsidRPr="00FC38DC" w:rsidRDefault="00D17D25" w:rsidP="00886C5E">
      <w:pPr>
        <w:spacing w:after="120"/>
        <w:rPr>
          <w:color w:val="44546A"/>
          <w:lang w:val="sr-Cyrl-RS"/>
        </w:rPr>
      </w:pPr>
      <w:r w:rsidRPr="00FC38DC">
        <w:rPr>
          <w:rFonts w:cstheme="minorHAnsi"/>
          <w:bCs/>
          <w:color w:val="44546A"/>
          <w:sz w:val="16"/>
          <w:szCs w:val="72"/>
          <w:lang w:val="sr-Cyrl-RS"/>
        </w:rPr>
        <w:t xml:space="preserve">Извор: ММФ, </w:t>
      </w:r>
      <w:r w:rsidRPr="00FC38DC">
        <w:rPr>
          <w:rFonts w:cstheme="minorHAnsi"/>
          <w:bCs/>
          <w:i/>
          <w:color w:val="44546A"/>
          <w:sz w:val="16"/>
          <w:szCs w:val="72"/>
          <w:lang w:val="sr-Cyrl-RS"/>
        </w:rPr>
        <w:t>World Economic Outlook</w:t>
      </w:r>
      <w:r w:rsidRPr="00FC38DC">
        <w:rPr>
          <w:rFonts w:cstheme="minorHAnsi"/>
          <w:bCs/>
          <w:color w:val="44546A"/>
          <w:sz w:val="16"/>
          <w:szCs w:val="72"/>
          <w:lang w:val="sr-Cyrl-RS"/>
        </w:rPr>
        <w:t>, април 2023.</w:t>
      </w:r>
    </w:p>
    <w:p w14:paraId="688AC2BB" w14:textId="77777777" w:rsidR="00D17D25" w:rsidRPr="00FC38DC" w:rsidRDefault="00D17D25" w:rsidP="00886C5E">
      <w:pPr>
        <w:pStyle w:val="Caption"/>
        <w:keepNext/>
        <w:spacing w:after="0"/>
        <w:rPr>
          <w:rFonts w:cstheme="minorHAnsi"/>
          <w:b w:val="0"/>
          <w:i/>
          <w:iCs w:val="0"/>
          <w:color w:val="44546A"/>
          <w:szCs w:val="22"/>
          <w:lang w:val="sr-Cyrl-RS"/>
        </w:rPr>
      </w:pPr>
      <w:r w:rsidRPr="00FC38DC">
        <w:rPr>
          <w:rFonts w:cstheme="minorHAnsi"/>
          <w:iCs w:val="0"/>
          <w:szCs w:val="22"/>
          <w:lang w:val="sr-Cyrl-RS"/>
        </w:rPr>
        <w:t>Пројекција кретања цена, индекси, 2019=100</w:t>
      </w:r>
    </w:p>
    <w:p w14:paraId="2E5D6B75" w14:textId="77777777" w:rsidR="00D17D25" w:rsidRPr="00FC38DC" w:rsidRDefault="00D17D25" w:rsidP="002D6E55">
      <w:pPr>
        <w:spacing w:after="0"/>
        <w:rPr>
          <w:lang w:val="sr-Cyrl-RS"/>
        </w:rPr>
      </w:pPr>
      <w:r w:rsidRPr="00FC38DC">
        <w:rPr>
          <w:noProof/>
        </w:rPr>
        <w:drawing>
          <wp:inline distT="0" distB="0" distL="0" distR="0" wp14:anchorId="4A411FD9" wp14:editId="3F6F97B5">
            <wp:extent cx="2743200" cy="1908000"/>
            <wp:effectExtent l="0" t="0" r="0" b="0"/>
            <wp:docPr id="12" name="Chart 12">
              <a:extLst xmlns:a="http://schemas.openxmlformats.org/drawingml/2006/main">
                <a:ext uri="{FF2B5EF4-FFF2-40B4-BE49-F238E27FC236}">
                  <a16:creationId xmlns:a16="http://schemas.microsoft.com/office/drawing/2014/main" id="{00000000-0008-0000-0200-00001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0F03414" w14:textId="77777777" w:rsidR="00D17D25" w:rsidRPr="00FC38DC" w:rsidRDefault="00D17D25" w:rsidP="00886C5E">
      <w:pPr>
        <w:spacing w:after="120"/>
        <w:rPr>
          <w:rFonts w:cstheme="minorHAnsi"/>
          <w:color w:val="44546A"/>
          <w:szCs w:val="72"/>
          <w:lang w:val="sr-Cyrl-RS"/>
        </w:rPr>
      </w:pPr>
      <w:r w:rsidRPr="00FC38DC">
        <w:rPr>
          <w:rFonts w:cstheme="minorHAnsi"/>
          <w:bCs/>
          <w:color w:val="44546A"/>
          <w:sz w:val="16"/>
          <w:szCs w:val="72"/>
          <w:lang w:val="sr-Cyrl-RS"/>
        </w:rPr>
        <w:t xml:space="preserve">Извор: ММФ, </w:t>
      </w:r>
      <w:r w:rsidRPr="00FC38DC">
        <w:rPr>
          <w:rFonts w:cstheme="minorHAnsi"/>
          <w:bCs/>
          <w:i/>
          <w:color w:val="44546A"/>
          <w:sz w:val="16"/>
          <w:szCs w:val="72"/>
          <w:lang w:val="sr-Cyrl-RS"/>
        </w:rPr>
        <w:t>World Economic Outlook</w:t>
      </w:r>
      <w:r w:rsidRPr="00FC38DC">
        <w:rPr>
          <w:rFonts w:cstheme="minorHAnsi"/>
          <w:bCs/>
          <w:color w:val="44546A"/>
          <w:sz w:val="16"/>
          <w:szCs w:val="72"/>
          <w:lang w:val="sr-Cyrl-RS"/>
        </w:rPr>
        <w:t>, април 2023.</w:t>
      </w:r>
    </w:p>
    <w:p w14:paraId="2A0AD588" w14:textId="77777777" w:rsidR="00D17D25" w:rsidRPr="00FC38DC" w:rsidRDefault="00D17D25" w:rsidP="00886C5E">
      <w:pPr>
        <w:pStyle w:val="Caption"/>
        <w:keepNext/>
        <w:spacing w:after="0"/>
        <w:rPr>
          <w:color w:val="44546A"/>
          <w:lang w:val="sr-Cyrl-RS"/>
        </w:rPr>
      </w:pPr>
      <w:r w:rsidRPr="00FC38DC">
        <w:rPr>
          <w:lang w:val="sr-Cyrl-RS"/>
        </w:rPr>
        <w:t>Пројекција кретања цена нафте по барелу</w:t>
      </w:r>
    </w:p>
    <w:p w14:paraId="7CAE9C51" w14:textId="77777777" w:rsidR="00D17D25" w:rsidRPr="00FC38DC" w:rsidRDefault="00D17D25" w:rsidP="00886C5E">
      <w:pPr>
        <w:spacing w:after="40"/>
        <w:rPr>
          <w:rFonts w:cstheme="minorHAnsi"/>
          <w:bCs/>
          <w:szCs w:val="72"/>
          <w:lang w:val="sr-Cyrl-RS"/>
        </w:rPr>
      </w:pPr>
      <w:r w:rsidRPr="00FC38DC">
        <w:rPr>
          <w:noProof/>
        </w:rPr>
        <w:drawing>
          <wp:inline distT="0" distB="0" distL="0" distR="0" wp14:anchorId="371BC65C" wp14:editId="3F957576">
            <wp:extent cx="2743200" cy="1238435"/>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6"/>
                    <a:stretch>
                      <a:fillRect/>
                    </a:stretch>
                  </pic:blipFill>
                  <pic:spPr>
                    <a:xfrm>
                      <a:off x="0" y="0"/>
                      <a:ext cx="2743200" cy="1238435"/>
                    </a:xfrm>
                    <a:prstGeom prst="rect">
                      <a:avLst/>
                    </a:prstGeom>
                  </pic:spPr>
                </pic:pic>
              </a:graphicData>
            </a:graphic>
          </wp:inline>
        </w:drawing>
      </w:r>
    </w:p>
    <w:p w14:paraId="51AFCE6E" w14:textId="77777777" w:rsidR="00D17D25" w:rsidRPr="00FC38DC" w:rsidRDefault="00D17D25" w:rsidP="00886C5E">
      <w:pPr>
        <w:spacing w:after="0"/>
        <w:rPr>
          <w:rFonts w:cstheme="minorHAnsi"/>
          <w:bCs/>
          <w:color w:val="44546A"/>
          <w:szCs w:val="72"/>
          <w:lang w:val="sr-Cyrl-RS"/>
        </w:rPr>
      </w:pPr>
      <w:r w:rsidRPr="00FC38DC">
        <w:rPr>
          <w:rFonts w:cstheme="minorHAnsi"/>
          <w:bCs/>
          <w:color w:val="44546A"/>
          <w:sz w:val="16"/>
          <w:szCs w:val="16"/>
          <w:lang w:val="sr-Cyrl-RS"/>
        </w:rPr>
        <w:t xml:space="preserve">Извор: ММФ, </w:t>
      </w:r>
      <w:r w:rsidRPr="00FC38DC">
        <w:rPr>
          <w:rFonts w:cstheme="minorHAnsi"/>
          <w:bCs/>
          <w:i/>
          <w:color w:val="44546A"/>
          <w:sz w:val="16"/>
          <w:szCs w:val="16"/>
          <w:lang w:val="sr-Cyrl-RS"/>
        </w:rPr>
        <w:t>World Economic Outlook</w:t>
      </w:r>
      <w:r w:rsidRPr="00FC38DC">
        <w:rPr>
          <w:rFonts w:cstheme="minorHAnsi"/>
          <w:bCs/>
          <w:color w:val="44546A"/>
          <w:sz w:val="16"/>
          <w:szCs w:val="16"/>
          <w:lang w:val="sr-Cyrl-RS"/>
        </w:rPr>
        <w:t>, април 2023</w:t>
      </w:r>
      <w:r w:rsidRPr="00FC38DC">
        <w:rPr>
          <w:rFonts w:cstheme="minorHAnsi"/>
          <w:bCs/>
          <w:color w:val="44546A"/>
          <w:szCs w:val="72"/>
          <w:lang w:val="sr-Cyrl-RS"/>
        </w:rPr>
        <w:t>.</w:t>
      </w:r>
    </w:p>
    <w:p w14:paraId="608F274D" w14:textId="77777777" w:rsidR="00D17D25" w:rsidRPr="00FC38DC" w:rsidRDefault="00D17D25" w:rsidP="00886C5E">
      <w:pPr>
        <w:spacing w:after="120"/>
        <w:rPr>
          <w:rFonts w:cstheme="minorHAnsi"/>
          <w:bCs/>
          <w:color w:val="44546A"/>
          <w:szCs w:val="72"/>
          <w:lang w:val="sr-Cyrl-RS"/>
        </w:rPr>
      </w:pPr>
      <w:r w:rsidRPr="00FC38DC">
        <w:rPr>
          <w:rFonts w:cstheme="minorHAnsi"/>
          <w:bCs/>
          <w:color w:val="44546A"/>
          <w:szCs w:val="72"/>
          <w:lang w:val="sr-Cyrl-RS"/>
        </w:rPr>
        <w:lastRenderedPageBreak/>
        <w:t xml:space="preserve">Америчке федералне резерве (у даљем тексту: ФЕД) повећале су референтне каматне стопе у јулу на распон 5,25% до 5,50%, чиме је достигла највиши ниво у последње две деценије. Очекује се даље пооштравање монетарне политике, али је потребно сачекати </w:t>
      </w:r>
      <w:r>
        <w:rPr>
          <w:rFonts w:cstheme="minorHAnsi"/>
          <w:bCs/>
          <w:color w:val="44546A"/>
          <w:szCs w:val="72"/>
          <w:lang w:val="sr-Cyrl-RS"/>
        </w:rPr>
        <w:t>ефекте до сада предузетих мера имајући у виду кашњење</w:t>
      </w:r>
      <w:r w:rsidRPr="00FC38DC">
        <w:rPr>
          <w:rFonts w:cstheme="minorHAnsi"/>
          <w:bCs/>
          <w:color w:val="44546A"/>
          <w:szCs w:val="72"/>
          <w:lang w:val="sr-Cyrl-RS"/>
        </w:rPr>
        <w:t xml:space="preserve"> с којим монетарна политика утиче на економску активност и инфлацију, након чега би требало да у наредним годинама уследи њено</w:t>
      </w:r>
      <w:r>
        <w:rPr>
          <w:rFonts w:cstheme="minorHAnsi"/>
          <w:bCs/>
          <w:color w:val="44546A"/>
          <w:szCs w:val="72"/>
          <w:lang w:val="sr-Cyrl-RS"/>
        </w:rPr>
        <w:t xml:space="preserve"> постепено</w:t>
      </w:r>
      <w:r w:rsidRPr="00FC38DC">
        <w:rPr>
          <w:rFonts w:cstheme="minorHAnsi"/>
          <w:bCs/>
          <w:color w:val="44546A"/>
          <w:szCs w:val="72"/>
          <w:lang w:val="sr-Cyrl-RS"/>
        </w:rPr>
        <w:t xml:space="preserve"> смањење.</w:t>
      </w:r>
    </w:p>
    <w:p w14:paraId="6EE3B0E7" w14:textId="77777777" w:rsidR="00D17D25" w:rsidRPr="00FC38DC" w:rsidRDefault="00D17D25" w:rsidP="002D6E55">
      <w:pPr>
        <w:spacing w:after="0"/>
        <w:jc w:val="center"/>
        <w:rPr>
          <w:rFonts w:cstheme="minorHAnsi"/>
          <w:b/>
          <w:bCs/>
          <w:color w:val="002060"/>
          <w:szCs w:val="72"/>
          <w:lang w:val="sr-Cyrl-RS"/>
        </w:rPr>
      </w:pPr>
      <w:r w:rsidRPr="00FC38DC">
        <w:rPr>
          <w:rFonts w:cstheme="minorHAnsi"/>
          <w:b/>
          <w:bCs/>
          <w:color w:val="002060"/>
          <w:szCs w:val="72"/>
          <w:lang w:val="sr-Cyrl-RS"/>
        </w:rPr>
        <w:t>Кретање референтне каматне стопе по изабраним земљама, %</w:t>
      </w:r>
    </w:p>
    <w:p w14:paraId="30067864" w14:textId="77777777" w:rsidR="00D17D25" w:rsidRPr="00FC38DC" w:rsidRDefault="00D17D25" w:rsidP="002D6E55">
      <w:pPr>
        <w:spacing w:after="40"/>
        <w:rPr>
          <w:rFonts w:cstheme="minorHAnsi"/>
          <w:bCs/>
          <w:szCs w:val="72"/>
          <w:lang w:val="sr-Cyrl-RS"/>
        </w:rPr>
      </w:pPr>
      <w:r w:rsidRPr="00FC38DC">
        <w:rPr>
          <w:noProof/>
        </w:rPr>
        <w:drawing>
          <wp:inline distT="0" distB="0" distL="0" distR="0" wp14:anchorId="63C818FD" wp14:editId="0E739C0C">
            <wp:extent cx="2746800" cy="1800000"/>
            <wp:effectExtent l="0" t="0" r="0" b="0"/>
            <wp:docPr id="3" name="Chart 3">
              <a:extLst xmlns:a="http://schemas.openxmlformats.org/drawingml/2006/main">
                <a:ext uri="{FF2B5EF4-FFF2-40B4-BE49-F238E27FC236}">
                  <a16:creationId xmlns:a16="http://schemas.microsoft.com/office/drawing/2014/main" id="{00000000-0008-0000-0700-00001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03457284" w14:textId="77777777" w:rsidR="00D17D25" w:rsidRPr="00FC38DC" w:rsidRDefault="00D17D25" w:rsidP="002D6E55">
      <w:pPr>
        <w:spacing w:after="120"/>
        <w:rPr>
          <w:rFonts w:cstheme="minorHAnsi"/>
          <w:bCs/>
          <w:color w:val="44546A"/>
          <w:sz w:val="16"/>
          <w:szCs w:val="16"/>
          <w:lang w:val="sr-Cyrl-RS"/>
        </w:rPr>
      </w:pPr>
      <w:r w:rsidRPr="00FC38DC">
        <w:rPr>
          <w:rFonts w:cstheme="minorHAnsi"/>
          <w:bCs/>
          <w:color w:val="44546A"/>
          <w:sz w:val="16"/>
          <w:szCs w:val="16"/>
          <w:lang w:val="sr-Cyrl-RS"/>
        </w:rPr>
        <w:t>Извор: Централне банке изабраних земаља</w:t>
      </w:r>
    </w:p>
    <w:p w14:paraId="1A46F1CB" w14:textId="77777777" w:rsidR="00D17D25" w:rsidRPr="00FC38DC" w:rsidRDefault="00D17D25" w:rsidP="00886C5E">
      <w:pPr>
        <w:rPr>
          <w:rFonts w:cstheme="minorHAnsi"/>
          <w:bCs/>
          <w:color w:val="44546A"/>
          <w:szCs w:val="72"/>
          <w:lang w:val="sr-Cyrl-RS"/>
        </w:rPr>
      </w:pPr>
      <w:r w:rsidRPr="00FC38DC">
        <w:rPr>
          <w:rFonts w:cstheme="minorHAnsi"/>
          <w:bCs/>
          <w:color w:val="44546A"/>
          <w:szCs w:val="72"/>
          <w:lang w:val="sr-Cyrl-RS"/>
        </w:rPr>
        <w:t>У већини земаља приоритет економске политике остаје смањење инфлације уз обезбеђивање финансијске стабилности. Стога би централне банке требало да остану фокусиране на успостављање стабилности цена као и на јачање финансијског мониторинга и праћења ризика. Када је реч о фискалној политици, неопходно је да државе поново изграде фискални простор који би у случају материјализације тржишних ризика у кратком року обезбедио адекватан ниво ликвидности. Поред тога, потребни су одговарајући фискални механизми који би ублажили шокове и обезбедили циљану подршку за најугроженије.</w:t>
      </w:r>
    </w:p>
    <w:p w14:paraId="2EB6C94C" w14:textId="77777777" w:rsidR="00D17D25" w:rsidRPr="00FC38DC" w:rsidRDefault="00D17D25" w:rsidP="00886C5E">
      <w:pPr>
        <w:rPr>
          <w:rFonts w:cstheme="minorHAnsi"/>
          <w:bCs/>
          <w:color w:val="44546A"/>
          <w:szCs w:val="72"/>
          <w:lang w:val="sr-Cyrl-RS"/>
        </w:rPr>
      </w:pPr>
      <w:r w:rsidRPr="00FC38DC">
        <w:rPr>
          <w:rFonts w:cstheme="minorHAnsi"/>
          <w:bCs/>
          <w:color w:val="44546A"/>
          <w:szCs w:val="72"/>
          <w:lang w:val="sr-Cyrl-RS"/>
        </w:rPr>
        <w:t xml:space="preserve">Ризици пројекција су асиметрични наниже и остају повишени као последица деловања различитих фактора који могу бити међусобно повезани. Спорији опоравак економске активности у Кини, делом као последица нерешених проблема у сектору некретнина, имао би негативан утицај на трговинске партнере у региону и шире. Додатни ризици укључују оштрије негативне ефекте повећања каматних стопа централних банака у </w:t>
      </w:r>
      <w:r w:rsidRPr="00FC38DC">
        <w:rPr>
          <w:rFonts w:cstheme="minorHAnsi"/>
          <w:bCs/>
          <w:color w:val="44546A"/>
          <w:szCs w:val="72"/>
          <w:lang w:val="sr-Cyrl-RS"/>
        </w:rPr>
        <w:t>условима историјски високих нивоа приватног и јавног дуга. Комбинација виших трошкова задуживања и нижег раста могла би да погоди фискалне позиције већине земаља у развоју. Поред тога, инфлација би се могла показати постојанијом од очекиване, што би довело до даљег заоштравања монетарне политике. Са друге стране, позитивни ризици долазе од бржег од очекиваног смањења инфлације којим би се умањила потреба за даљим пооштравањем монетарне политике, а што би додатно могло бити подржано и отпорнијом домаћом тражњом услед и даље неискоришћених вишкова штедње акумулираних током пандемије.</w:t>
      </w:r>
    </w:p>
    <w:p w14:paraId="35553D34" w14:textId="77777777" w:rsidR="00D17D25" w:rsidRPr="00FC38DC" w:rsidRDefault="00D17D25" w:rsidP="00886C5E">
      <w:pPr>
        <w:rPr>
          <w:rFonts w:cstheme="minorHAnsi"/>
          <w:bCs/>
          <w:color w:val="44546A"/>
          <w:szCs w:val="72"/>
          <w:lang w:val="sr-Cyrl-RS"/>
        </w:rPr>
      </w:pPr>
      <w:r w:rsidRPr="00FC38DC">
        <w:rPr>
          <w:rFonts w:cstheme="minorHAnsi"/>
          <w:bCs/>
          <w:color w:val="44546A"/>
          <w:szCs w:val="72"/>
          <w:lang w:val="sr-Cyrl-RS"/>
        </w:rPr>
        <w:t>Економију еврозоне, најважнијег спољнотрговинског партнера Србије, према најновијим проценама ММФ, у 2023. години очекује значајно успоравање економске активности на 0,9% (са 3,5</w:t>
      </w:r>
      <w:r>
        <w:rPr>
          <w:rFonts w:cstheme="minorHAnsi"/>
          <w:bCs/>
          <w:color w:val="44546A"/>
          <w:szCs w:val="72"/>
          <w:lang w:val="sr-Cyrl-RS"/>
        </w:rPr>
        <w:t>% у 2022. години), а затим благо убрзање</w:t>
      </w:r>
      <w:r w:rsidRPr="00FC38DC">
        <w:rPr>
          <w:rFonts w:cstheme="minorHAnsi"/>
          <w:bCs/>
          <w:color w:val="44546A"/>
          <w:szCs w:val="72"/>
          <w:lang w:val="sr-Cyrl-RS"/>
        </w:rPr>
        <w:t xml:space="preserve"> раст</w:t>
      </w:r>
      <w:r>
        <w:rPr>
          <w:rFonts w:cstheme="minorHAnsi"/>
          <w:bCs/>
          <w:color w:val="44546A"/>
          <w:szCs w:val="72"/>
          <w:lang w:val="sr-Cyrl-RS"/>
        </w:rPr>
        <w:t>а</w:t>
      </w:r>
      <w:r w:rsidRPr="00FC38DC">
        <w:rPr>
          <w:rFonts w:cstheme="minorHAnsi"/>
          <w:bCs/>
          <w:color w:val="44546A"/>
          <w:szCs w:val="72"/>
          <w:lang w:val="sr-Cyrl-RS"/>
        </w:rPr>
        <w:t xml:space="preserve"> </w:t>
      </w:r>
      <w:r>
        <w:rPr>
          <w:rFonts w:cstheme="minorHAnsi"/>
          <w:bCs/>
          <w:color w:val="44546A"/>
          <w:szCs w:val="72"/>
          <w:lang w:val="sr-Cyrl-RS"/>
        </w:rPr>
        <w:t>на</w:t>
      </w:r>
      <w:r w:rsidRPr="00FC38DC">
        <w:rPr>
          <w:rFonts w:cstheme="minorHAnsi"/>
          <w:bCs/>
          <w:color w:val="44546A"/>
          <w:szCs w:val="72"/>
          <w:lang w:val="sr-Cyrl-RS"/>
        </w:rPr>
        <w:t xml:space="preserve"> 1,5% у 2024. години. Због јачања сектора услуга и туризма, раст појединих држава попут Италије и Шпаније (1,1% и 2,5%, респективно) ревидиран је навише у 2023. години (за 0,4 п.п. и 1,0 п.п., респективно), док су изгледи за Немачку (пад од 0,3%) благо погоршани (за 0,2 п.п.), услед лошијих резултата прерађивачке индустрије.</w:t>
      </w:r>
    </w:p>
    <w:p w14:paraId="2219D081" w14:textId="77777777" w:rsidR="00D17D25" w:rsidRPr="00FC38DC" w:rsidRDefault="00D17D25" w:rsidP="00886C5E">
      <w:pPr>
        <w:rPr>
          <w:b/>
          <w:color w:val="2F5496"/>
          <w:lang w:val="sr-Cyrl-RS"/>
        </w:rPr>
      </w:pPr>
      <w:r w:rsidRPr="00FC38DC">
        <w:rPr>
          <w:b/>
          <w:color w:val="2F5496"/>
          <w:lang w:val="sr-Cyrl-RS"/>
        </w:rPr>
        <w:t>Макроекономске процене Европске комисије за подручје еврозоне</w:t>
      </w:r>
    </w:p>
    <w:p w14:paraId="5360ABD2" w14:textId="77777777" w:rsidR="00D17D25" w:rsidRPr="00FC38DC" w:rsidRDefault="00D17D25" w:rsidP="00886C5E">
      <w:pPr>
        <w:rPr>
          <w:lang w:val="sr-Cyrl-RS"/>
        </w:rPr>
      </w:pPr>
      <w:r w:rsidRPr="00FC38DC">
        <w:rPr>
          <w:lang w:val="sr-Cyrl-RS"/>
        </w:rPr>
        <w:t>Према летњим проценама Европске комисије (у даљем тексту: ЕК), економска активност еврозоне је изгубила замах те ће привредни раст након 3,3% у 2022. години успорити на 0,8% у 2023. години, што је ревизија наниже у односу на мајске процене. Након тога следи благи опоравак на 1,3% у 2024. години, када се очекује обуздавање и нормализација инфлације. Ризици по остварење пројекције су изразито високи и односе се на потенцијалну ескалацију оружаног сукоба у Украјини, даље пооштравање монетарне политике и потенцијално јачи утицај на економску активност, постојаније ценовне притиске, као и неизвесно екстерно окружење.</w:t>
      </w:r>
    </w:p>
    <w:p w14:paraId="3EAC71A7" w14:textId="74D4350A" w:rsidR="00D17D25" w:rsidRPr="00FC38DC" w:rsidRDefault="00D17D25" w:rsidP="00886C5E">
      <w:pPr>
        <w:rPr>
          <w:lang w:val="sr-Cyrl-RS"/>
        </w:rPr>
      </w:pPr>
      <w:r w:rsidRPr="00FC38DC">
        <w:rPr>
          <w:lang w:val="sr-Cyrl-RS"/>
        </w:rPr>
        <w:t xml:space="preserve">Економска активност ЕУ у првој половини године била је под утицајем слабе домаће тражње, пре свега </w:t>
      </w:r>
      <w:r>
        <w:rPr>
          <w:lang w:val="sr-Cyrl-RS"/>
        </w:rPr>
        <w:t xml:space="preserve">личне </w:t>
      </w:r>
      <w:r w:rsidRPr="00FC38DC">
        <w:rPr>
          <w:lang w:val="sr-Cyrl-RS"/>
        </w:rPr>
        <w:t xml:space="preserve">потрошње, услед продуженог дејства </w:t>
      </w:r>
      <w:r w:rsidRPr="00FC38DC">
        <w:rPr>
          <w:lang w:val="sr-Cyrl-RS"/>
        </w:rPr>
        <w:lastRenderedPageBreak/>
        <w:t>ценовних притисака код већине добара и услуга, што је лошији резултат у односу на очекивања из пролећне пројекције. Ово је остварено упркос паду цена енергената и повољним условима на тржишту рада уз рекордно ниску стопу незапослености и значајан раст плата. Економски показатељи указују на додатно успоравање економске активности током лета, на шта указују слабији резултати индустријске производње и успоравање у услужном сектору упркос веома доброј туристичкој сезони у многим деловима Европе. Динамика високофреквентних индикатора (PMI индекс еврозоне) у августу 2023</w:t>
      </w:r>
      <w:r w:rsidR="001F63E1">
        <w:rPr>
          <w:lang w:val="sr-Cyrl-RS"/>
        </w:rPr>
        <w:t>.</w:t>
      </w:r>
      <w:r w:rsidRPr="00FC38DC">
        <w:rPr>
          <w:lang w:val="sr-Cyrl-RS"/>
        </w:rPr>
        <w:t xml:space="preserve"> године (46,7 поена) указује на пад економске активности, будући да је вредност индекса трећи месец заредом испод границе од 50 поена и бележи најнижу вредност од новембра 2020. године. Такође, први пут од почетка године и услужни сектор бележи пад.</w:t>
      </w:r>
    </w:p>
    <w:p w14:paraId="7890EFC0" w14:textId="77777777" w:rsidR="00D17D25" w:rsidRPr="00FC38DC" w:rsidRDefault="00D17D25" w:rsidP="00910429">
      <w:pPr>
        <w:spacing w:after="240"/>
        <w:rPr>
          <w:lang w:val="sr-Cyrl-RS"/>
        </w:rPr>
      </w:pPr>
      <w:r w:rsidRPr="00FC38DC">
        <w:rPr>
          <w:lang w:val="sr-Cyrl-RS"/>
        </w:rPr>
        <w:t xml:space="preserve">Због деловања наведених неповољних фактора, пројекција раста еврозоне за 2023. и 2024. годину </w:t>
      </w:r>
      <w:r w:rsidRPr="00FC38DC">
        <w:rPr>
          <w:lang w:val="sr-Cyrl-RS"/>
        </w:rPr>
        <w:t>ревидирана је наниже у односу на претходну пројекцију за по 0,3 п.п. на 0,8% и 1,3%, респективно. Након стагнације приватне потрошње забележене у првој половини 2023. године, очекује се постепен опоравак подржан растом реалног расположивог дохотка услед очекиваног раста зарада и даљег слабљења инфлације. Слично, и током 2024. године се очекује да тржиште рада остане снажно, што ће са даљим падом инфлације и опоравком реалног расположивог дохотка условити да приватна потрошња буде главни покретач раста наредне године. Ревизија пројекције раста БДП Немачке на -0,4% у 2023. години (погоршање од 0,6 п.п. у поређењу са пролећним пројекцијама), може се објаснити падом укупне потрошње и инвестиција у грађевинарству. За 2024. годину, раст немачке економије је ревидиран наниже са 1,4% на 1,1%. Италијанска привреда ће у 2023. години забележити раст од 0,9% и 0,8% у 2024. години, што представља ревизију наниже од по 0,3 п.п. у поређењу са претходним пројекцијама.</w:t>
      </w:r>
    </w:p>
    <w:p w14:paraId="6B4AA204" w14:textId="77777777" w:rsidR="00D17D25" w:rsidRPr="00FC38DC" w:rsidRDefault="00D17D25" w:rsidP="00886C5E">
      <w:pPr>
        <w:spacing w:after="120" w:line="240" w:lineRule="auto"/>
        <w:ind w:left="255"/>
        <w:jc w:val="center"/>
        <w:rPr>
          <w:b/>
          <w:color w:val="002060"/>
          <w:lang w:val="sr-Cyrl-RS"/>
        </w:rPr>
        <w:sectPr w:rsidR="00D17D25" w:rsidRPr="00FC38DC" w:rsidSect="00886C5E">
          <w:footerReference w:type="default" r:id="rId28"/>
          <w:type w:val="continuous"/>
          <w:pgSz w:w="12240" w:h="15840" w:code="1"/>
          <w:pgMar w:top="1440" w:right="1440" w:bottom="1440" w:left="1440" w:header="720" w:footer="720" w:gutter="0"/>
          <w:cols w:num="2" w:space="720"/>
          <w:docGrid w:linePitch="360"/>
        </w:sectPr>
      </w:pPr>
    </w:p>
    <w:tbl>
      <w:tblPr>
        <w:tblW w:w="5000" w:type="pct"/>
        <w:tblLook w:val="04A0" w:firstRow="1" w:lastRow="0" w:firstColumn="1" w:lastColumn="0" w:noHBand="0" w:noVBand="1"/>
      </w:tblPr>
      <w:tblGrid>
        <w:gridCol w:w="3928"/>
        <w:gridCol w:w="1086"/>
        <w:gridCol w:w="1086"/>
        <w:gridCol w:w="1086"/>
        <w:gridCol w:w="1086"/>
        <w:gridCol w:w="1088"/>
      </w:tblGrid>
      <w:tr w:rsidR="00D17D25" w:rsidRPr="004E7112" w14:paraId="27A6D54D" w14:textId="77777777" w:rsidTr="00886C5E">
        <w:trPr>
          <w:trHeight w:val="300"/>
        </w:trPr>
        <w:tc>
          <w:tcPr>
            <w:tcW w:w="5000" w:type="pct"/>
            <w:gridSpan w:val="6"/>
            <w:tcBorders>
              <w:bottom w:val="single" w:sz="4" w:space="0" w:color="002060"/>
            </w:tcBorders>
            <w:shd w:val="clear" w:color="auto" w:fill="auto"/>
            <w:noWrap/>
            <w:vAlign w:val="bottom"/>
            <w:hideMark/>
          </w:tcPr>
          <w:p w14:paraId="29366AAA" w14:textId="77777777" w:rsidR="00D17D25" w:rsidRPr="00FC38DC" w:rsidRDefault="00D17D25" w:rsidP="00886C5E">
            <w:pPr>
              <w:spacing w:after="120" w:line="240" w:lineRule="auto"/>
              <w:ind w:left="255"/>
              <w:jc w:val="center"/>
              <w:rPr>
                <w:b/>
                <w:color w:val="002060"/>
                <w:lang w:val="sr-Cyrl-RS"/>
              </w:rPr>
            </w:pPr>
            <w:r w:rsidRPr="00FC38DC">
              <w:rPr>
                <w:b/>
                <w:color w:val="002060"/>
                <w:lang w:val="sr-Cyrl-RS"/>
              </w:rPr>
              <w:t>Табела 2. Макроекономске пројекције за подручје еврозоне, %</w:t>
            </w:r>
          </w:p>
        </w:tc>
      </w:tr>
      <w:tr w:rsidR="00D17D25" w:rsidRPr="00FC38DC" w14:paraId="10D43393" w14:textId="77777777" w:rsidTr="00886C5E">
        <w:trPr>
          <w:trHeight w:val="227"/>
        </w:trPr>
        <w:tc>
          <w:tcPr>
            <w:tcW w:w="2099" w:type="pct"/>
            <w:tcBorders>
              <w:top w:val="single" w:sz="4" w:space="0" w:color="002060"/>
            </w:tcBorders>
            <w:shd w:val="clear" w:color="auto" w:fill="auto"/>
            <w:noWrap/>
            <w:vAlign w:val="center"/>
          </w:tcPr>
          <w:p w14:paraId="4651A0C5" w14:textId="77777777" w:rsidR="00D17D25" w:rsidRPr="00FC38DC" w:rsidRDefault="00D17D25" w:rsidP="00886C5E">
            <w:pPr>
              <w:spacing w:after="0" w:line="240" w:lineRule="auto"/>
              <w:jc w:val="center"/>
              <w:rPr>
                <w:rFonts w:eastAsia="Times New Roman" w:cs="Times New Roman"/>
                <w:color w:val="002060"/>
                <w:sz w:val="18"/>
                <w:szCs w:val="18"/>
                <w:lang w:val="sr-Cyrl-RS"/>
              </w:rPr>
            </w:pPr>
          </w:p>
        </w:tc>
        <w:tc>
          <w:tcPr>
            <w:tcW w:w="580" w:type="pct"/>
            <w:tcBorders>
              <w:top w:val="single" w:sz="4" w:space="0" w:color="002060"/>
              <w:bottom w:val="single" w:sz="4" w:space="0" w:color="002060"/>
            </w:tcBorders>
            <w:shd w:val="clear" w:color="auto" w:fill="auto"/>
            <w:noWrap/>
            <w:vAlign w:val="center"/>
          </w:tcPr>
          <w:p w14:paraId="44918F71" w14:textId="77777777" w:rsidR="00D17D25" w:rsidRPr="00FC38DC" w:rsidRDefault="00D17D25" w:rsidP="00886C5E">
            <w:pPr>
              <w:spacing w:after="0" w:line="240" w:lineRule="auto"/>
              <w:jc w:val="center"/>
              <w:rPr>
                <w:rFonts w:cstheme="minorHAnsi"/>
                <w:color w:val="002060"/>
                <w:sz w:val="18"/>
                <w:lang w:val="sr-Cyrl-RS"/>
              </w:rPr>
            </w:pPr>
          </w:p>
        </w:tc>
        <w:tc>
          <w:tcPr>
            <w:tcW w:w="1160" w:type="pct"/>
            <w:gridSpan w:val="2"/>
            <w:tcBorders>
              <w:top w:val="single" w:sz="4" w:space="0" w:color="002060"/>
              <w:bottom w:val="single" w:sz="4" w:space="0" w:color="002060"/>
            </w:tcBorders>
            <w:shd w:val="clear" w:color="auto" w:fill="auto"/>
            <w:noWrap/>
            <w:vAlign w:val="center"/>
          </w:tcPr>
          <w:p w14:paraId="1F38AEC8"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Тренутна пројекција</w:t>
            </w:r>
          </w:p>
        </w:tc>
        <w:tc>
          <w:tcPr>
            <w:tcW w:w="1160" w:type="pct"/>
            <w:gridSpan w:val="2"/>
            <w:tcBorders>
              <w:top w:val="single" w:sz="4" w:space="0" w:color="002060"/>
              <w:bottom w:val="single" w:sz="4" w:space="0" w:color="002060"/>
            </w:tcBorders>
            <w:shd w:val="clear" w:color="auto" w:fill="auto"/>
            <w:noWrap/>
            <w:vAlign w:val="center"/>
          </w:tcPr>
          <w:p w14:paraId="5C95E221"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Претходна (пролећна)</w:t>
            </w:r>
          </w:p>
          <w:p w14:paraId="7D110405"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пројекција</w:t>
            </w:r>
          </w:p>
        </w:tc>
      </w:tr>
      <w:tr w:rsidR="00D17D25" w:rsidRPr="00FC38DC" w14:paraId="3F9CAF6F" w14:textId="77777777" w:rsidTr="00886C5E">
        <w:trPr>
          <w:trHeight w:val="227"/>
        </w:trPr>
        <w:tc>
          <w:tcPr>
            <w:tcW w:w="2099" w:type="pct"/>
            <w:tcBorders>
              <w:top w:val="single" w:sz="4" w:space="0" w:color="002060"/>
            </w:tcBorders>
            <w:shd w:val="clear" w:color="auto" w:fill="auto"/>
            <w:noWrap/>
            <w:vAlign w:val="center"/>
          </w:tcPr>
          <w:p w14:paraId="37CB3657" w14:textId="77777777" w:rsidR="00D17D25" w:rsidRPr="00FC38DC" w:rsidRDefault="00D17D25" w:rsidP="00886C5E">
            <w:pPr>
              <w:spacing w:after="0" w:line="240" w:lineRule="auto"/>
              <w:jc w:val="center"/>
              <w:rPr>
                <w:rFonts w:eastAsia="Times New Roman" w:cs="Times New Roman"/>
                <w:color w:val="002060"/>
                <w:sz w:val="18"/>
                <w:szCs w:val="18"/>
                <w:lang w:val="sr-Cyrl-RS"/>
              </w:rPr>
            </w:pPr>
          </w:p>
        </w:tc>
        <w:tc>
          <w:tcPr>
            <w:tcW w:w="580" w:type="pct"/>
            <w:tcBorders>
              <w:top w:val="single" w:sz="4" w:space="0" w:color="002060"/>
              <w:bottom w:val="single" w:sz="4" w:space="0" w:color="002060"/>
            </w:tcBorders>
            <w:shd w:val="clear" w:color="auto" w:fill="auto"/>
            <w:noWrap/>
            <w:vAlign w:val="center"/>
          </w:tcPr>
          <w:p w14:paraId="09F07A54"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2022</w:t>
            </w:r>
          </w:p>
        </w:tc>
        <w:tc>
          <w:tcPr>
            <w:tcW w:w="580" w:type="pct"/>
            <w:tcBorders>
              <w:top w:val="single" w:sz="4" w:space="0" w:color="002060"/>
              <w:bottom w:val="single" w:sz="4" w:space="0" w:color="002060"/>
            </w:tcBorders>
            <w:shd w:val="clear" w:color="auto" w:fill="auto"/>
            <w:noWrap/>
            <w:vAlign w:val="center"/>
          </w:tcPr>
          <w:p w14:paraId="6991B05F"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2023</w:t>
            </w:r>
          </w:p>
        </w:tc>
        <w:tc>
          <w:tcPr>
            <w:tcW w:w="580" w:type="pct"/>
            <w:tcBorders>
              <w:top w:val="single" w:sz="4" w:space="0" w:color="002060"/>
              <w:bottom w:val="single" w:sz="4" w:space="0" w:color="002060"/>
            </w:tcBorders>
            <w:shd w:val="clear" w:color="auto" w:fill="auto"/>
            <w:noWrap/>
            <w:vAlign w:val="center"/>
          </w:tcPr>
          <w:p w14:paraId="15280DC6"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2024</w:t>
            </w:r>
          </w:p>
        </w:tc>
        <w:tc>
          <w:tcPr>
            <w:tcW w:w="580" w:type="pct"/>
            <w:tcBorders>
              <w:top w:val="single" w:sz="4" w:space="0" w:color="002060"/>
              <w:bottom w:val="single" w:sz="4" w:space="0" w:color="002060"/>
            </w:tcBorders>
            <w:shd w:val="clear" w:color="auto" w:fill="auto"/>
            <w:noWrap/>
            <w:vAlign w:val="center"/>
          </w:tcPr>
          <w:p w14:paraId="3CA50F90"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2023</w:t>
            </w:r>
          </w:p>
        </w:tc>
        <w:tc>
          <w:tcPr>
            <w:tcW w:w="580" w:type="pct"/>
            <w:tcBorders>
              <w:top w:val="single" w:sz="4" w:space="0" w:color="002060"/>
              <w:bottom w:val="single" w:sz="4" w:space="0" w:color="002060"/>
            </w:tcBorders>
          </w:tcPr>
          <w:p w14:paraId="2352EEB7"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2024</w:t>
            </w:r>
          </w:p>
        </w:tc>
      </w:tr>
      <w:tr w:rsidR="00D17D25" w:rsidRPr="00FC38DC" w14:paraId="1172933D" w14:textId="77777777" w:rsidTr="00886C5E">
        <w:trPr>
          <w:trHeight w:val="227"/>
        </w:trPr>
        <w:tc>
          <w:tcPr>
            <w:tcW w:w="2099" w:type="pct"/>
            <w:shd w:val="clear" w:color="auto" w:fill="E6E6E6"/>
            <w:noWrap/>
            <w:vAlign w:val="bottom"/>
            <w:hideMark/>
          </w:tcPr>
          <w:p w14:paraId="7902FDB4" w14:textId="77777777" w:rsidR="00D17D25" w:rsidRPr="00FC38DC" w:rsidRDefault="00D17D25" w:rsidP="00886C5E">
            <w:pPr>
              <w:spacing w:after="0" w:line="240" w:lineRule="auto"/>
              <w:ind w:left="357" w:hanging="357"/>
              <w:rPr>
                <w:rFonts w:cstheme="minorHAnsi"/>
                <w:color w:val="002060"/>
                <w:sz w:val="18"/>
                <w:lang w:val="sr-Cyrl-RS"/>
              </w:rPr>
            </w:pPr>
            <w:r w:rsidRPr="00FC38DC">
              <w:rPr>
                <w:rFonts w:cstheme="minorHAnsi"/>
                <w:color w:val="002060"/>
                <w:sz w:val="18"/>
                <w:lang w:val="sr-Cyrl-RS"/>
              </w:rPr>
              <w:t>Реални раст БДП, %</w:t>
            </w:r>
          </w:p>
        </w:tc>
        <w:tc>
          <w:tcPr>
            <w:tcW w:w="580" w:type="pct"/>
            <w:tcBorders>
              <w:top w:val="single" w:sz="4" w:space="0" w:color="002060"/>
            </w:tcBorders>
            <w:shd w:val="clear" w:color="auto" w:fill="E6E6E6"/>
            <w:noWrap/>
            <w:vAlign w:val="center"/>
          </w:tcPr>
          <w:p w14:paraId="02CBCE11" w14:textId="77777777" w:rsidR="00D17D25" w:rsidRPr="00FC38DC" w:rsidRDefault="00D17D25" w:rsidP="00886C5E">
            <w:pPr>
              <w:spacing w:after="0" w:line="240" w:lineRule="auto"/>
              <w:jc w:val="center"/>
              <w:rPr>
                <w:rFonts w:cstheme="minorHAnsi"/>
                <w:color w:val="002060"/>
                <w:sz w:val="18"/>
                <w:lang w:val="sr-Cyrl-RS"/>
              </w:rPr>
            </w:pPr>
          </w:p>
        </w:tc>
        <w:tc>
          <w:tcPr>
            <w:tcW w:w="580" w:type="pct"/>
            <w:tcBorders>
              <w:top w:val="single" w:sz="4" w:space="0" w:color="002060"/>
            </w:tcBorders>
            <w:shd w:val="clear" w:color="auto" w:fill="E6E6E6"/>
            <w:noWrap/>
            <w:vAlign w:val="center"/>
          </w:tcPr>
          <w:p w14:paraId="5FAD1666" w14:textId="77777777" w:rsidR="00D17D25" w:rsidRPr="00FC38DC" w:rsidRDefault="00D17D25" w:rsidP="00886C5E">
            <w:pPr>
              <w:spacing w:after="0" w:line="240" w:lineRule="auto"/>
              <w:jc w:val="center"/>
              <w:rPr>
                <w:rFonts w:cstheme="minorHAnsi"/>
                <w:color w:val="002060"/>
                <w:sz w:val="18"/>
                <w:lang w:val="sr-Cyrl-RS"/>
              </w:rPr>
            </w:pPr>
          </w:p>
        </w:tc>
        <w:tc>
          <w:tcPr>
            <w:tcW w:w="580" w:type="pct"/>
            <w:tcBorders>
              <w:top w:val="single" w:sz="4" w:space="0" w:color="002060"/>
            </w:tcBorders>
            <w:shd w:val="clear" w:color="auto" w:fill="E6E6E6"/>
            <w:noWrap/>
            <w:vAlign w:val="center"/>
          </w:tcPr>
          <w:p w14:paraId="0E41380D" w14:textId="77777777" w:rsidR="00D17D25" w:rsidRPr="00FC38DC" w:rsidRDefault="00D17D25" w:rsidP="00886C5E">
            <w:pPr>
              <w:spacing w:after="0" w:line="240" w:lineRule="auto"/>
              <w:jc w:val="center"/>
              <w:rPr>
                <w:rFonts w:cstheme="minorHAnsi"/>
                <w:color w:val="002060"/>
                <w:sz w:val="18"/>
                <w:lang w:val="sr-Cyrl-RS"/>
              </w:rPr>
            </w:pPr>
          </w:p>
        </w:tc>
        <w:tc>
          <w:tcPr>
            <w:tcW w:w="580" w:type="pct"/>
            <w:tcBorders>
              <w:top w:val="single" w:sz="4" w:space="0" w:color="002060"/>
            </w:tcBorders>
            <w:shd w:val="clear" w:color="auto" w:fill="E6E6E6"/>
            <w:noWrap/>
            <w:vAlign w:val="center"/>
          </w:tcPr>
          <w:p w14:paraId="771011E7" w14:textId="77777777" w:rsidR="00D17D25" w:rsidRPr="00FC38DC" w:rsidRDefault="00D17D25" w:rsidP="00886C5E">
            <w:pPr>
              <w:spacing w:after="0" w:line="240" w:lineRule="auto"/>
              <w:jc w:val="center"/>
              <w:rPr>
                <w:rFonts w:cstheme="minorHAnsi"/>
                <w:color w:val="002060"/>
                <w:sz w:val="18"/>
                <w:lang w:val="sr-Cyrl-RS"/>
              </w:rPr>
            </w:pPr>
          </w:p>
        </w:tc>
        <w:tc>
          <w:tcPr>
            <w:tcW w:w="580" w:type="pct"/>
            <w:tcBorders>
              <w:top w:val="single" w:sz="4" w:space="0" w:color="002060"/>
            </w:tcBorders>
            <w:shd w:val="clear" w:color="auto" w:fill="E6E6E6"/>
          </w:tcPr>
          <w:p w14:paraId="3E8BBA30" w14:textId="77777777" w:rsidR="00D17D25" w:rsidRPr="00FC38DC" w:rsidRDefault="00D17D25" w:rsidP="00886C5E">
            <w:pPr>
              <w:spacing w:after="0" w:line="240" w:lineRule="auto"/>
              <w:jc w:val="center"/>
              <w:rPr>
                <w:rFonts w:cstheme="minorHAnsi"/>
                <w:color w:val="002060"/>
                <w:sz w:val="18"/>
                <w:lang w:val="sr-Cyrl-RS"/>
              </w:rPr>
            </w:pPr>
          </w:p>
        </w:tc>
      </w:tr>
      <w:tr w:rsidR="00D17D25" w:rsidRPr="00FC38DC" w14:paraId="425C048E" w14:textId="77777777" w:rsidTr="00886C5E">
        <w:trPr>
          <w:trHeight w:val="227"/>
        </w:trPr>
        <w:tc>
          <w:tcPr>
            <w:tcW w:w="2099" w:type="pct"/>
            <w:shd w:val="clear" w:color="auto" w:fill="auto"/>
            <w:noWrap/>
            <w:vAlign w:val="bottom"/>
          </w:tcPr>
          <w:p w14:paraId="73874FCB" w14:textId="77777777" w:rsidR="00D17D25" w:rsidRPr="00FC38DC" w:rsidRDefault="00D17D25" w:rsidP="00886C5E">
            <w:pPr>
              <w:spacing w:after="0" w:line="240" w:lineRule="auto"/>
              <w:ind w:left="641" w:hanging="357"/>
              <w:rPr>
                <w:rFonts w:cstheme="minorHAnsi"/>
                <w:color w:val="002060"/>
                <w:sz w:val="18"/>
                <w:lang w:val="sr-Cyrl-RS"/>
              </w:rPr>
            </w:pPr>
            <w:r w:rsidRPr="00FC38DC">
              <w:rPr>
                <w:rFonts w:cstheme="minorHAnsi"/>
                <w:color w:val="002060"/>
                <w:sz w:val="18"/>
                <w:lang w:val="sr-Cyrl-RS"/>
              </w:rPr>
              <w:t>Еврозона</w:t>
            </w:r>
          </w:p>
        </w:tc>
        <w:tc>
          <w:tcPr>
            <w:tcW w:w="580" w:type="pct"/>
            <w:shd w:val="clear" w:color="auto" w:fill="auto"/>
            <w:noWrap/>
            <w:vAlign w:val="center"/>
          </w:tcPr>
          <w:p w14:paraId="290D0746"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3,3</w:t>
            </w:r>
          </w:p>
        </w:tc>
        <w:tc>
          <w:tcPr>
            <w:tcW w:w="580" w:type="pct"/>
            <w:shd w:val="clear" w:color="auto" w:fill="auto"/>
            <w:noWrap/>
            <w:vAlign w:val="center"/>
          </w:tcPr>
          <w:p w14:paraId="73DCCAE3"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0,8</w:t>
            </w:r>
          </w:p>
        </w:tc>
        <w:tc>
          <w:tcPr>
            <w:tcW w:w="580" w:type="pct"/>
            <w:shd w:val="clear" w:color="auto" w:fill="auto"/>
            <w:noWrap/>
            <w:vAlign w:val="center"/>
          </w:tcPr>
          <w:p w14:paraId="78606B16"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1,3</w:t>
            </w:r>
          </w:p>
        </w:tc>
        <w:tc>
          <w:tcPr>
            <w:tcW w:w="580" w:type="pct"/>
            <w:shd w:val="clear" w:color="auto" w:fill="auto"/>
            <w:noWrap/>
            <w:vAlign w:val="center"/>
          </w:tcPr>
          <w:p w14:paraId="25F91851"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1,1</w:t>
            </w:r>
          </w:p>
        </w:tc>
        <w:tc>
          <w:tcPr>
            <w:tcW w:w="580" w:type="pct"/>
          </w:tcPr>
          <w:p w14:paraId="60268F80"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1,6</w:t>
            </w:r>
          </w:p>
        </w:tc>
      </w:tr>
      <w:tr w:rsidR="00D17D25" w:rsidRPr="00FC38DC" w14:paraId="5913BA15" w14:textId="77777777" w:rsidTr="00886C5E">
        <w:trPr>
          <w:trHeight w:val="227"/>
        </w:trPr>
        <w:tc>
          <w:tcPr>
            <w:tcW w:w="2099" w:type="pct"/>
            <w:shd w:val="clear" w:color="auto" w:fill="auto"/>
            <w:noWrap/>
            <w:vAlign w:val="bottom"/>
          </w:tcPr>
          <w:p w14:paraId="5F279A5E" w14:textId="77777777" w:rsidR="00D17D25" w:rsidRPr="00FC38DC" w:rsidRDefault="00D17D25" w:rsidP="00886C5E">
            <w:pPr>
              <w:spacing w:after="0" w:line="240" w:lineRule="auto"/>
              <w:ind w:left="641" w:hanging="357"/>
              <w:rPr>
                <w:rFonts w:cstheme="minorHAnsi"/>
                <w:color w:val="002060"/>
                <w:sz w:val="18"/>
                <w:lang w:val="sr-Cyrl-RS"/>
              </w:rPr>
            </w:pPr>
            <w:r w:rsidRPr="00FC38DC">
              <w:rPr>
                <w:rFonts w:cstheme="minorHAnsi"/>
                <w:color w:val="002060"/>
                <w:sz w:val="18"/>
                <w:lang w:val="sr-Cyrl-RS"/>
              </w:rPr>
              <w:t>Европска унија</w:t>
            </w:r>
          </w:p>
        </w:tc>
        <w:tc>
          <w:tcPr>
            <w:tcW w:w="580" w:type="pct"/>
            <w:shd w:val="clear" w:color="auto" w:fill="auto"/>
            <w:noWrap/>
            <w:vAlign w:val="center"/>
          </w:tcPr>
          <w:p w14:paraId="0D59FFBD"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3,4</w:t>
            </w:r>
          </w:p>
        </w:tc>
        <w:tc>
          <w:tcPr>
            <w:tcW w:w="580" w:type="pct"/>
            <w:shd w:val="clear" w:color="auto" w:fill="auto"/>
            <w:noWrap/>
            <w:vAlign w:val="center"/>
          </w:tcPr>
          <w:p w14:paraId="50B4A53D"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0,8</w:t>
            </w:r>
          </w:p>
        </w:tc>
        <w:tc>
          <w:tcPr>
            <w:tcW w:w="580" w:type="pct"/>
            <w:shd w:val="clear" w:color="auto" w:fill="auto"/>
            <w:noWrap/>
            <w:vAlign w:val="center"/>
          </w:tcPr>
          <w:p w14:paraId="3D33FC1D"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1,4</w:t>
            </w:r>
          </w:p>
        </w:tc>
        <w:tc>
          <w:tcPr>
            <w:tcW w:w="580" w:type="pct"/>
            <w:shd w:val="clear" w:color="auto" w:fill="auto"/>
            <w:noWrap/>
            <w:vAlign w:val="center"/>
          </w:tcPr>
          <w:p w14:paraId="0E5BAE0B"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1,0</w:t>
            </w:r>
          </w:p>
        </w:tc>
        <w:tc>
          <w:tcPr>
            <w:tcW w:w="580" w:type="pct"/>
          </w:tcPr>
          <w:p w14:paraId="6E3096BD"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1,7</w:t>
            </w:r>
          </w:p>
        </w:tc>
      </w:tr>
      <w:tr w:rsidR="00D17D25" w:rsidRPr="00FC38DC" w14:paraId="71FBEA11" w14:textId="77777777" w:rsidTr="00886C5E">
        <w:trPr>
          <w:trHeight w:val="227"/>
        </w:trPr>
        <w:tc>
          <w:tcPr>
            <w:tcW w:w="2099" w:type="pct"/>
            <w:shd w:val="clear" w:color="auto" w:fill="auto"/>
            <w:noWrap/>
            <w:vAlign w:val="bottom"/>
          </w:tcPr>
          <w:p w14:paraId="64D6A758" w14:textId="77777777" w:rsidR="00D17D25" w:rsidRPr="00FC38DC" w:rsidRDefault="00D17D25" w:rsidP="00886C5E">
            <w:pPr>
              <w:spacing w:after="0" w:line="240" w:lineRule="auto"/>
              <w:ind w:left="924" w:hanging="357"/>
              <w:rPr>
                <w:rFonts w:cstheme="minorHAnsi"/>
                <w:color w:val="002060"/>
                <w:sz w:val="18"/>
                <w:lang w:val="sr-Cyrl-RS"/>
              </w:rPr>
            </w:pPr>
            <w:r w:rsidRPr="00FC38DC">
              <w:rPr>
                <w:rFonts w:cstheme="minorHAnsi"/>
                <w:color w:val="002060"/>
                <w:sz w:val="18"/>
                <w:lang w:val="sr-Cyrl-RS"/>
              </w:rPr>
              <w:t>Немачка</w:t>
            </w:r>
          </w:p>
        </w:tc>
        <w:tc>
          <w:tcPr>
            <w:tcW w:w="580" w:type="pct"/>
            <w:shd w:val="clear" w:color="auto" w:fill="auto"/>
            <w:noWrap/>
            <w:vAlign w:val="center"/>
          </w:tcPr>
          <w:p w14:paraId="19DED481"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1,8</w:t>
            </w:r>
          </w:p>
        </w:tc>
        <w:tc>
          <w:tcPr>
            <w:tcW w:w="580" w:type="pct"/>
            <w:shd w:val="clear" w:color="auto" w:fill="auto"/>
            <w:noWrap/>
            <w:vAlign w:val="center"/>
          </w:tcPr>
          <w:p w14:paraId="148B242B" w14:textId="77777777" w:rsidR="00D17D25" w:rsidRPr="00FC38DC" w:rsidRDefault="00D17D25" w:rsidP="00886C5E">
            <w:pPr>
              <w:spacing w:after="0" w:line="240" w:lineRule="auto"/>
              <w:ind w:left="-17"/>
              <w:jc w:val="center"/>
              <w:rPr>
                <w:rFonts w:cstheme="minorHAnsi"/>
                <w:color w:val="002060"/>
                <w:sz w:val="18"/>
                <w:lang w:val="sr-Cyrl-RS"/>
              </w:rPr>
            </w:pPr>
            <w:r w:rsidRPr="00FC38DC">
              <w:rPr>
                <w:rFonts w:cstheme="minorHAnsi"/>
                <w:color w:val="002060"/>
                <w:sz w:val="18"/>
                <w:lang w:val="sr-Cyrl-RS"/>
              </w:rPr>
              <w:t>-0,4</w:t>
            </w:r>
          </w:p>
        </w:tc>
        <w:tc>
          <w:tcPr>
            <w:tcW w:w="580" w:type="pct"/>
            <w:shd w:val="clear" w:color="auto" w:fill="auto"/>
            <w:noWrap/>
            <w:vAlign w:val="center"/>
          </w:tcPr>
          <w:p w14:paraId="38F74E27"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1,1</w:t>
            </w:r>
          </w:p>
        </w:tc>
        <w:tc>
          <w:tcPr>
            <w:tcW w:w="580" w:type="pct"/>
            <w:shd w:val="clear" w:color="auto" w:fill="auto"/>
            <w:noWrap/>
            <w:vAlign w:val="center"/>
          </w:tcPr>
          <w:p w14:paraId="027E016B"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0,2</w:t>
            </w:r>
          </w:p>
        </w:tc>
        <w:tc>
          <w:tcPr>
            <w:tcW w:w="580" w:type="pct"/>
          </w:tcPr>
          <w:p w14:paraId="370911C8"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1,4</w:t>
            </w:r>
          </w:p>
        </w:tc>
      </w:tr>
      <w:tr w:rsidR="00D17D25" w:rsidRPr="00FC38DC" w14:paraId="14B9D638" w14:textId="77777777" w:rsidTr="00886C5E">
        <w:trPr>
          <w:trHeight w:val="227"/>
        </w:trPr>
        <w:tc>
          <w:tcPr>
            <w:tcW w:w="2099" w:type="pct"/>
            <w:shd w:val="clear" w:color="auto" w:fill="auto"/>
            <w:noWrap/>
            <w:vAlign w:val="bottom"/>
          </w:tcPr>
          <w:p w14:paraId="684F78CC" w14:textId="77777777" w:rsidR="00D17D25" w:rsidRPr="00FC38DC" w:rsidRDefault="00D17D25" w:rsidP="00886C5E">
            <w:pPr>
              <w:spacing w:after="0" w:line="240" w:lineRule="auto"/>
              <w:ind w:left="924" w:hanging="357"/>
              <w:rPr>
                <w:rFonts w:cstheme="minorHAnsi"/>
                <w:color w:val="002060"/>
                <w:sz w:val="18"/>
                <w:lang w:val="sr-Cyrl-RS"/>
              </w:rPr>
            </w:pPr>
            <w:r w:rsidRPr="00FC38DC">
              <w:rPr>
                <w:rFonts w:cstheme="minorHAnsi"/>
                <w:color w:val="002060"/>
                <w:sz w:val="18"/>
                <w:lang w:val="sr-Cyrl-RS"/>
              </w:rPr>
              <w:t>Италија</w:t>
            </w:r>
          </w:p>
        </w:tc>
        <w:tc>
          <w:tcPr>
            <w:tcW w:w="580" w:type="pct"/>
            <w:shd w:val="clear" w:color="auto" w:fill="auto"/>
            <w:noWrap/>
            <w:vAlign w:val="center"/>
          </w:tcPr>
          <w:p w14:paraId="4BDA163B"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3,7</w:t>
            </w:r>
          </w:p>
        </w:tc>
        <w:tc>
          <w:tcPr>
            <w:tcW w:w="580" w:type="pct"/>
            <w:shd w:val="clear" w:color="auto" w:fill="auto"/>
            <w:noWrap/>
            <w:vAlign w:val="center"/>
          </w:tcPr>
          <w:p w14:paraId="0893B366"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0,9</w:t>
            </w:r>
          </w:p>
        </w:tc>
        <w:tc>
          <w:tcPr>
            <w:tcW w:w="580" w:type="pct"/>
            <w:shd w:val="clear" w:color="auto" w:fill="auto"/>
            <w:noWrap/>
            <w:vAlign w:val="center"/>
          </w:tcPr>
          <w:p w14:paraId="2555FAFE"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0,8</w:t>
            </w:r>
          </w:p>
        </w:tc>
        <w:tc>
          <w:tcPr>
            <w:tcW w:w="580" w:type="pct"/>
            <w:shd w:val="clear" w:color="auto" w:fill="auto"/>
            <w:noWrap/>
            <w:vAlign w:val="center"/>
          </w:tcPr>
          <w:p w14:paraId="6E8A98D2"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1,2</w:t>
            </w:r>
          </w:p>
        </w:tc>
        <w:tc>
          <w:tcPr>
            <w:tcW w:w="580" w:type="pct"/>
          </w:tcPr>
          <w:p w14:paraId="5615931E"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1,1</w:t>
            </w:r>
          </w:p>
        </w:tc>
      </w:tr>
      <w:tr w:rsidR="00D17D25" w:rsidRPr="00FC38DC" w14:paraId="7936DFD6" w14:textId="77777777" w:rsidTr="00886C5E">
        <w:trPr>
          <w:trHeight w:val="227"/>
        </w:trPr>
        <w:tc>
          <w:tcPr>
            <w:tcW w:w="2099" w:type="pct"/>
            <w:shd w:val="clear" w:color="auto" w:fill="E6E6E6"/>
            <w:noWrap/>
            <w:vAlign w:val="bottom"/>
          </w:tcPr>
          <w:p w14:paraId="385BE089" w14:textId="77777777" w:rsidR="00D17D25" w:rsidRPr="00FC38DC" w:rsidRDefault="00D17D25" w:rsidP="00886C5E">
            <w:pPr>
              <w:spacing w:after="0" w:line="240" w:lineRule="auto"/>
              <w:ind w:left="357" w:hanging="357"/>
              <w:rPr>
                <w:rFonts w:cstheme="minorHAnsi"/>
                <w:color w:val="002060"/>
                <w:sz w:val="18"/>
                <w:lang w:val="sr-Cyrl-RS"/>
              </w:rPr>
            </w:pPr>
            <w:r w:rsidRPr="00FC38DC">
              <w:rPr>
                <w:rFonts w:cstheme="minorHAnsi"/>
                <w:color w:val="002060"/>
                <w:sz w:val="18"/>
                <w:lang w:val="sr-Cyrl-RS"/>
              </w:rPr>
              <w:t>Инфлација, просек периода, %</w:t>
            </w:r>
          </w:p>
        </w:tc>
        <w:tc>
          <w:tcPr>
            <w:tcW w:w="580" w:type="pct"/>
            <w:shd w:val="clear" w:color="auto" w:fill="E6E6E6"/>
            <w:noWrap/>
            <w:vAlign w:val="center"/>
          </w:tcPr>
          <w:p w14:paraId="37C1B878" w14:textId="77777777" w:rsidR="00D17D25" w:rsidRPr="00FC38DC" w:rsidRDefault="00D17D25" w:rsidP="00886C5E">
            <w:pPr>
              <w:spacing w:after="0" w:line="240" w:lineRule="auto"/>
              <w:jc w:val="center"/>
              <w:rPr>
                <w:rFonts w:cstheme="minorHAnsi"/>
                <w:color w:val="002060"/>
                <w:sz w:val="18"/>
                <w:lang w:val="sr-Cyrl-RS"/>
              </w:rPr>
            </w:pPr>
          </w:p>
        </w:tc>
        <w:tc>
          <w:tcPr>
            <w:tcW w:w="580" w:type="pct"/>
            <w:shd w:val="clear" w:color="auto" w:fill="E6E6E6"/>
            <w:noWrap/>
            <w:vAlign w:val="center"/>
          </w:tcPr>
          <w:p w14:paraId="1DCE9F20" w14:textId="77777777" w:rsidR="00D17D25" w:rsidRPr="00FC38DC" w:rsidRDefault="00D17D25" w:rsidP="00886C5E">
            <w:pPr>
              <w:spacing w:after="0" w:line="240" w:lineRule="auto"/>
              <w:jc w:val="center"/>
              <w:rPr>
                <w:rFonts w:cstheme="minorHAnsi"/>
                <w:color w:val="002060"/>
                <w:sz w:val="18"/>
                <w:lang w:val="sr-Cyrl-RS"/>
              </w:rPr>
            </w:pPr>
          </w:p>
        </w:tc>
        <w:tc>
          <w:tcPr>
            <w:tcW w:w="580" w:type="pct"/>
            <w:shd w:val="clear" w:color="auto" w:fill="E6E6E6"/>
            <w:noWrap/>
            <w:vAlign w:val="center"/>
          </w:tcPr>
          <w:p w14:paraId="1ABB45B3" w14:textId="77777777" w:rsidR="00D17D25" w:rsidRPr="00FC38DC" w:rsidRDefault="00D17D25" w:rsidP="00886C5E">
            <w:pPr>
              <w:spacing w:after="0" w:line="240" w:lineRule="auto"/>
              <w:jc w:val="center"/>
              <w:rPr>
                <w:rFonts w:cstheme="minorHAnsi"/>
                <w:color w:val="002060"/>
                <w:sz w:val="18"/>
                <w:lang w:val="sr-Cyrl-RS"/>
              </w:rPr>
            </w:pPr>
          </w:p>
        </w:tc>
        <w:tc>
          <w:tcPr>
            <w:tcW w:w="580" w:type="pct"/>
            <w:shd w:val="clear" w:color="auto" w:fill="E6E6E6"/>
            <w:noWrap/>
            <w:vAlign w:val="center"/>
          </w:tcPr>
          <w:p w14:paraId="1D6DAAE9" w14:textId="77777777" w:rsidR="00D17D25" w:rsidRPr="00FC38DC" w:rsidRDefault="00D17D25" w:rsidP="00886C5E">
            <w:pPr>
              <w:spacing w:after="0" w:line="240" w:lineRule="auto"/>
              <w:jc w:val="center"/>
              <w:rPr>
                <w:rFonts w:cstheme="minorHAnsi"/>
                <w:color w:val="002060"/>
                <w:sz w:val="18"/>
                <w:lang w:val="sr-Cyrl-RS"/>
              </w:rPr>
            </w:pPr>
          </w:p>
        </w:tc>
        <w:tc>
          <w:tcPr>
            <w:tcW w:w="580" w:type="pct"/>
            <w:shd w:val="clear" w:color="auto" w:fill="E6E6E6"/>
          </w:tcPr>
          <w:p w14:paraId="1342800B" w14:textId="77777777" w:rsidR="00D17D25" w:rsidRPr="00FC38DC" w:rsidRDefault="00D17D25" w:rsidP="00886C5E">
            <w:pPr>
              <w:spacing w:after="0" w:line="240" w:lineRule="auto"/>
              <w:jc w:val="center"/>
              <w:rPr>
                <w:rFonts w:cstheme="minorHAnsi"/>
                <w:color w:val="002060"/>
                <w:sz w:val="18"/>
                <w:lang w:val="sr-Cyrl-RS"/>
              </w:rPr>
            </w:pPr>
          </w:p>
        </w:tc>
      </w:tr>
      <w:tr w:rsidR="00D17D25" w:rsidRPr="00FC38DC" w14:paraId="0AA708C8" w14:textId="77777777" w:rsidTr="00886C5E">
        <w:trPr>
          <w:trHeight w:val="227"/>
        </w:trPr>
        <w:tc>
          <w:tcPr>
            <w:tcW w:w="2099" w:type="pct"/>
            <w:shd w:val="clear" w:color="auto" w:fill="auto"/>
            <w:noWrap/>
            <w:vAlign w:val="bottom"/>
          </w:tcPr>
          <w:p w14:paraId="49361DA3" w14:textId="77777777" w:rsidR="00D17D25" w:rsidRPr="00FC38DC" w:rsidRDefault="00D17D25" w:rsidP="00886C5E">
            <w:pPr>
              <w:spacing w:after="0" w:line="240" w:lineRule="auto"/>
              <w:ind w:left="641" w:hanging="357"/>
              <w:rPr>
                <w:rFonts w:cstheme="minorHAnsi"/>
                <w:color w:val="002060"/>
                <w:sz w:val="18"/>
                <w:lang w:val="sr-Cyrl-RS"/>
              </w:rPr>
            </w:pPr>
            <w:r w:rsidRPr="00FC38DC">
              <w:rPr>
                <w:rFonts w:cstheme="minorHAnsi"/>
                <w:color w:val="002060"/>
                <w:sz w:val="18"/>
                <w:lang w:val="sr-Cyrl-RS"/>
              </w:rPr>
              <w:t>Еврозона</w:t>
            </w:r>
          </w:p>
        </w:tc>
        <w:tc>
          <w:tcPr>
            <w:tcW w:w="580" w:type="pct"/>
            <w:shd w:val="clear" w:color="auto" w:fill="auto"/>
            <w:noWrap/>
            <w:vAlign w:val="center"/>
          </w:tcPr>
          <w:p w14:paraId="3C1BCAA9"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8,4</w:t>
            </w:r>
          </w:p>
        </w:tc>
        <w:tc>
          <w:tcPr>
            <w:tcW w:w="580" w:type="pct"/>
            <w:shd w:val="clear" w:color="auto" w:fill="auto"/>
            <w:noWrap/>
            <w:vAlign w:val="center"/>
          </w:tcPr>
          <w:p w14:paraId="113A8413"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5,6</w:t>
            </w:r>
          </w:p>
        </w:tc>
        <w:tc>
          <w:tcPr>
            <w:tcW w:w="580" w:type="pct"/>
            <w:shd w:val="clear" w:color="auto" w:fill="auto"/>
            <w:noWrap/>
            <w:vAlign w:val="center"/>
          </w:tcPr>
          <w:p w14:paraId="0CE975BE"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2,9</w:t>
            </w:r>
          </w:p>
        </w:tc>
        <w:tc>
          <w:tcPr>
            <w:tcW w:w="580" w:type="pct"/>
            <w:shd w:val="clear" w:color="auto" w:fill="auto"/>
            <w:noWrap/>
            <w:vAlign w:val="center"/>
          </w:tcPr>
          <w:p w14:paraId="7356AD46"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5,8</w:t>
            </w:r>
          </w:p>
        </w:tc>
        <w:tc>
          <w:tcPr>
            <w:tcW w:w="580" w:type="pct"/>
          </w:tcPr>
          <w:p w14:paraId="5F42398F"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2,8</w:t>
            </w:r>
          </w:p>
        </w:tc>
      </w:tr>
      <w:tr w:rsidR="00D17D25" w:rsidRPr="00FC38DC" w14:paraId="6A7153AC" w14:textId="77777777" w:rsidTr="00886C5E">
        <w:trPr>
          <w:trHeight w:val="227"/>
        </w:trPr>
        <w:tc>
          <w:tcPr>
            <w:tcW w:w="2099" w:type="pct"/>
            <w:shd w:val="clear" w:color="auto" w:fill="auto"/>
            <w:noWrap/>
            <w:vAlign w:val="bottom"/>
          </w:tcPr>
          <w:p w14:paraId="45088E5D" w14:textId="77777777" w:rsidR="00D17D25" w:rsidRPr="00FC38DC" w:rsidRDefault="00D17D25" w:rsidP="00886C5E">
            <w:pPr>
              <w:spacing w:after="0" w:line="240" w:lineRule="auto"/>
              <w:ind w:left="641" w:hanging="357"/>
              <w:rPr>
                <w:rFonts w:cstheme="minorHAnsi"/>
                <w:color w:val="002060"/>
                <w:sz w:val="18"/>
                <w:lang w:val="sr-Cyrl-RS"/>
              </w:rPr>
            </w:pPr>
            <w:r w:rsidRPr="00FC38DC">
              <w:rPr>
                <w:rFonts w:cstheme="minorHAnsi"/>
                <w:color w:val="002060"/>
                <w:sz w:val="18"/>
                <w:lang w:val="sr-Cyrl-RS"/>
              </w:rPr>
              <w:t>Европска унија</w:t>
            </w:r>
          </w:p>
        </w:tc>
        <w:tc>
          <w:tcPr>
            <w:tcW w:w="580" w:type="pct"/>
            <w:shd w:val="clear" w:color="auto" w:fill="auto"/>
            <w:noWrap/>
            <w:vAlign w:val="center"/>
          </w:tcPr>
          <w:p w14:paraId="744A57FB"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9,2</w:t>
            </w:r>
          </w:p>
        </w:tc>
        <w:tc>
          <w:tcPr>
            <w:tcW w:w="580" w:type="pct"/>
            <w:shd w:val="clear" w:color="auto" w:fill="auto"/>
            <w:noWrap/>
            <w:vAlign w:val="center"/>
          </w:tcPr>
          <w:p w14:paraId="631E1BFC"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6,5</w:t>
            </w:r>
          </w:p>
        </w:tc>
        <w:tc>
          <w:tcPr>
            <w:tcW w:w="580" w:type="pct"/>
            <w:shd w:val="clear" w:color="auto" w:fill="auto"/>
            <w:noWrap/>
            <w:vAlign w:val="center"/>
          </w:tcPr>
          <w:p w14:paraId="152490A7"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3,2</w:t>
            </w:r>
          </w:p>
        </w:tc>
        <w:tc>
          <w:tcPr>
            <w:tcW w:w="580" w:type="pct"/>
            <w:shd w:val="clear" w:color="auto" w:fill="auto"/>
            <w:noWrap/>
            <w:vAlign w:val="center"/>
          </w:tcPr>
          <w:p w14:paraId="36CE250B"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6,7</w:t>
            </w:r>
          </w:p>
        </w:tc>
        <w:tc>
          <w:tcPr>
            <w:tcW w:w="580" w:type="pct"/>
          </w:tcPr>
          <w:p w14:paraId="1D6FF0B0"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3,1</w:t>
            </w:r>
          </w:p>
        </w:tc>
      </w:tr>
      <w:tr w:rsidR="00D17D25" w:rsidRPr="00FC38DC" w14:paraId="5851FF6A" w14:textId="77777777" w:rsidTr="00886C5E">
        <w:trPr>
          <w:trHeight w:val="227"/>
        </w:trPr>
        <w:tc>
          <w:tcPr>
            <w:tcW w:w="2099" w:type="pct"/>
            <w:shd w:val="clear" w:color="auto" w:fill="auto"/>
            <w:noWrap/>
            <w:vAlign w:val="bottom"/>
          </w:tcPr>
          <w:p w14:paraId="18A3CF1E" w14:textId="77777777" w:rsidR="00D17D25" w:rsidRPr="00FC38DC" w:rsidRDefault="00D17D25" w:rsidP="00886C5E">
            <w:pPr>
              <w:spacing w:after="0" w:line="240" w:lineRule="auto"/>
              <w:ind w:left="924" w:hanging="357"/>
              <w:rPr>
                <w:rFonts w:cstheme="minorHAnsi"/>
                <w:color w:val="002060"/>
                <w:sz w:val="18"/>
                <w:lang w:val="sr-Cyrl-RS"/>
              </w:rPr>
            </w:pPr>
            <w:r w:rsidRPr="00FC38DC">
              <w:rPr>
                <w:rFonts w:cstheme="minorHAnsi"/>
                <w:color w:val="002060"/>
                <w:sz w:val="18"/>
                <w:lang w:val="sr-Cyrl-RS"/>
              </w:rPr>
              <w:t>Немачка</w:t>
            </w:r>
          </w:p>
        </w:tc>
        <w:tc>
          <w:tcPr>
            <w:tcW w:w="580" w:type="pct"/>
            <w:shd w:val="clear" w:color="auto" w:fill="auto"/>
            <w:noWrap/>
            <w:vAlign w:val="center"/>
          </w:tcPr>
          <w:p w14:paraId="5F4D7F5F"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8,7</w:t>
            </w:r>
          </w:p>
        </w:tc>
        <w:tc>
          <w:tcPr>
            <w:tcW w:w="580" w:type="pct"/>
            <w:shd w:val="clear" w:color="auto" w:fill="auto"/>
            <w:noWrap/>
            <w:vAlign w:val="center"/>
          </w:tcPr>
          <w:p w14:paraId="3B1C58AC"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6,4</w:t>
            </w:r>
          </w:p>
        </w:tc>
        <w:tc>
          <w:tcPr>
            <w:tcW w:w="580" w:type="pct"/>
            <w:shd w:val="clear" w:color="auto" w:fill="auto"/>
            <w:noWrap/>
            <w:vAlign w:val="center"/>
          </w:tcPr>
          <w:p w14:paraId="49828D4F"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2,8</w:t>
            </w:r>
          </w:p>
        </w:tc>
        <w:tc>
          <w:tcPr>
            <w:tcW w:w="580" w:type="pct"/>
            <w:shd w:val="clear" w:color="auto" w:fill="auto"/>
            <w:noWrap/>
            <w:vAlign w:val="center"/>
          </w:tcPr>
          <w:p w14:paraId="3073ECD6"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6,8</w:t>
            </w:r>
          </w:p>
        </w:tc>
        <w:tc>
          <w:tcPr>
            <w:tcW w:w="580" w:type="pct"/>
          </w:tcPr>
          <w:p w14:paraId="6A519F1D"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2,7</w:t>
            </w:r>
          </w:p>
        </w:tc>
      </w:tr>
      <w:tr w:rsidR="00D17D25" w:rsidRPr="00FC38DC" w14:paraId="3D9671FA" w14:textId="77777777" w:rsidTr="00886C5E">
        <w:trPr>
          <w:trHeight w:val="227"/>
        </w:trPr>
        <w:tc>
          <w:tcPr>
            <w:tcW w:w="2099" w:type="pct"/>
            <w:shd w:val="clear" w:color="auto" w:fill="auto"/>
            <w:noWrap/>
            <w:vAlign w:val="bottom"/>
          </w:tcPr>
          <w:p w14:paraId="5CC06437" w14:textId="77777777" w:rsidR="00D17D25" w:rsidRPr="00FC38DC" w:rsidRDefault="00D17D25" w:rsidP="00886C5E">
            <w:pPr>
              <w:spacing w:after="0" w:line="240" w:lineRule="auto"/>
              <w:ind w:left="924" w:hanging="357"/>
              <w:rPr>
                <w:rFonts w:cstheme="minorHAnsi"/>
                <w:color w:val="002060"/>
                <w:sz w:val="18"/>
                <w:lang w:val="sr-Cyrl-RS"/>
              </w:rPr>
            </w:pPr>
            <w:r w:rsidRPr="00FC38DC">
              <w:rPr>
                <w:rFonts w:cstheme="minorHAnsi"/>
                <w:color w:val="002060"/>
                <w:sz w:val="18"/>
                <w:lang w:val="sr-Cyrl-RS"/>
              </w:rPr>
              <w:t>Италија</w:t>
            </w:r>
          </w:p>
        </w:tc>
        <w:tc>
          <w:tcPr>
            <w:tcW w:w="580" w:type="pct"/>
            <w:shd w:val="clear" w:color="auto" w:fill="auto"/>
            <w:noWrap/>
            <w:vAlign w:val="center"/>
          </w:tcPr>
          <w:p w14:paraId="5BD18299"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8,7</w:t>
            </w:r>
          </w:p>
        </w:tc>
        <w:tc>
          <w:tcPr>
            <w:tcW w:w="580" w:type="pct"/>
            <w:shd w:val="clear" w:color="auto" w:fill="auto"/>
            <w:noWrap/>
            <w:vAlign w:val="center"/>
          </w:tcPr>
          <w:p w14:paraId="0F8C01A6"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5,9</w:t>
            </w:r>
          </w:p>
        </w:tc>
        <w:tc>
          <w:tcPr>
            <w:tcW w:w="580" w:type="pct"/>
            <w:shd w:val="clear" w:color="auto" w:fill="auto"/>
            <w:noWrap/>
            <w:vAlign w:val="center"/>
          </w:tcPr>
          <w:p w14:paraId="0927FD86"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2,9</w:t>
            </w:r>
          </w:p>
        </w:tc>
        <w:tc>
          <w:tcPr>
            <w:tcW w:w="580" w:type="pct"/>
            <w:shd w:val="clear" w:color="auto" w:fill="auto"/>
            <w:noWrap/>
            <w:vAlign w:val="center"/>
          </w:tcPr>
          <w:p w14:paraId="5E35A457"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6,1</w:t>
            </w:r>
          </w:p>
        </w:tc>
        <w:tc>
          <w:tcPr>
            <w:tcW w:w="580" w:type="pct"/>
          </w:tcPr>
          <w:p w14:paraId="4AEE9351" w14:textId="77777777" w:rsidR="00D17D25" w:rsidRPr="00FC38DC" w:rsidRDefault="00D17D25" w:rsidP="00886C5E">
            <w:pPr>
              <w:spacing w:after="0" w:line="240" w:lineRule="auto"/>
              <w:jc w:val="center"/>
              <w:rPr>
                <w:rFonts w:cstheme="minorHAnsi"/>
                <w:color w:val="002060"/>
                <w:sz w:val="18"/>
                <w:lang w:val="sr-Cyrl-RS"/>
              </w:rPr>
            </w:pPr>
            <w:r w:rsidRPr="00FC38DC">
              <w:rPr>
                <w:rFonts w:cstheme="minorHAnsi"/>
                <w:color w:val="002060"/>
                <w:sz w:val="18"/>
                <w:lang w:val="sr-Cyrl-RS"/>
              </w:rPr>
              <w:t>2,9</w:t>
            </w:r>
          </w:p>
        </w:tc>
      </w:tr>
      <w:tr w:rsidR="00D17D25" w:rsidRPr="00FC38DC" w14:paraId="30012C42" w14:textId="77777777" w:rsidTr="00886C5E">
        <w:trPr>
          <w:trHeight w:val="227"/>
        </w:trPr>
        <w:tc>
          <w:tcPr>
            <w:tcW w:w="5000" w:type="pct"/>
            <w:gridSpan w:val="6"/>
            <w:tcBorders>
              <w:top w:val="single" w:sz="4" w:space="0" w:color="002060"/>
            </w:tcBorders>
            <w:shd w:val="clear" w:color="auto" w:fill="auto"/>
            <w:noWrap/>
            <w:vAlign w:val="bottom"/>
          </w:tcPr>
          <w:p w14:paraId="4F9F5EB5" w14:textId="77777777" w:rsidR="00D17D25" w:rsidRPr="00FC38DC" w:rsidRDefault="00D17D25" w:rsidP="00886C5E">
            <w:pPr>
              <w:spacing w:after="0" w:line="240" w:lineRule="auto"/>
              <w:jc w:val="left"/>
              <w:rPr>
                <w:rFonts w:cstheme="minorHAnsi"/>
                <w:color w:val="44546A"/>
                <w:sz w:val="16"/>
                <w:lang w:val="sr-Cyrl-RS"/>
              </w:rPr>
            </w:pPr>
            <w:r w:rsidRPr="00FC38DC">
              <w:rPr>
                <w:rFonts w:cstheme="minorHAnsi"/>
                <w:color w:val="44546A"/>
                <w:sz w:val="16"/>
                <w:lang w:val="sr-Cyrl-RS"/>
              </w:rPr>
              <w:t>Извор: ЕК, летње пројекције, септембар 2023. године</w:t>
            </w:r>
          </w:p>
        </w:tc>
      </w:tr>
    </w:tbl>
    <w:p w14:paraId="380BA609" w14:textId="77777777" w:rsidR="00D17D25" w:rsidRPr="00FC38DC" w:rsidRDefault="00D17D25" w:rsidP="00910429">
      <w:pPr>
        <w:spacing w:after="0"/>
        <w:rPr>
          <w:lang w:val="sr-Cyrl-RS"/>
        </w:rPr>
        <w:sectPr w:rsidR="00D17D25" w:rsidRPr="00FC38DC" w:rsidSect="00886C5E">
          <w:type w:val="continuous"/>
          <w:pgSz w:w="12240" w:h="15840" w:code="1"/>
          <w:pgMar w:top="1440" w:right="1440" w:bottom="1440" w:left="1440" w:header="720" w:footer="720" w:gutter="0"/>
          <w:cols w:space="720"/>
          <w:docGrid w:linePitch="360"/>
        </w:sectPr>
      </w:pPr>
    </w:p>
    <w:p w14:paraId="31ED7ABE" w14:textId="77777777" w:rsidR="00D17D25" w:rsidRPr="00FC38DC" w:rsidRDefault="00D17D25" w:rsidP="00886C5E">
      <w:pPr>
        <w:rPr>
          <w:bCs/>
          <w:lang w:val="sr-Cyrl-RS"/>
        </w:rPr>
      </w:pPr>
      <w:r w:rsidRPr="00FC38DC">
        <w:rPr>
          <w:bCs/>
          <w:lang w:val="sr-Cyrl-RS"/>
        </w:rPr>
        <w:t xml:space="preserve">Тржиште рада ЕУ је одржало стабилност у првој половини 2023. Запосленост у ЕУ је наставила да расте, док је стопа незапослености у јулу 2023. године остала непромењена три месеца заредом на рекордном ниском нивоу од 5,9% за Европску Унију и 6,4% за еврозону. Ово су историјски најниже стопе незапослености посматрајући период од 2000. године за ЕУ и период од 1998. за еврозону. Према летњим пројекцијама очекује се успоравање економске активности и економског раста у ЕУ, што ће утицати на тражњу за радном </w:t>
      </w:r>
      <w:r w:rsidRPr="00FC38DC">
        <w:rPr>
          <w:bCs/>
          <w:lang w:val="sr-Cyrl-RS"/>
        </w:rPr>
        <w:t>снагом која ће, како се прогнозира, слабије реаговати на успоравање економске активности и са извесним закашњењем.</w:t>
      </w:r>
    </w:p>
    <w:p w14:paraId="7E8A8BD5" w14:textId="1196527E" w:rsidR="00D17D25" w:rsidRPr="00FC38DC" w:rsidRDefault="00D17D25" w:rsidP="00886C5E">
      <w:pPr>
        <w:rPr>
          <w:bCs/>
          <w:lang w:val="sr-Cyrl-RS"/>
        </w:rPr>
      </w:pPr>
      <w:r w:rsidRPr="00FC38DC">
        <w:rPr>
          <w:bCs/>
          <w:lang w:val="sr-Cyrl-RS"/>
        </w:rPr>
        <w:t xml:space="preserve">Силазни тренд инфлације, започет током 2023. године ће се наставити и у 2024. години вођен падом цена енергената и стабилизацијом цена хране и индустријских производа. </w:t>
      </w:r>
      <w:r w:rsidRPr="00FC38DC">
        <w:rPr>
          <w:lang w:val="sr-Cyrl-RS"/>
        </w:rPr>
        <w:t>У првој половини године базна инфлација је у просеку износила 5,5% мг. (након 5,2% мг. из децембра 2022.), уз непромењен ниво током јула, док је благо смањена на 5,3% мг. током августа.</w:t>
      </w:r>
      <w:r w:rsidRPr="00FC38DC" w:rsidDel="00B43B4E">
        <w:rPr>
          <w:bCs/>
          <w:lang w:val="sr-Cyrl-RS"/>
        </w:rPr>
        <w:t xml:space="preserve"> </w:t>
      </w:r>
      <w:r w:rsidR="006365F5" w:rsidRPr="006365F5">
        <w:rPr>
          <w:bCs/>
          <w:lang w:val="sr-Cyrl-RS"/>
        </w:rPr>
        <w:t xml:space="preserve">Стопа </w:t>
      </w:r>
      <w:r w:rsidR="006365F5" w:rsidRPr="006365F5">
        <w:rPr>
          <w:bCs/>
          <w:lang w:val="sr-Cyrl-RS"/>
        </w:rPr>
        <w:lastRenderedPageBreak/>
        <w:t>инфлације у еврозони и ЕУ је забележила максимум у октобру 2022. године на нивоу од 10,6% и 11,5%, респективно.</w:t>
      </w:r>
      <w:r w:rsidRPr="00FC38DC">
        <w:rPr>
          <w:bCs/>
          <w:lang w:val="sr-Cyrl-RS"/>
        </w:rPr>
        <w:t xml:space="preserve"> Предвиђа се да ће инфлација у еврозони и ЕУ у 2023. пасти на 5,6% и 6,5%, респективно, а у 2024. се очекује даљи пад на ниво од 2,9% и 3,2%.</w:t>
      </w:r>
    </w:p>
    <w:p w14:paraId="24236F27" w14:textId="11457DEE" w:rsidR="00D17D25" w:rsidRPr="00FC38DC" w:rsidRDefault="00D17D25" w:rsidP="00886C5E">
      <w:pPr>
        <w:rPr>
          <w:lang w:val="sr-Cyrl-RS"/>
        </w:rPr>
      </w:pPr>
      <w:r w:rsidRPr="00FC38DC">
        <w:rPr>
          <w:lang w:val="sr-Cyrl-RS"/>
        </w:rPr>
        <w:t xml:space="preserve">Очекује се благи пад цена сирове нафте, али споријим темпом у поређењу са пролећном пројекцијом, уз ризике који су изражени навише. Потенцијални извори волатилности цена сирове нафте у пројекцијском периоду укључују неизвесне изгледе снабдевања из Русије због примене нафтних санкција, и из Саудијске Арабије и ОПЕК+, као и брзине опоравка Кине и одговарајуће потражње за нафтом. Изгледи за европске цене гаса и електричне енергије </w:t>
      </w:r>
      <w:r w:rsidR="00140B67">
        <w:rPr>
          <w:lang w:val="sr-Cyrl-RS"/>
        </w:rPr>
        <w:t>су побољшани у односу на пролећ</w:t>
      </w:r>
      <w:r w:rsidRPr="00FC38DC">
        <w:rPr>
          <w:lang w:val="sr-Cyrl-RS"/>
        </w:rPr>
        <w:t>не пројекције. Цене метала су углавном остале непромењене у односу на вредности с почетка године, док ће даље кретање између осталог зависити од кретања у кинеском сектору грађевинарства и индустрије. Цене пољопривредних производа су наставиле да падају, али су изгледи све неизвеснији. Недавна суспензија споразума о извозу житарица црноморским коридором изазива забринутост услед могућих негативних шокова на страни понуде и неједнаког утицаја тих шокова на економије различитих земаља. То даље може утицати на различитости у кретању базне инфлације и инфлаторних очекивања, те доношењу дивергентних монетарних одлука.</w:t>
      </w:r>
    </w:p>
    <w:p w14:paraId="7E6BFFE9" w14:textId="77777777" w:rsidR="00D17D25" w:rsidRPr="00FC38DC" w:rsidRDefault="00D17D25" w:rsidP="00886C5E">
      <w:pPr>
        <w:spacing w:before="120" w:after="120"/>
        <w:rPr>
          <w:rFonts w:cstheme="minorHAnsi"/>
          <w:bCs/>
          <w:color w:val="44546A"/>
          <w:szCs w:val="72"/>
          <w:lang w:val="sr-Cyrl-RS"/>
        </w:rPr>
      </w:pPr>
      <w:r>
        <w:rPr>
          <w:bCs/>
          <w:lang w:val="sr-Cyrl-RS"/>
        </w:rPr>
        <w:t>Еврозона</w:t>
      </w:r>
      <w:r w:rsidRPr="00FC38DC">
        <w:rPr>
          <w:bCs/>
          <w:lang w:val="sr-Cyrl-RS"/>
        </w:rPr>
        <w:t xml:space="preserve"> је</w:t>
      </w:r>
      <w:r>
        <w:rPr>
          <w:bCs/>
          <w:lang w:val="sr-Cyrl-RS"/>
        </w:rPr>
        <w:t>,</w:t>
      </w:r>
      <w:r w:rsidRPr="00FC38DC">
        <w:rPr>
          <w:bCs/>
          <w:lang w:val="sr-Cyrl-RS"/>
        </w:rPr>
        <w:t xml:space="preserve"> су</w:t>
      </w:r>
      <w:r>
        <w:rPr>
          <w:bCs/>
          <w:lang w:val="sr-Cyrl-RS"/>
        </w:rPr>
        <w:t>очена са инфлаторним притисцима,</w:t>
      </w:r>
      <w:r w:rsidRPr="00FC38DC">
        <w:rPr>
          <w:bCs/>
          <w:lang w:val="sr-Cyrl-RS"/>
        </w:rPr>
        <w:t xml:space="preserve"> примењивала рестриктивну монетарну политику у 2023. години. Европска централна банка (у даљем </w:t>
      </w:r>
      <w:r w:rsidRPr="00FC38DC">
        <w:rPr>
          <w:bCs/>
          <w:lang w:val="sr-Cyrl-RS"/>
        </w:rPr>
        <w:t>тексту: ЕЦБ) је од јула 2022. године, када је циклус повећања каматних стопа започет, у десет наврата подизала референтну каматну стопу, укупно за 450 б.п., достигавши ниво од 4,50% у септембру.</w:t>
      </w:r>
      <w:r w:rsidRPr="00FC38DC">
        <w:rPr>
          <w:rStyle w:val="jlqj4b"/>
          <w:color w:val="44546A"/>
          <w:lang w:val="sr-Cyrl-RS"/>
        </w:rPr>
        <w:t xml:space="preserve"> ЕЦБ ће у наредном периоду наставити пажљиво да прати економска дешавања и у складу са тим доносити будуће одлуке о повећању рестриктивности монетарне политике, како би се инфлација благовремено нормализовала на циљаних 2,0% у средњорочном периоду.</w:t>
      </w:r>
    </w:p>
    <w:p w14:paraId="10457832" w14:textId="77777777" w:rsidR="00D17D25" w:rsidRPr="00FC38DC" w:rsidRDefault="00D17D25" w:rsidP="00886C5E">
      <w:pPr>
        <w:rPr>
          <w:rFonts w:cstheme="minorHAnsi"/>
          <w:bCs/>
          <w:color w:val="44546A"/>
          <w:szCs w:val="72"/>
          <w:lang w:val="sr-Cyrl-RS"/>
        </w:rPr>
      </w:pPr>
      <w:r w:rsidRPr="00FC38DC">
        <w:rPr>
          <w:bCs/>
          <w:lang w:val="sr-Cyrl-RS"/>
        </w:rPr>
        <w:t>Присутни су значајни ризици и неизвесност који се тичу остварења пројекције, уз факторе који могу деловати у оба смера, те економски раст и инфлацију погурати навише или наниже у односу на пројектоване вредности. Један од главних ризика се односи на даљи развој ситуације у Украјини, уз претпоставку да неће доћи до разрешења сукоба у пројекцијском периоду. Такође, постоји бојазан од даљег геополитичког заоштравања, док би даља фрагментација глобалне трговине условила значајне економске трошкове за ЕУ. Поред тога, израженији негативни ризици у Кини могли би негативно утицати на спољнотрговинске токове ЕУ. Наставак рестриктивности монетарне политике централних банака могао би пригушити економски раст више од очекиваног, али би такође могао утицати на брже смањење инфлације те имати позитиван ефекат на реалне приходе. Поред тога, снажнији одговор монетарне политике могућ је у случају продуженог дејства ценовних притисака. Такође, материјализација ризика климатских промена, попут екстремних временских непогода, имала би негативан утицај на привредну активност.</w:t>
      </w:r>
    </w:p>
    <w:p w14:paraId="5420D507" w14:textId="77777777" w:rsidR="00D17D25" w:rsidRPr="00FC38DC" w:rsidRDefault="00D17D25" w:rsidP="00886C5E">
      <w:pPr>
        <w:rPr>
          <w:rFonts w:cstheme="minorHAnsi"/>
          <w:bCs/>
          <w:color w:val="44546A"/>
          <w:szCs w:val="72"/>
          <w:lang w:val="sr-Cyrl-RS"/>
        </w:rPr>
        <w:sectPr w:rsidR="00D17D25" w:rsidRPr="00FC38DC" w:rsidSect="00886C5E">
          <w:headerReference w:type="even" r:id="rId29"/>
          <w:headerReference w:type="default" r:id="rId30"/>
          <w:footerReference w:type="even" r:id="rId31"/>
          <w:footerReference w:type="default" r:id="rId32"/>
          <w:headerReference w:type="first" r:id="rId33"/>
          <w:footerReference w:type="first" r:id="rId34"/>
          <w:type w:val="continuous"/>
          <w:pgSz w:w="12240" w:h="15840"/>
          <w:pgMar w:top="1440" w:right="1440" w:bottom="1440" w:left="1440" w:header="708" w:footer="708" w:gutter="0"/>
          <w:cols w:num="2" w:space="708"/>
          <w:docGrid w:linePitch="360"/>
        </w:sectPr>
      </w:pPr>
    </w:p>
    <w:p w14:paraId="0A995699" w14:textId="77777777" w:rsidR="00D17D25" w:rsidRPr="00FC38DC" w:rsidRDefault="00D17D25" w:rsidP="00886C5E">
      <w:pPr>
        <w:rPr>
          <w:rFonts w:cstheme="minorHAnsi"/>
          <w:bCs/>
          <w:color w:val="44546A"/>
          <w:szCs w:val="72"/>
          <w:lang w:val="sr-Cyrl-RS"/>
        </w:rPr>
      </w:pPr>
    </w:p>
    <w:p w14:paraId="379BD205" w14:textId="6039EF81" w:rsidR="00D17D25" w:rsidRDefault="00D17D25">
      <w:pPr>
        <w:jc w:val="left"/>
        <w:rPr>
          <w:highlight w:val="yellow"/>
          <w:lang w:val="sr-Cyrl-RS"/>
        </w:rPr>
      </w:pPr>
      <w:r>
        <w:rPr>
          <w:highlight w:val="yellow"/>
          <w:lang w:val="sr-Cyrl-RS"/>
        </w:rPr>
        <w:br w:type="page"/>
      </w:r>
    </w:p>
    <w:p w14:paraId="1ECCDC5F" w14:textId="77777777" w:rsidR="00D17D25" w:rsidRPr="00546048" w:rsidRDefault="00D17D25" w:rsidP="001476C8">
      <w:pPr>
        <w:pStyle w:val="Heading2"/>
        <w:jc w:val="center"/>
        <w:rPr>
          <w:rFonts w:asciiTheme="minorHAnsi" w:hAnsiTheme="minorHAnsi" w:cstheme="minorHAnsi"/>
          <w:b/>
          <w:sz w:val="24"/>
          <w:lang w:val="sr-Cyrl-RS"/>
        </w:rPr>
      </w:pPr>
      <w:bookmarkStart w:id="7" w:name="_Toc530041994"/>
      <w:bookmarkStart w:id="8" w:name="_Toc23342462"/>
      <w:bookmarkStart w:id="9" w:name="_Toc119654142"/>
      <w:bookmarkStart w:id="10" w:name="_Toc135994498"/>
      <w:bookmarkStart w:id="11" w:name="_Toc146277913"/>
      <w:r w:rsidRPr="00546048">
        <w:rPr>
          <w:rFonts w:asciiTheme="minorHAnsi" w:hAnsiTheme="minorHAnsi" w:cstheme="minorHAnsi"/>
          <w:b/>
          <w:sz w:val="24"/>
          <w:lang w:val="sr-Cyrl-RS"/>
        </w:rPr>
        <w:lastRenderedPageBreak/>
        <w:t>3. Текућа макроекономска кретања у Републици Србији и изгледи</w:t>
      </w:r>
      <w:r w:rsidRPr="00546048">
        <w:rPr>
          <w:rFonts w:asciiTheme="minorHAnsi" w:hAnsiTheme="minorHAnsi" w:cstheme="minorHAnsi"/>
          <w:b/>
          <w:sz w:val="24"/>
          <w:lang w:val="sr-Cyrl-RS"/>
        </w:rPr>
        <w:br w:type="textWrapping" w:clear="all"/>
        <w:t>за период 2024–2026. године</w:t>
      </w:r>
      <w:bookmarkEnd w:id="7"/>
      <w:bookmarkEnd w:id="8"/>
      <w:bookmarkEnd w:id="9"/>
      <w:bookmarkEnd w:id="10"/>
      <w:bookmarkEnd w:id="11"/>
    </w:p>
    <w:p w14:paraId="342EDE03" w14:textId="77777777" w:rsidR="00D17D25" w:rsidRPr="00546048" w:rsidRDefault="00D17D25" w:rsidP="002D6E55">
      <w:pPr>
        <w:rPr>
          <w:lang w:val="sr-Cyrl-RS"/>
        </w:rPr>
      </w:pPr>
      <w:r w:rsidRPr="00546048">
        <w:rPr>
          <w:rFonts w:cstheme="minorHAnsi"/>
          <w:noProof/>
          <w:color w:val="FF0000"/>
        </w:rPr>
        <mc:AlternateContent>
          <mc:Choice Requires="wps">
            <w:drawing>
              <wp:anchor distT="0" distB="0" distL="114300" distR="114300" simplePos="0" relativeHeight="251690496" behindDoc="1" locked="0" layoutInCell="1" allowOverlap="1" wp14:anchorId="5993166F" wp14:editId="7AD07B22">
                <wp:simplePos x="0" y="0"/>
                <wp:positionH relativeFrom="margin">
                  <wp:posOffset>-197510</wp:posOffset>
                </wp:positionH>
                <wp:positionV relativeFrom="paragraph">
                  <wp:posOffset>173126</wp:posOffset>
                </wp:positionV>
                <wp:extent cx="6334760" cy="7022592"/>
                <wp:effectExtent l="0" t="0" r="8890" b="6985"/>
                <wp:wrapNone/>
                <wp:docPr id="65" name="Rectangle 65"/>
                <wp:cNvGraphicFramePr/>
                <a:graphic xmlns:a="http://schemas.openxmlformats.org/drawingml/2006/main">
                  <a:graphicData uri="http://schemas.microsoft.com/office/word/2010/wordprocessingShape">
                    <wps:wsp>
                      <wps:cNvSpPr/>
                      <wps:spPr>
                        <a:xfrm>
                          <a:off x="0" y="0"/>
                          <a:ext cx="6334760" cy="7022592"/>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019A09" id="Rectangle 65" o:spid="_x0000_s1026" style="position:absolute;margin-left:-15.55pt;margin-top:13.65pt;width:498.8pt;height:552.95pt;z-index:-251625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" fillcolor="#d8d8d8 [2732]" stroked="f" strokeweight="1pt">
                <v:fill r:id="rId14" o:title="" color2="white [3212]" type="pattern"/>
                <w10:wrap anchorx="margin"/>
              </v:rect>
            </w:pict>
          </mc:Fallback>
        </mc:AlternateContent>
      </w:r>
    </w:p>
    <w:p w14:paraId="0507E718" w14:textId="77777777" w:rsidR="00D17D25" w:rsidRPr="00546048" w:rsidRDefault="00D17D25" w:rsidP="002D6E55">
      <w:pPr>
        <w:rPr>
          <w:lang w:val="sr-Cyrl-RS"/>
        </w:rPr>
        <w:sectPr w:rsidR="00D17D25" w:rsidRPr="00546048" w:rsidSect="00886C5E">
          <w:headerReference w:type="default" r:id="rId35"/>
          <w:footerReference w:type="default" r:id="rId36"/>
          <w:type w:val="continuous"/>
          <w:pgSz w:w="12240" w:h="15840" w:code="1"/>
          <w:pgMar w:top="1440" w:right="1440" w:bottom="1440" w:left="1440" w:header="720" w:footer="720" w:gutter="0"/>
          <w:cols w:space="720"/>
          <w:titlePg/>
          <w:docGrid w:linePitch="360"/>
        </w:sectPr>
      </w:pPr>
    </w:p>
    <w:p w14:paraId="1B393A92" w14:textId="77777777" w:rsidR="00D17D25" w:rsidRPr="00546048" w:rsidRDefault="00D17D25" w:rsidP="002D6E55">
      <w:pPr>
        <w:rPr>
          <w:rFonts w:cstheme="minorHAnsi"/>
          <w:bCs/>
          <w:color w:val="0070C0"/>
          <w:szCs w:val="72"/>
          <w:lang w:val="sr-Cyrl-RS"/>
        </w:rPr>
      </w:pPr>
      <w:r w:rsidRPr="00546048">
        <w:rPr>
          <w:rFonts w:cstheme="minorHAnsi"/>
          <w:bCs/>
          <w:color w:val="0070C0"/>
          <w:szCs w:val="72"/>
          <w:lang w:val="sr-Cyrl-RS"/>
        </w:rPr>
        <w:t>Макроекономска кретања у протеклом периоду под снажним су утицајем изласка из кризе изазване пандемијом и уласка у нову кризу услед конфликата у Украјини. У протеклих, више од годину</w:t>
      </w:r>
      <w:r w:rsidRPr="000979D4">
        <w:rPr>
          <w:rFonts w:cstheme="minorHAnsi"/>
          <w:bCs/>
          <w:color w:val="0070C0"/>
          <w:szCs w:val="72"/>
          <w:lang w:val="sr-Cyrl-RS"/>
        </w:rPr>
        <w:t xml:space="preserve"> </w:t>
      </w:r>
      <w:r>
        <w:rPr>
          <w:rFonts w:cstheme="minorHAnsi"/>
          <w:bCs/>
          <w:color w:val="0070C0"/>
          <w:szCs w:val="72"/>
          <w:lang w:val="sr-Cyrl-RS"/>
        </w:rPr>
        <w:t>и по</w:t>
      </w:r>
      <w:r w:rsidRPr="00546048">
        <w:rPr>
          <w:rFonts w:cstheme="minorHAnsi"/>
          <w:bCs/>
          <w:color w:val="0070C0"/>
          <w:szCs w:val="72"/>
          <w:lang w:val="sr-Cyrl-RS"/>
        </w:rPr>
        <w:t xml:space="preserve"> дана, економија је погођена високим ценама хране и енергената, слабијим растом најзначајнијих трговинских партнера и пооштравањем услова финансирања. Ипак и у таквим околностима привреда је показала довољну отпорност, имајући у виду проблеме и неизвесности са којима је суочена.</w:t>
      </w:r>
    </w:p>
    <w:p w14:paraId="7D88A503" w14:textId="77777777" w:rsidR="00D17D25" w:rsidRPr="002D1DF6" w:rsidRDefault="00D17D25" w:rsidP="002D6E55">
      <w:pPr>
        <w:rPr>
          <w:rFonts w:cstheme="minorHAnsi"/>
          <w:bCs/>
          <w:color w:val="0070C0"/>
          <w:szCs w:val="72"/>
          <w:lang w:val="sr-Cyrl-RS"/>
        </w:rPr>
      </w:pPr>
      <w:r w:rsidRPr="00546048">
        <w:rPr>
          <w:rFonts w:cstheme="minorHAnsi"/>
          <w:bCs/>
          <w:color w:val="0070C0"/>
          <w:szCs w:val="72"/>
          <w:lang w:val="sr-Cyrl-RS"/>
        </w:rPr>
        <w:t xml:space="preserve">Кретања основних макроекономских агрегата </w:t>
      </w:r>
      <w:r>
        <w:rPr>
          <w:rFonts w:cstheme="minorHAnsi"/>
          <w:bCs/>
          <w:color w:val="0070C0"/>
          <w:szCs w:val="72"/>
          <w:lang w:val="sr-Cyrl-RS"/>
        </w:rPr>
        <w:t>током</w:t>
      </w:r>
      <w:r w:rsidRPr="00546048">
        <w:rPr>
          <w:rFonts w:cstheme="minorHAnsi"/>
          <w:bCs/>
          <w:color w:val="0070C0"/>
          <w:szCs w:val="72"/>
          <w:lang w:val="sr-Cyrl-RS"/>
        </w:rPr>
        <w:t xml:space="preserve"> 2023. године генерално су на нивоу претходно пројектованих. Узимајући у обзир актуелне економске трендове и изгледе за међународно окружење Министарство финансија процењује да ће раст БДП у 2023. години износити 2,5%, док ће у 2024. години убрзати на 3,5%, што је непромењено у односу на претходна очекивања. Тренд пада цена енергената уз смањење увезених количина, као и стабилизација у производњи електричне енергије у великој мери опредељује значајно боља платнобилансна кретања, што уз солидан раст извоза има за резултат мањи дефицит текућег рачуна од претходно очекиваног, за 2,4 п.п. у 2023., односно 1,2 п.п. у 2024. години. Међугодишња инфлација у Србији се од априла налази се на опадајућој путањи и у августу је износила 11,5%. Успоравање инфлације у највећој мери је резултат успоравања раста цена прерађене хране и енергије, као и цена у оквиру базне инфлације. Према актуелним проценама међугодишња инфлација ће наставити да се креће опадајућом путањ</w:t>
      </w:r>
      <w:r>
        <w:rPr>
          <w:rFonts w:cstheme="minorHAnsi"/>
          <w:bCs/>
          <w:color w:val="0070C0"/>
          <w:szCs w:val="72"/>
          <w:lang w:val="sr-Cyrl-RS"/>
        </w:rPr>
        <w:t>о</w:t>
      </w:r>
      <w:r w:rsidRPr="00546048">
        <w:rPr>
          <w:rFonts w:cstheme="minorHAnsi"/>
          <w:bCs/>
          <w:color w:val="0070C0"/>
          <w:szCs w:val="72"/>
          <w:lang w:val="sr-Cyrl-RS"/>
        </w:rPr>
        <w:t xml:space="preserve">м, тако да би крајем године требала да износи око 8%, док се њен повратак у границе циља очекује током другог квартала 2024. године. Опадајућој путањи инфлације у наредном периоду и њеном повратку у границе циља у другом тромесечју 2024. допринеће и ефекти заоштравања монетарних услова, успоравање </w:t>
      </w:r>
      <w:r w:rsidRPr="00546048">
        <w:rPr>
          <w:rFonts w:cstheme="minorHAnsi"/>
          <w:bCs/>
          <w:color w:val="0070C0"/>
          <w:szCs w:val="72"/>
          <w:lang w:val="sr-Cyrl-RS"/>
        </w:rPr>
        <w:t xml:space="preserve">увозне инфлације, као и очекивани даљи пад инфлационих очекивања. </w:t>
      </w:r>
      <w:r w:rsidRPr="002D1DF6">
        <w:rPr>
          <w:rFonts w:cstheme="minorHAnsi"/>
          <w:bCs/>
          <w:color w:val="0070C0"/>
          <w:szCs w:val="72"/>
          <w:lang w:val="sr-Cyrl-RS"/>
        </w:rPr>
        <w:t>Фискална кретања током 2023. године су заначајно боља од планираних оригиналним буџетом за 2023. Упоредо са стабилизацијом производње електричне енергије, смањена је потреба за интерв</w:t>
      </w:r>
      <w:r>
        <w:rPr>
          <w:rFonts w:cstheme="minorHAnsi"/>
          <w:bCs/>
          <w:color w:val="0070C0"/>
          <w:szCs w:val="72"/>
          <w:lang w:val="sr-Cyrl-RS"/>
        </w:rPr>
        <w:t xml:space="preserve">енцијом државе у овој области. </w:t>
      </w:r>
      <w:r w:rsidRPr="002D1DF6">
        <w:rPr>
          <w:rFonts w:cstheme="minorHAnsi"/>
          <w:bCs/>
          <w:color w:val="0070C0"/>
          <w:szCs w:val="72"/>
          <w:lang w:val="sr-Cyrl-RS"/>
        </w:rPr>
        <w:t>Буџетски приходи у првој половини године крећу се изнад очекиваних, али са значајним изменама у структури. Кретања на тржишту радне снаге пр</w:t>
      </w:r>
      <w:r w:rsidRPr="002227B8">
        <w:rPr>
          <w:rFonts w:cstheme="minorHAnsi"/>
          <w:bCs/>
          <w:color w:val="0070C0"/>
          <w:szCs w:val="72"/>
          <w:lang w:val="sr-Cyrl-RS"/>
        </w:rPr>
        <w:t>емашила су очекивања у погледу раста просечних зарада и запослености, што се позитивно одражава на приходе од пореза на рад. Појединачно, највећи раст бележи наплата пореза на добит захваљујући повећаној профитабилност</w:t>
      </w:r>
      <w:r>
        <w:rPr>
          <w:rFonts w:cstheme="minorHAnsi"/>
          <w:bCs/>
          <w:color w:val="0070C0"/>
          <w:szCs w:val="72"/>
          <w:lang w:val="sr-Cyrl-RS"/>
        </w:rPr>
        <w:t>и привреде у претходној години.</w:t>
      </w:r>
    </w:p>
    <w:p w14:paraId="7E2F6A35" w14:textId="77777777" w:rsidR="00D17D25" w:rsidRPr="00546048" w:rsidRDefault="00D17D25" w:rsidP="002D6E55">
      <w:pPr>
        <w:rPr>
          <w:rFonts w:cstheme="minorHAnsi"/>
          <w:bCs/>
          <w:color w:val="0070C0"/>
          <w:szCs w:val="72"/>
          <w:lang w:val="sr-Cyrl-RS"/>
        </w:rPr>
      </w:pPr>
      <w:r w:rsidRPr="00546048">
        <w:rPr>
          <w:rFonts w:cstheme="minorHAnsi"/>
          <w:bCs/>
          <w:color w:val="0070C0"/>
          <w:szCs w:val="72"/>
          <w:lang w:val="sr-Cyrl-RS"/>
        </w:rPr>
        <w:t>Неизвесност присутна код пројекција датих у овом документу остаје далеко већа од уобичајене због природе и обима шокова на глобалном нивоу.</w:t>
      </w:r>
      <w:r w:rsidRPr="00546048">
        <w:rPr>
          <w:color w:val="0070C0"/>
          <w:lang w:val="sr-Cyrl-RS"/>
        </w:rPr>
        <w:t xml:space="preserve"> </w:t>
      </w:r>
      <w:r w:rsidRPr="00546048">
        <w:rPr>
          <w:rFonts w:cstheme="minorHAnsi"/>
          <w:bCs/>
          <w:color w:val="0070C0"/>
          <w:szCs w:val="72"/>
          <w:lang w:val="sr-Cyrl-RS"/>
        </w:rPr>
        <w:t>Ризици макроекономског оквира у највећој мери потичу од неизвесности у погледу развоја ситуације у Украјини и утицаја нових међународних економских и политичких односа, као и од стабилности глобалног финансијског система. Влада континуирано доноси мере које имају за циљ ублажавање последица изузетно неповољног утицаја међународног окружења на привреду и становништво и очување енергетске стабилности. Оваква оријентација остаће у фокусу креатора економске политике и у наредном периоду, а задржавање јавног дуга испод 60% биће и даље основно сидро за вођење фискалне политике. Планирана значајна улагања у енергетску инфраструктуру у великој мери ће допринети стабилности, а препозната је неопходност проналажења нових извора раста, па су иновације, истраживање и развој и креативне индустрије у сталном фокусу приликом дефинисања будућих политика.</w:t>
      </w:r>
    </w:p>
    <w:p w14:paraId="7C0A78D9" w14:textId="77777777" w:rsidR="00D17D25" w:rsidRPr="00546048" w:rsidRDefault="00D17D25" w:rsidP="008527D6">
      <w:pPr>
        <w:rPr>
          <w:rFonts w:cstheme="minorHAnsi"/>
          <w:bCs/>
          <w:color w:val="0070C0"/>
          <w:szCs w:val="72"/>
          <w:lang w:val="sr-Cyrl-RS"/>
        </w:rPr>
        <w:sectPr w:rsidR="00D17D25" w:rsidRPr="00546048" w:rsidSect="002D6E55">
          <w:type w:val="continuous"/>
          <w:pgSz w:w="12240" w:h="15840" w:code="1"/>
          <w:pgMar w:top="1440" w:right="1440" w:bottom="1440" w:left="1440" w:header="720" w:footer="720" w:gutter="0"/>
          <w:cols w:num="2" w:space="720"/>
          <w:docGrid w:linePitch="360"/>
        </w:sectPr>
      </w:pPr>
    </w:p>
    <w:p w14:paraId="38CB17F1" w14:textId="77777777" w:rsidR="00D17D25" w:rsidRPr="00546048" w:rsidRDefault="00D17D25">
      <w:pPr>
        <w:jc w:val="left"/>
        <w:rPr>
          <w:rFonts w:cstheme="minorHAnsi"/>
          <w:b/>
          <w:color w:val="002060"/>
          <w:spacing w:val="-6"/>
          <w:lang w:val="sr-Cyrl-RS"/>
        </w:rPr>
      </w:pPr>
      <w:r w:rsidRPr="00546048">
        <w:rPr>
          <w:rFonts w:cstheme="minorHAnsi"/>
          <w:color w:val="002060"/>
          <w:spacing w:val="-6"/>
          <w:lang w:val="sr-Cyrl-RS"/>
        </w:rPr>
        <w:br w:type="page"/>
      </w:r>
    </w:p>
    <w:p w14:paraId="62623CCF" w14:textId="77777777" w:rsidR="00D17D25" w:rsidRPr="00546048" w:rsidRDefault="00D17D25" w:rsidP="00B435B3">
      <w:pPr>
        <w:pStyle w:val="NoSpacing"/>
        <w:jc w:val="center"/>
        <w:rPr>
          <w:rFonts w:cstheme="minorHAnsi"/>
          <w:color w:val="002060"/>
          <w:spacing w:val="-6"/>
          <w:lang w:val="sr-Cyrl-RS"/>
        </w:rPr>
      </w:pPr>
      <w:r w:rsidRPr="00546048">
        <w:rPr>
          <w:rFonts w:cstheme="minorHAnsi"/>
          <w:color w:val="002060"/>
          <w:spacing w:val="-6"/>
          <w:lang w:val="sr-Cyrl-RS"/>
        </w:rPr>
        <w:lastRenderedPageBreak/>
        <w:t>Ревизија кретања основних макроекономских агрегата у односу на претходну Фискалну стратегију</w:t>
      </w:r>
    </w:p>
    <w:p w14:paraId="6DC3BD3E" w14:textId="77777777" w:rsidR="00D17D25" w:rsidRPr="00546048" w:rsidRDefault="00D17D25" w:rsidP="00B435B3">
      <w:pPr>
        <w:spacing w:after="0"/>
        <w:rPr>
          <w:color w:val="002060"/>
          <w:sz w:val="10"/>
          <w:lang w:val="sr-Cyrl-RS"/>
        </w:rPr>
      </w:pPr>
    </w:p>
    <w:p w14:paraId="093FF0E2" w14:textId="77777777" w:rsidR="00D17D25" w:rsidRPr="00546048" w:rsidRDefault="00D17D25" w:rsidP="00B435B3">
      <w:pPr>
        <w:jc w:val="center"/>
        <w:rPr>
          <w:b/>
          <w:color w:val="002060"/>
          <w:szCs w:val="21"/>
          <w:lang w:val="sr-Cyrl-RS"/>
        </w:rPr>
      </w:pPr>
      <w:r w:rsidRPr="00546048">
        <w:rPr>
          <w:b/>
          <w:color w:val="002060"/>
          <w:szCs w:val="21"/>
          <w:lang w:val="sr-Cyrl-RS"/>
        </w:rPr>
        <w:t>Реални раст БДП, %</w:t>
      </w:r>
    </w:p>
    <w:p w14:paraId="7508BD3B" w14:textId="77777777" w:rsidR="00D17D25" w:rsidRPr="00546048" w:rsidRDefault="00D17D25" w:rsidP="00B435B3">
      <w:pPr>
        <w:spacing w:after="0"/>
        <w:rPr>
          <w:lang w:val="sr-Cyrl-RS"/>
        </w:rPr>
      </w:pPr>
      <w:r w:rsidRPr="00546048">
        <w:rPr>
          <w:noProof/>
        </w:rPr>
        <w:drawing>
          <wp:inline distT="0" distB="0" distL="0" distR="0" wp14:anchorId="2B10CD40" wp14:editId="3E9EDA81">
            <wp:extent cx="1332000" cy="1224000"/>
            <wp:effectExtent l="0" t="0" r="0" b="0"/>
            <wp:docPr id="27" name="Chart 27">
              <a:extLst xmlns:a="http://schemas.openxmlformats.org/drawingml/2006/main">
                <a:ext uri="{FF2B5EF4-FFF2-40B4-BE49-F238E27FC236}">
                  <a16:creationId xmlns:a16="http://schemas.microsoft.com/office/drawing/2014/main" id="{00000000-0008-0000-09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r w:rsidRPr="00546048">
        <w:rPr>
          <w:lang w:val="sr-Cyrl-RS"/>
        </w:rPr>
        <w:t xml:space="preserve">  </w:t>
      </w:r>
      <w:r w:rsidRPr="00546048">
        <w:rPr>
          <w:noProof/>
        </w:rPr>
        <w:drawing>
          <wp:inline distT="0" distB="0" distL="0" distR="0" wp14:anchorId="6F3160ED" wp14:editId="54604AAC">
            <wp:extent cx="1332000" cy="1224000"/>
            <wp:effectExtent l="0" t="0" r="0" b="0"/>
            <wp:docPr id="6" name="Chart 6">
              <a:extLst xmlns:a="http://schemas.openxmlformats.org/drawingml/2006/main">
                <a:ext uri="{FF2B5EF4-FFF2-40B4-BE49-F238E27FC236}">
                  <a16:creationId xmlns:a16="http://schemas.microsoft.com/office/drawing/2014/main" id="{00000000-0008-0000-0900-00002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6B5063F0" w14:textId="77777777" w:rsidR="00D17D25" w:rsidRPr="00546048" w:rsidRDefault="00D17D25" w:rsidP="00B435B3">
      <w:pPr>
        <w:spacing w:after="0"/>
        <w:rPr>
          <w:lang w:val="sr-Cyrl-RS"/>
        </w:rPr>
      </w:pPr>
    </w:p>
    <w:p w14:paraId="0616D06C" w14:textId="77777777" w:rsidR="00D17D25" w:rsidRPr="00546048" w:rsidRDefault="00D17D25" w:rsidP="008527D6">
      <w:pPr>
        <w:jc w:val="center"/>
        <w:rPr>
          <w:b/>
          <w:color w:val="002060"/>
          <w:szCs w:val="21"/>
          <w:lang w:val="sr-Cyrl-RS"/>
        </w:rPr>
      </w:pPr>
      <w:r w:rsidRPr="00546048">
        <w:rPr>
          <w:b/>
          <w:color w:val="002060"/>
          <w:szCs w:val="21"/>
          <w:lang w:val="sr-Cyrl-RS"/>
        </w:rPr>
        <w:t>Салдо текућег рачуна, % БДП</w:t>
      </w:r>
    </w:p>
    <w:p w14:paraId="344677CE" w14:textId="77777777" w:rsidR="00D17D25" w:rsidRPr="00546048" w:rsidRDefault="00D17D25" w:rsidP="00B435B3">
      <w:pPr>
        <w:spacing w:after="0"/>
        <w:jc w:val="left"/>
        <w:rPr>
          <w:lang w:val="sr-Cyrl-RS"/>
        </w:rPr>
      </w:pPr>
      <w:r w:rsidRPr="00546048">
        <w:rPr>
          <w:noProof/>
        </w:rPr>
        <w:drawing>
          <wp:inline distT="0" distB="0" distL="0" distR="0" wp14:anchorId="0D1D9BF4" wp14:editId="43F48F98">
            <wp:extent cx="1332000" cy="1224000"/>
            <wp:effectExtent l="0" t="0" r="1905" b="0"/>
            <wp:docPr id="7" name="Chart 7">
              <a:extLst xmlns:a="http://schemas.openxmlformats.org/drawingml/2006/main">
                <a:ext uri="{FF2B5EF4-FFF2-40B4-BE49-F238E27FC236}">
                  <a16:creationId xmlns:a16="http://schemas.microsoft.com/office/drawing/2014/main" id="{00000000-0008-0000-0A00-00002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Pr="00546048">
        <w:rPr>
          <w:lang w:val="sr-Cyrl-RS"/>
        </w:rPr>
        <w:t xml:space="preserve">  </w:t>
      </w:r>
      <w:r w:rsidRPr="00546048">
        <w:rPr>
          <w:noProof/>
        </w:rPr>
        <w:drawing>
          <wp:inline distT="0" distB="0" distL="0" distR="0" wp14:anchorId="18359DA7" wp14:editId="5BEDC491">
            <wp:extent cx="1332000" cy="1224000"/>
            <wp:effectExtent l="0" t="0" r="1905" b="0"/>
            <wp:docPr id="41" name="Chart 41">
              <a:extLst xmlns:a="http://schemas.openxmlformats.org/drawingml/2006/main">
                <a:ext uri="{FF2B5EF4-FFF2-40B4-BE49-F238E27FC236}">
                  <a16:creationId xmlns:a16="http://schemas.microsoft.com/office/drawing/2014/main" id="{00000000-0008-0000-0A00-00002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0E6EF900" w14:textId="77777777" w:rsidR="00D17D25" w:rsidRPr="00546048" w:rsidRDefault="00D17D25" w:rsidP="00B435B3">
      <w:pPr>
        <w:spacing w:after="0"/>
        <w:rPr>
          <w:lang w:val="sr-Cyrl-RS"/>
        </w:rPr>
      </w:pPr>
    </w:p>
    <w:p w14:paraId="52531C56" w14:textId="77777777" w:rsidR="00D17D25" w:rsidRPr="00546048" w:rsidRDefault="00D17D25" w:rsidP="00B435B3">
      <w:pPr>
        <w:spacing w:after="0"/>
        <w:jc w:val="center"/>
        <w:rPr>
          <w:b/>
          <w:color w:val="002060"/>
          <w:szCs w:val="21"/>
          <w:lang w:val="sr-Cyrl-RS"/>
        </w:rPr>
      </w:pPr>
      <w:r w:rsidRPr="00546048">
        <w:rPr>
          <w:b/>
          <w:color w:val="002060"/>
          <w:szCs w:val="21"/>
          <w:lang w:val="sr-Cyrl-RS"/>
        </w:rPr>
        <w:t>Инфлација, просек периода, %</w:t>
      </w:r>
    </w:p>
    <w:p w14:paraId="5972F6F1" w14:textId="77777777" w:rsidR="00D17D25" w:rsidRPr="00546048" w:rsidRDefault="00D17D25" w:rsidP="00B435B3">
      <w:pPr>
        <w:spacing w:after="0"/>
        <w:rPr>
          <w:lang w:val="sr-Cyrl-RS"/>
        </w:rPr>
      </w:pPr>
      <w:r w:rsidRPr="00546048">
        <w:rPr>
          <w:noProof/>
        </w:rPr>
        <w:drawing>
          <wp:inline distT="0" distB="0" distL="0" distR="0" wp14:anchorId="4B9AD1A8" wp14:editId="0D69F1DA">
            <wp:extent cx="1332000" cy="1008000"/>
            <wp:effectExtent l="0" t="0" r="0" b="0"/>
            <wp:docPr id="42" name="Chart 42">
              <a:extLst xmlns:a="http://schemas.openxmlformats.org/drawingml/2006/main">
                <a:ext uri="{FF2B5EF4-FFF2-40B4-BE49-F238E27FC236}">
                  <a16:creationId xmlns:a16="http://schemas.microsoft.com/office/drawing/2014/main" id="{00000000-0008-0000-0A00-00003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r w:rsidRPr="00546048">
        <w:rPr>
          <w:lang w:val="sr-Cyrl-RS"/>
        </w:rPr>
        <w:t xml:space="preserve">  </w:t>
      </w:r>
      <w:r w:rsidRPr="00546048">
        <w:rPr>
          <w:noProof/>
        </w:rPr>
        <w:drawing>
          <wp:inline distT="0" distB="0" distL="0" distR="0" wp14:anchorId="346FE72D" wp14:editId="44047EEA">
            <wp:extent cx="1332000" cy="1008000"/>
            <wp:effectExtent l="0" t="0" r="0" b="0"/>
            <wp:docPr id="43" name="Chart 43">
              <a:extLst xmlns:a="http://schemas.openxmlformats.org/drawingml/2006/main">
                <a:ext uri="{FF2B5EF4-FFF2-40B4-BE49-F238E27FC236}">
                  <a16:creationId xmlns:a16="http://schemas.microsoft.com/office/drawing/2014/main" id="{00000000-0008-0000-0A00-00003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2A786461" w14:textId="77777777" w:rsidR="00D17D25" w:rsidRPr="00546048" w:rsidRDefault="00D17D25" w:rsidP="008527D6">
      <w:pPr>
        <w:spacing w:after="120"/>
        <w:rPr>
          <w:rFonts w:cstheme="minorHAnsi"/>
          <w:szCs w:val="72"/>
          <w:lang w:val="sr-Cyrl-RS"/>
        </w:rPr>
      </w:pPr>
    </w:p>
    <w:p w14:paraId="67AF9522" w14:textId="77777777" w:rsidR="00D17D25" w:rsidRPr="00910429" w:rsidRDefault="00D17D25" w:rsidP="008527D6">
      <w:pPr>
        <w:spacing w:after="0"/>
        <w:jc w:val="center"/>
        <w:rPr>
          <w:b/>
          <w:color w:val="002060"/>
          <w:szCs w:val="21"/>
          <w:lang w:val="sr-Cyrl-RS"/>
        </w:rPr>
      </w:pPr>
      <w:r w:rsidRPr="00910429">
        <w:rPr>
          <w:b/>
          <w:color w:val="002060"/>
          <w:szCs w:val="21"/>
          <w:lang w:val="sr-Cyrl-RS"/>
        </w:rPr>
        <w:t>Фискални резултат, % БДП</w:t>
      </w:r>
    </w:p>
    <w:p w14:paraId="55F92685" w14:textId="77777777" w:rsidR="00D17D25" w:rsidRPr="00546048" w:rsidRDefault="00D17D25" w:rsidP="00B435B3">
      <w:pPr>
        <w:spacing w:after="0"/>
        <w:rPr>
          <w:lang w:val="sr-Cyrl-RS"/>
        </w:rPr>
      </w:pPr>
      <w:r w:rsidRPr="00546048">
        <w:rPr>
          <w:noProof/>
        </w:rPr>
        <w:drawing>
          <wp:inline distT="0" distB="0" distL="0" distR="0" wp14:anchorId="7B85C17A" wp14:editId="555C69CB">
            <wp:extent cx="1332000" cy="1224000"/>
            <wp:effectExtent l="0" t="0" r="1905" b="0"/>
            <wp:docPr id="44" name="Chart 44">
              <a:extLst xmlns:a="http://schemas.openxmlformats.org/drawingml/2006/main">
                <a:ext uri="{FF2B5EF4-FFF2-40B4-BE49-F238E27FC236}">
                  <a16:creationId xmlns:a16="http://schemas.microsoft.com/office/drawing/2014/main" id="{00000000-0008-0000-0A00-00003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r w:rsidRPr="00546048">
        <w:rPr>
          <w:lang w:val="sr-Cyrl-RS" w:eastAsia="en-GB"/>
        </w:rPr>
        <w:t xml:space="preserve">  </w:t>
      </w:r>
      <w:r w:rsidRPr="00546048">
        <w:rPr>
          <w:noProof/>
        </w:rPr>
        <w:drawing>
          <wp:inline distT="0" distB="0" distL="0" distR="0" wp14:anchorId="55536FFB" wp14:editId="7CFBC4D9">
            <wp:extent cx="1332000" cy="1224000"/>
            <wp:effectExtent l="0" t="0" r="1905" b="0"/>
            <wp:docPr id="79" name="Chart 79">
              <a:extLst xmlns:a="http://schemas.openxmlformats.org/drawingml/2006/main">
                <a:ext uri="{FF2B5EF4-FFF2-40B4-BE49-F238E27FC236}">
                  <a16:creationId xmlns:a16="http://schemas.microsoft.com/office/drawing/2014/main" id="{00000000-0008-0000-0900-000040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5247AF1B" w14:textId="77777777" w:rsidR="00D17D25" w:rsidRPr="00546048" w:rsidRDefault="00D17D25" w:rsidP="008527D6">
      <w:pPr>
        <w:spacing w:after="0"/>
        <w:jc w:val="center"/>
        <w:rPr>
          <w:b/>
          <w:color w:val="002060"/>
          <w:szCs w:val="21"/>
          <w:lang w:val="sr-Cyrl-RS"/>
        </w:rPr>
      </w:pPr>
      <w:r w:rsidRPr="00546048">
        <w:rPr>
          <w:b/>
          <w:color w:val="002060"/>
          <w:szCs w:val="21"/>
          <w:lang w:val="sr-Cyrl-RS"/>
        </w:rPr>
        <w:t>Јавни дуг сектора државе, % БДП</w:t>
      </w:r>
    </w:p>
    <w:p w14:paraId="23158324" w14:textId="77777777" w:rsidR="00D17D25" w:rsidRPr="00546048" w:rsidRDefault="00D17D25" w:rsidP="008527D6">
      <w:pPr>
        <w:spacing w:after="0"/>
        <w:jc w:val="center"/>
        <w:rPr>
          <w:lang w:val="sr-Cyrl-RS"/>
        </w:rPr>
      </w:pPr>
      <w:r w:rsidRPr="00546048">
        <w:rPr>
          <w:noProof/>
        </w:rPr>
        <w:drawing>
          <wp:inline distT="0" distB="0" distL="0" distR="0" wp14:anchorId="61BBC2C6" wp14:editId="7B2C0F33">
            <wp:extent cx="1332000" cy="1224000"/>
            <wp:effectExtent l="0" t="0" r="0" b="0"/>
            <wp:docPr id="4" name="Chart 4">
              <a:extLst xmlns:a="http://schemas.openxmlformats.org/drawingml/2006/main">
                <a:ext uri="{FF2B5EF4-FFF2-40B4-BE49-F238E27FC236}">
                  <a16:creationId xmlns:a16="http://schemas.microsoft.com/office/drawing/2014/main" id="{00000000-0008-0000-0A00-00004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r w:rsidRPr="00546048">
        <w:rPr>
          <w:lang w:val="sr-Cyrl-RS"/>
        </w:rPr>
        <w:t xml:space="preserve">  </w:t>
      </w:r>
      <w:r w:rsidRPr="00546048">
        <w:rPr>
          <w:noProof/>
        </w:rPr>
        <w:drawing>
          <wp:inline distT="0" distB="0" distL="0" distR="0" wp14:anchorId="64501F98" wp14:editId="70D90506">
            <wp:extent cx="1332000" cy="1224000"/>
            <wp:effectExtent l="0" t="0" r="0" b="0"/>
            <wp:docPr id="80" name="Chart 80">
              <a:extLst xmlns:a="http://schemas.openxmlformats.org/drawingml/2006/main">
                <a:ext uri="{FF2B5EF4-FFF2-40B4-BE49-F238E27FC236}">
                  <a16:creationId xmlns:a16="http://schemas.microsoft.com/office/drawing/2014/main" id="{00000000-0008-0000-0A00-00004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0B54B7E0" w14:textId="77777777" w:rsidR="00D17D25" w:rsidRPr="00546048" w:rsidRDefault="00D17D25" w:rsidP="008527D6">
      <w:pPr>
        <w:spacing w:before="240"/>
        <w:jc w:val="left"/>
        <w:rPr>
          <w:rFonts w:cstheme="minorHAnsi"/>
          <w:b/>
          <w:color w:val="2F5496" w:themeColor="accent1" w:themeShade="BF"/>
          <w:sz w:val="22"/>
          <w:lang w:val="sr-Cyrl-RS"/>
        </w:rPr>
      </w:pPr>
      <w:r w:rsidRPr="00546048">
        <w:rPr>
          <w:rFonts w:cstheme="minorHAnsi"/>
          <w:b/>
          <w:color w:val="2F5496" w:themeColor="accent1" w:themeShade="BF"/>
          <w:sz w:val="22"/>
          <w:lang w:val="sr-Cyrl-RS"/>
        </w:rPr>
        <w:t>Текућа кретања реалног сектора</w:t>
      </w:r>
    </w:p>
    <w:p w14:paraId="4C1EBDE7" w14:textId="138D0FDC" w:rsidR="00D17D25" w:rsidRPr="00546048" w:rsidRDefault="00D17D25" w:rsidP="00462434">
      <w:pPr>
        <w:spacing w:after="120"/>
        <w:rPr>
          <w:rFonts w:cstheme="minorHAnsi"/>
          <w:bCs/>
          <w:szCs w:val="72"/>
          <w:lang w:val="sr-Cyrl-RS"/>
        </w:rPr>
      </w:pPr>
      <w:r w:rsidRPr="00546048">
        <w:rPr>
          <w:rFonts w:cstheme="minorHAnsi"/>
          <w:bCs/>
          <w:szCs w:val="72"/>
          <w:lang w:val="sr-Cyrl-RS"/>
        </w:rPr>
        <w:t xml:space="preserve">Према подацима РЗС, раст БДП у првом кварталу 2023. године износио је 0,9% мг., док је у другом тромесечју раст привреде убрзао на 1,7%. Посматрано са производне стране, економски раст у првој половини године био је вођен услужним сектором, који је остварио раст од 1,2%. Повећање економске активности забележено је код већине услужних делатности, а најзначајнији допринос дошао је од ИКТ сектора, као и од стручно-техничких услуга. Најзначајнији негативан допринос имао је сектор трговине, делом и због високе базе у истом периоду претходне године услед импулсивних куповина становништва након избијања конфликта у Украјини, али и услед нешто више међугодишње стопе инфлације у првој половини ове године која се одразила на </w:t>
      </w:r>
      <w:r>
        <w:rPr>
          <w:rFonts w:cstheme="minorHAnsi"/>
          <w:bCs/>
          <w:szCs w:val="72"/>
          <w:lang w:val="sr-Cyrl-RS"/>
        </w:rPr>
        <w:t>нижи реални промет у трговини на мало</w:t>
      </w:r>
      <w:r w:rsidRPr="00546048">
        <w:rPr>
          <w:rFonts w:cstheme="minorHAnsi"/>
          <w:bCs/>
          <w:szCs w:val="72"/>
          <w:lang w:val="sr-Cyrl-RS"/>
        </w:rPr>
        <w:t>. Снажан раст грађевинарства у другом кварталу у потпуности је неутралисао пад из првог тромесечја, што је резултирало растом овог сектора од 7,4% у првој половини године. У првих шест месеци 2023. године индустријска производња је остварила раст</w:t>
      </w:r>
      <w:r w:rsidR="00475EBB">
        <w:rPr>
          <w:rFonts w:cstheme="minorHAnsi"/>
          <w:bCs/>
          <w:szCs w:val="72"/>
          <w:lang w:val="sr-Cyrl-RS"/>
        </w:rPr>
        <w:t xml:space="preserve"> бруто додате вредности (у даљем тексту:</w:t>
      </w:r>
      <w:r w:rsidRPr="00546048">
        <w:rPr>
          <w:rFonts w:cstheme="minorHAnsi"/>
          <w:bCs/>
          <w:szCs w:val="72"/>
          <w:lang w:val="sr-Cyrl-RS"/>
        </w:rPr>
        <w:t xml:space="preserve"> БДВ</w:t>
      </w:r>
      <w:r w:rsidR="00475EBB">
        <w:rPr>
          <w:rFonts w:cstheme="minorHAnsi"/>
          <w:bCs/>
          <w:szCs w:val="72"/>
          <w:lang w:val="sr-Cyrl-RS"/>
        </w:rPr>
        <w:t>)</w:t>
      </w:r>
      <w:r w:rsidRPr="00546048">
        <w:rPr>
          <w:rFonts w:cstheme="minorHAnsi"/>
          <w:bCs/>
          <w:szCs w:val="72"/>
          <w:lang w:val="sr-Cyrl-RS"/>
        </w:rPr>
        <w:t xml:space="preserve"> од 1,7%</w:t>
      </w:r>
      <w:r>
        <w:rPr>
          <w:rFonts w:cstheme="minorHAnsi"/>
          <w:bCs/>
          <w:szCs w:val="72"/>
          <w:lang w:val="sr-Cyrl-RS"/>
        </w:rPr>
        <w:t>,</w:t>
      </w:r>
      <w:r w:rsidRPr="00546048">
        <w:rPr>
          <w:rFonts w:cstheme="minorHAnsi"/>
          <w:bCs/>
          <w:szCs w:val="72"/>
          <w:lang w:val="sr-Cyrl-RS"/>
        </w:rPr>
        <w:t xml:space="preserve"> пре свега као резултат повећања производње у електро-енергетском сектору, док је прерађивачка индустрија забележила пад физичког обима од 1,0% услед нешто ниже спољне тражње, али и базног ефекта. Позитиван допринос расту БДП дошао је и од пољопривреде која је према првим проценама остварила приносе у 2023. години изнад вишегодишњег просека и забележила раст од око 10% у односу на претходну, сушну, годину.</w:t>
      </w:r>
    </w:p>
    <w:p w14:paraId="5268233B" w14:textId="77777777" w:rsidR="00D17D25" w:rsidRPr="00546048" w:rsidRDefault="00D17D25" w:rsidP="00886C5E">
      <w:pPr>
        <w:spacing w:after="0"/>
        <w:jc w:val="center"/>
        <w:rPr>
          <w:b/>
          <w:color w:val="002060"/>
          <w:szCs w:val="21"/>
          <w:lang w:val="sr-Cyrl-RS"/>
        </w:rPr>
      </w:pPr>
      <w:r w:rsidRPr="00546048">
        <w:rPr>
          <w:b/>
          <w:color w:val="002060"/>
          <w:szCs w:val="21"/>
          <w:lang w:val="sr-Cyrl-RS"/>
        </w:rPr>
        <w:t>Доприноси стопи реалног раста БДП, производни приступ, п.п.</w:t>
      </w:r>
    </w:p>
    <w:p w14:paraId="001C5FE3" w14:textId="77777777" w:rsidR="00D17D25" w:rsidRDefault="00D17D25" w:rsidP="00462434">
      <w:pPr>
        <w:spacing w:after="0"/>
        <w:rPr>
          <w:rFonts w:cstheme="minorHAnsi"/>
          <w:bCs/>
          <w:szCs w:val="72"/>
          <w:lang w:val="sr-Cyrl-RS"/>
        </w:rPr>
      </w:pPr>
      <w:r>
        <w:rPr>
          <w:noProof/>
        </w:rPr>
        <w:drawing>
          <wp:inline distT="0" distB="0" distL="0" distR="0" wp14:anchorId="50A2AC38" wp14:editId="52F732D4">
            <wp:extent cx="2743200" cy="1872000"/>
            <wp:effectExtent l="0" t="0" r="0" b="0"/>
            <wp:docPr id="81" name="Chart 81">
              <a:extLst xmlns:a="http://schemas.openxmlformats.org/drawingml/2006/main">
                <a:ext uri="{FF2B5EF4-FFF2-40B4-BE49-F238E27FC236}">
                  <a16:creationId xmlns:a16="http://schemas.microsoft.com/office/drawing/2014/main" id="{00000000-0008-0000-0C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5B972596" w14:textId="77777777" w:rsidR="00D17D25" w:rsidRPr="00546048" w:rsidRDefault="00D17D25" w:rsidP="00886C5E">
      <w:pPr>
        <w:spacing w:after="0"/>
        <w:rPr>
          <w:rFonts w:cstheme="minorHAnsi"/>
          <w:bCs/>
          <w:sz w:val="16"/>
          <w:szCs w:val="16"/>
          <w:lang w:val="sr-Cyrl-RS"/>
        </w:rPr>
      </w:pPr>
      <w:r w:rsidRPr="00546048">
        <w:rPr>
          <w:rFonts w:cstheme="minorHAnsi"/>
          <w:bCs/>
          <w:sz w:val="16"/>
          <w:szCs w:val="16"/>
          <w:lang w:val="sr-Cyrl-RS"/>
        </w:rPr>
        <w:t>Извор: РЗС, прерачун Министарство финансија</w:t>
      </w:r>
    </w:p>
    <w:p w14:paraId="5089C615" w14:textId="77777777" w:rsidR="00D17D25" w:rsidRPr="00546048" w:rsidRDefault="00D17D25" w:rsidP="00886C5E">
      <w:pPr>
        <w:spacing w:after="0"/>
        <w:jc w:val="center"/>
        <w:rPr>
          <w:b/>
          <w:color w:val="002060"/>
          <w:szCs w:val="21"/>
          <w:lang w:val="sr-Cyrl-RS"/>
        </w:rPr>
      </w:pPr>
      <w:r w:rsidRPr="00546048">
        <w:rPr>
          <w:b/>
          <w:color w:val="002060"/>
          <w:szCs w:val="21"/>
          <w:lang w:val="sr-Cyrl-RS"/>
        </w:rPr>
        <w:lastRenderedPageBreak/>
        <w:t xml:space="preserve">Доприноси стопи реалног раста БДП, </w:t>
      </w:r>
      <w:r w:rsidRPr="00546048">
        <w:rPr>
          <w:b/>
          <w:color w:val="002060"/>
          <w:szCs w:val="21"/>
          <w:lang w:val="sr-Cyrl-RS"/>
        </w:rPr>
        <w:br w:type="textWrapping" w:clear="all"/>
        <w:t>расходни приступ, п.п.</w:t>
      </w:r>
    </w:p>
    <w:p w14:paraId="5080ECA5" w14:textId="77777777" w:rsidR="00D17D25" w:rsidRPr="00546048" w:rsidRDefault="00D17D25" w:rsidP="00223A45">
      <w:pPr>
        <w:spacing w:after="80"/>
        <w:jc w:val="center"/>
        <w:rPr>
          <w:lang w:val="sr-Cyrl-RS"/>
        </w:rPr>
      </w:pPr>
      <w:r>
        <w:rPr>
          <w:noProof/>
        </w:rPr>
        <w:drawing>
          <wp:inline distT="0" distB="0" distL="0" distR="0" wp14:anchorId="542200DA" wp14:editId="37878616">
            <wp:extent cx="2743200" cy="2052000"/>
            <wp:effectExtent l="0" t="0" r="0" b="5715"/>
            <wp:docPr id="30" name="Chart 30">
              <a:extLst xmlns:a="http://schemas.openxmlformats.org/drawingml/2006/main">
                <a:ext uri="{FF2B5EF4-FFF2-40B4-BE49-F238E27FC236}">
                  <a16:creationId xmlns:a16="http://schemas.microsoft.com/office/drawing/2014/main" id="{00000000-0008-0000-0C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7D0347AF" w14:textId="77777777" w:rsidR="00D17D25" w:rsidRPr="00546048" w:rsidRDefault="00D17D25" w:rsidP="00886C5E">
      <w:pPr>
        <w:spacing w:after="120"/>
        <w:rPr>
          <w:rFonts w:cstheme="minorHAnsi"/>
          <w:bCs/>
          <w:sz w:val="16"/>
          <w:szCs w:val="16"/>
          <w:lang w:val="sr-Cyrl-RS"/>
        </w:rPr>
      </w:pPr>
      <w:r w:rsidRPr="00546048">
        <w:rPr>
          <w:rFonts w:cstheme="minorHAnsi"/>
          <w:bCs/>
          <w:sz w:val="16"/>
          <w:szCs w:val="16"/>
          <w:lang w:val="sr-Cyrl-RS"/>
        </w:rPr>
        <w:t>Извор: РЗС, прерачун Министарство финансија</w:t>
      </w:r>
    </w:p>
    <w:p w14:paraId="01E20B4D" w14:textId="30DDFC48" w:rsidR="00D17D25" w:rsidRPr="00546048" w:rsidRDefault="00D17D25" w:rsidP="002D6E55">
      <w:pPr>
        <w:rPr>
          <w:rFonts w:cstheme="minorHAnsi"/>
          <w:bCs/>
          <w:spacing w:val="-2"/>
          <w:szCs w:val="72"/>
          <w:lang w:val="sr-Cyrl-RS"/>
        </w:rPr>
      </w:pPr>
      <w:r w:rsidRPr="00546048">
        <w:rPr>
          <w:rFonts w:cstheme="minorHAnsi"/>
          <w:bCs/>
          <w:spacing w:val="-2"/>
          <w:szCs w:val="72"/>
          <w:lang w:val="sr-Cyrl-RS"/>
        </w:rPr>
        <w:t xml:space="preserve">Посматрано по агрегатима употребе, раст БДП у првој половини 2023. године у потпуности је био вођен нето извозом, док је домаћа тражња имала негативан допринос, пре свега услед утицаја промена у залихама. Активирање нових производних капацитета резултирало је реалним растом извозне активности који је износио 5,1% упркос </w:t>
      </w:r>
      <w:r w:rsidR="00D04FFE">
        <w:rPr>
          <w:rFonts w:cstheme="minorHAnsi"/>
          <w:bCs/>
          <w:spacing w:val="-2"/>
          <w:szCs w:val="72"/>
          <w:lang w:val="sr-Cyrl-RS"/>
        </w:rPr>
        <w:t>нешто мањој</w:t>
      </w:r>
      <w:r w:rsidRPr="00546048">
        <w:rPr>
          <w:rFonts w:cstheme="minorHAnsi"/>
          <w:bCs/>
          <w:spacing w:val="-2"/>
          <w:szCs w:val="72"/>
          <w:lang w:val="sr-Cyrl-RS"/>
        </w:rPr>
        <w:t xml:space="preserve"> спољној тражњи. С друге стране, пад увоза енергената и мањи увоз репроматеријала имали су за последицу смањење реалне увозне активности од 3,8%. Приватна потрошња под утицајем високе базе услед импулсивних куповина становништва након избијања конфликта у Украјини, али и услед нешто више инфлације је забележила реални пад од 0,4%. Истовремено, инвестиције у основне фондове оствариле су раст од 3,1% захваљујући пре свега расту грађевинских радова. Под утицајем потрошње залиха у зимским месецима и високе базе, допринос промена у залихама био је негативан.</w:t>
      </w:r>
    </w:p>
    <w:p w14:paraId="57D82CDD" w14:textId="77777777" w:rsidR="00D17D25" w:rsidRPr="00546048" w:rsidRDefault="00D17D25" w:rsidP="002D6E55">
      <w:pPr>
        <w:rPr>
          <w:rFonts w:cstheme="minorHAnsi"/>
          <w:bCs/>
          <w:szCs w:val="72"/>
          <w:lang w:val="sr-Cyrl-RS"/>
        </w:rPr>
      </w:pPr>
      <w:r w:rsidRPr="00546048">
        <w:rPr>
          <w:rFonts w:cstheme="minorHAnsi"/>
          <w:bCs/>
          <w:szCs w:val="72"/>
          <w:lang w:val="sr-Cyrl-RS"/>
        </w:rPr>
        <w:t>Високофреквентни индикатори углавном указују на постепено убрзање економске активности током 2023. године. То потврђује и Индикатор привредне активности (ИПАС)</w:t>
      </w:r>
      <w:r w:rsidRPr="00546048">
        <w:rPr>
          <w:rStyle w:val="FootnoteReference"/>
          <w:rFonts w:cstheme="minorHAnsi"/>
          <w:bCs/>
          <w:szCs w:val="72"/>
          <w:lang w:val="sr-Cyrl-RS"/>
        </w:rPr>
        <w:footnoteReference w:id="1"/>
      </w:r>
      <w:r w:rsidRPr="00546048">
        <w:rPr>
          <w:rFonts w:cstheme="minorHAnsi"/>
          <w:bCs/>
          <w:szCs w:val="72"/>
          <w:lang w:val="sr-Cyrl-RS"/>
        </w:rPr>
        <w:t xml:space="preserve"> који Министарство финансија израђује за потребе сагледавања месечне динамике укупне економске активности. Након нешто нижих стопа раста почетком 2023. године, од маја долази до постепеног убрзања економске активности тако да вредност овог </w:t>
      </w:r>
      <w:r w:rsidRPr="00546048">
        <w:rPr>
          <w:rFonts w:cstheme="minorHAnsi"/>
          <w:bCs/>
          <w:szCs w:val="72"/>
          <w:lang w:val="sr-Cyrl-RS"/>
        </w:rPr>
        <w:t>индикатора у јуну и јулу указују на међугодишњи раст БДП од 2,1% и 2,5%, респективно.</w:t>
      </w:r>
    </w:p>
    <w:p w14:paraId="1B3DF45B" w14:textId="77777777" w:rsidR="00D17D25" w:rsidRPr="00546048" w:rsidRDefault="00D17D25" w:rsidP="00886C5E">
      <w:pPr>
        <w:spacing w:after="0"/>
        <w:jc w:val="center"/>
        <w:rPr>
          <w:b/>
          <w:color w:val="002060"/>
          <w:szCs w:val="21"/>
          <w:lang w:val="sr-Cyrl-RS"/>
        </w:rPr>
      </w:pPr>
      <w:r w:rsidRPr="00546048">
        <w:rPr>
          <w:b/>
          <w:color w:val="002060"/>
          <w:szCs w:val="21"/>
          <w:lang w:val="sr-Cyrl-RS"/>
        </w:rPr>
        <w:t>Индикатор привредне активности Србије (ИПАС) по секторима (доприноси расту, п.п.)</w:t>
      </w:r>
    </w:p>
    <w:p w14:paraId="32D3F7EA" w14:textId="77777777" w:rsidR="00D17D25" w:rsidRPr="00170F37" w:rsidRDefault="00D17D25" w:rsidP="00886C5E">
      <w:pPr>
        <w:spacing w:after="80"/>
        <w:jc w:val="center"/>
        <w:rPr>
          <w:lang w:val="sr-Cyrl-RS"/>
        </w:rPr>
      </w:pPr>
      <w:r w:rsidRPr="00546048">
        <w:rPr>
          <w:noProof/>
        </w:rPr>
        <w:drawing>
          <wp:inline distT="0" distB="0" distL="0" distR="0" wp14:anchorId="652FBA21" wp14:editId="73047068">
            <wp:extent cx="2743200" cy="1872000"/>
            <wp:effectExtent l="0" t="0" r="0" b="0"/>
            <wp:docPr id="38" name="Chart 38">
              <a:extLst xmlns:a="http://schemas.openxmlformats.org/drawingml/2006/main">
                <a:ext uri="{FF2B5EF4-FFF2-40B4-BE49-F238E27FC236}">
                  <a16:creationId xmlns:a16="http://schemas.microsoft.com/office/drawing/2014/main" id="{00000000-0008-0000-0D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08DA8FF9" w14:textId="77777777" w:rsidR="00D17D25" w:rsidRPr="00546048" w:rsidRDefault="00D17D25" w:rsidP="00886C5E">
      <w:pPr>
        <w:spacing w:after="80"/>
        <w:jc w:val="center"/>
        <w:rPr>
          <w:rFonts w:cstheme="minorHAnsi"/>
          <w:b/>
          <w:bCs/>
          <w:color w:val="002060"/>
          <w:szCs w:val="72"/>
          <w:lang w:val="sr-Cyrl-RS"/>
        </w:rPr>
      </w:pPr>
      <w:r w:rsidRPr="00546048">
        <w:rPr>
          <w:rFonts w:cstheme="minorHAnsi"/>
          <w:b/>
          <w:bCs/>
          <w:color w:val="002060"/>
          <w:szCs w:val="72"/>
          <w:lang w:val="sr-Cyrl-RS"/>
        </w:rPr>
        <w:t>Индикатор привредне активности Србије (ИПАС), мил. РСД, уланчане мере обима</w:t>
      </w:r>
    </w:p>
    <w:p w14:paraId="43D1ED44" w14:textId="77777777" w:rsidR="00D17D25" w:rsidRDefault="00D17D25" w:rsidP="00886C5E">
      <w:pPr>
        <w:spacing w:after="0"/>
        <w:jc w:val="right"/>
        <w:rPr>
          <w:rFonts w:cstheme="minorHAnsi"/>
          <w:bCs/>
          <w:iCs/>
          <w:szCs w:val="72"/>
          <w:lang w:val="sr-Cyrl-RS"/>
        </w:rPr>
      </w:pPr>
      <w:r w:rsidRPr="00546048">
        <w:rPr>
          <w:noProof/>
        </w:rPr>
        <w:drawing>
          <wp:inline distT="0" distB="0" distL="0" distR="0" wp14:anchorId="0C593F9E" wp14:editId="56EA515C">
            <wp:extent cx="2743200" cy="1836000"/>
            <wp:effectExtent l="0" t="0" r="0" b="0"/>
            <wp:docPr id="39" name="Chart 39">
              <a:extLst xmlns:a="http://schemas.openxmlformats.org/drawingml/2006/main">
                <a:ext uri="{FF2B5EF4-FFF2-40B4-BE49-F238E27FC236}">
                  <a16:creationId xmlns:a16="http://schemas.microsoft.com/office/drawing/2014/main" id="{00000000-0008-0000-0D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6788312D" w14:textId="77777777" w:rsidR="00D17D25" w:rsidRPr="00546048" w:rsidRDefault="00D17D25" w:rsidP="00886C5E">
      <w:pPr>
        <w:spacing w:after="120"/>
        <w:rPr>
          <w:rFonts w:cstheme="minorHAnsi"/>
          <w:bCs/>
          <w:sz w:val="16"/>
          <w:szCs w:val="16"/>
          <w:lang w:val="sr-Cyrl-RS"/>
        </w:rPr>
      </w:pPr>
      <w:r w:rsidRPr="00546048">
        <w:rPr>
          <w:rFonts w:cstheme="minorHAnsi"/>
          <w:bCs/>
          <w:sz w:val="16"/>
          <w:szCs w:val="16"/>
          <w:lang w:val="sr-Cyrl-RS"/>
        </w:rPr>
        <w:t>Извор: Министарство финансија</w:t>
      </w:r>
    </w:p>
    <w:p w14:paraId="6ED385A1" w14:textId="2E956565" w:rsidR="00D17D25" w:rsidRPr="00546048" w:rsidRDefault="00D17D25" w:rsidP="002D6E55">
      <w:pPr>
        <w:spacing w:after="120"/>
        <w:rPr>
          <w:rFonts w:cstheme="minorHAnsi"/>
          <w:bCs/>
          <w:iCs/>
          <w:spacing w:val="-4"/>
          <w:szCs w:val="72"/>
          <w:lang w:val="sr-Cyrl-RS"/>
        </w:rPr>
      </w:pPr>
      <w:r w:rsidRPr="00546048">
        <w:rPr>
          <w:rFonts w:cstheme="minorHAnsi"/>
          <w:bCs/>
          <w:iCs/>
          <w:spacing w:val="-4"/>
          <w:szCs w:val="72"/>
          <w:lang w:val="sr-Cyrl-RS"/>
        </w:rPr>
        <w:t>У првих седам месеци физички обим индустријске производње бележи раст од 1,9% мг. и вођен је повећањем производње електро-енергетског сектора. Са стабилизацијом производње електричне енергије, али и под утицајем нешто ниже базе из истог периода претходне године, остварен је двоцифрени раст ове делатности који је у првих седам месеци износио 16,3% мг. У истом периоду, остварен је позитиван салдо у размени електричне енергије, што је још једна потврда успостављене енергетске стабилности. Током седам месеци сектор рударства забележио је готово ста</w:t>
      </w:r>
      <w:r w:rsidR="005E13DD">
        <w:rPr>
          <w:rFonts w:cstheme="minorHAnsi"/>
          <w:bCs/>
          <w:iCs/>
          <w:spacing w:val="-4"/>
          <w:szCs w:val="72"/>
          <w:lang w:val="sr-Cyrl-RS"/>
        </w:rPr>
        <w:t xml:space="preserve">гнативна кретања (пад од свега </w:t>
      </w:r>
      <w:r w:rsidRPr="00546048">
        <w:rPr>
          <w:rFonts w:cstheme="minorHAnsi"/>
          <w:bCs/>
          <w:iCs/>
          <w:spacing w:val="-4"/>
          <w:szCs w:val="72"/>
          <w:lang w:val="sr-Cyrl-RS"/>
        </w:rPr>
        <w:t xml:space="preserve">0,5% мг.), а мања експлоатација угља у овоме периоду утицала је на изостанак бољих резултата овог сектора. Међутим, треба истаћи да је у јулу дошло до значајног опоравка у експлоатацији </w:t>
      </w:r>
      <w:r w:rsidRPr="00546048">
        <w:rPr>
          <w:rFonts w:cstheme="minorHAnsi"/>
          <w:bCs/>
          <w:iCs/>
          <w:spacing w:val="-4"/>
          <w:szCs w:val="72"/>
          <w:lang w:val="sr-Cyrl-RS"/>
        </w:rPr>
        <w:lastRenderedPageBreak/>
        <w:t>угља која је у овом месецу забележила смањење од 5,9% мг., што је значајно боље него током другог квартала када је пад износио око 20%.</w:t>
      </w:r>
    </w:p>
    <w:p w14:paraId="43BA5C1D" w14:textId="77777777" w:rsidR="00D17D25" w:rsidRPr="00546048" w:rsidRDefault="00D17D25" w:rsidP="001D79AB">
      <w:pPr>
        <w:spacing w:after="80"/>
        <w:jc w:val="center"/>
        <w:rPr>
          <w:rFonts w:cstheme="minorHAnsi"/>
          <w:b/>
          <w:bCs/>
          <w:iCs/>
          <w:color w:val="002060"/>
          <w:spacing w:val="-2"/>
          <w:szCs w:val="72"/>
          <w:lang w:val="sr-Cyrl-RS"/>
        </w:rPr>
      </w:pPr>
      <w:r w:rsidRPr="00546048">
        <w:rPr>
          <w:noProof/>
        </w:rPr>
        <w:drawing>
          <wp:anchor distT="0" distB="0" distL="114300" distR="114300" simplePos="0" relativeHeight="251692544" behindDoc="0" locked="0" layoutInCell="1" allowOverlap="1" wp14:anchorId="764022C4" wp14:editId="1582AC12">
            <wp:simplePos x="0" y="0"/>
            <wp:positionH relativeFrom="column">
              <wp:posOffset>1146810</wp:posOffset>
            </wp:positionH>
            <wp:positionV relativeFrom="paragraph">
              <wp:posOffset>323850</wp:posOffset>
            </wp:positionV>
            <wp:extent cx="1197610" cy="323850"/>
            <wp:effectExtent l="0" t="0" r="254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1197610" cy="323850"/>
                    </a:xfrm>
                    <a:prstGeom prst="rect">
                      <a:avLst/>
                    </a:prstGeom>
                  </pic:spPr>
                </pic:pic>
              </a:graphicData>
            </a:graphic>
            <wp14:sizeRelH relativeFrom="margin">
              <wp14:pctWidth>0</wp14:pctWidth>
            </wp14:sizeRelH>
            <wp14:sizeRelV relativeFrom="margin">
              <wp14:pctHeight>0</wp14:pctHeight>
            </wp14:sizeRelV>
          </wp:anchor>
        </w:drawing>
      </w:r>
      <w:r w:rsidRPr="00546048">
        <w:rPr>
          <w:rFonts w:cstheme="minorHAnsi"/>
          <w:b/>
          <w:bCs/>
          <w:iCs/>
          <w:color w:val="002060"/>
          <w:spacing w:val="-2"/>
          <w:szCs w:val="72"/>
          <w:lang w:val="sr-Cyrl-RS"/>
        </w:rPr>
        <w:t>Индекс физичког обима снабдевања електричном енергијом, гасом и паром, 2022=100</w:t>
      </w:r>
    </w:p>
    <w:p w14:paraId="5F6C8A4B" w14:textId="77777777" w:rsidR="00D17D25" w:rsidRPr="00546048" w:rsidRDefault="00D17D25" w:rsidP="002D6E55">
      <w:pPr>
        <w:spacing w:after="120"/>
        <w:rPr>
          <w:rFonts w:cstheme="minorHAnsi"/>
          <w:bCs/>
          <w:iCs/>
          <w:szCs w:val="72"/>
          <w:lang w:val="sr-Cyrl-RS"/>
        </w:rPr>
      </w:pPr>
      <w:r w:rsidRPr="00546048">
        <w:rPr>
          <w:noProof/>
        </w:rPr>
        <w:drawing>
          <wp:inline distT="0" distB="0" distL="0" distR="0" wp14:anchorId="510FF38C" wp14:editId="6BFF26DC">
            <wp:extent cx="2743200" cy="1224000"/>
            <wp:effectExtent l="0" t="0" r="0" b="0"/>
            <wp:docPr id="82" name="Chart 82">
              <a:extLst xmlns:a="http://schemas.openxmlformats.org/drawingml/2006/main">
                <a:ext uri="{FF2B5EF4-FFF2-40B4-BE49-F238E27FC236}">
                  <a16:creationId xmlns:a16="http://schemas.microsoft.com/office/drawing/2014/main" id="{00000000-0008-0000-1A00-00004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62023D34" w14:textId="77777777" w:rsidR="00D17D25" w:rsidRPr="00546048" w:rsidRDefault="00D17D25" w:rsidP="001D79AB">
      <w:pPr>
        <w:spacing w:after="80"/>
        <w:jc w:val="center"/>
        <w:rPr>
          <w:rFonts w:cstheme="minorHAnsi"/>
          <w:b/>
          <w:bCs/>
          <w:iCs/>
          <w:color w:val="002060"/>
          <w:szCs w:val="72"/>
          <w:lang w:val="sr-Cyrl-RS"/>
        </w:rPr>
      </w:pPr>
      <w:r w:rsidRPr="00546048">
        <w:rPr>
          <w:rFonts w:cstheme="minorHAnsi"/>
          <w:b/>
          <w:bCs/>
          <w:iCs/>
          <w:color w:val="002060"/>
          <w:szCs w:val="72"/>
          <w:lang w:val="sr-Cyrl-RS"/>
        </w:rPr>
        <w:t>Индекс физичког обима рударства, 2022=100</w:t>
      </w:r>
    </w:p>
    <w:p w14:paraId="0AF2EB8E" w14:textId="77777777" w:rsidR="00D17D25" w:rsidRPr="00546048" w:rsidRDefault="00D17D25" w:rsidP="002D6E55">
      <w:pPr>
        <w:spacing w:after="40"/>
        <w:rPr>
          <w:rFonts w:cstheme="minorHAnsi"/>
          <w:bCs/>
          <w:iCs/>
          <w:szCs w:val="72"/>
          <w:lang w:val="sr-Cyrl-RS"/>
        </w:rPr>
      </w:pPr>
      <w:r w:rsidRPr="00546048">
        <w:rPr>
          <w:noProof/>
        </w:rPr>
        <w:drawing>
          <wp:anchor distT="0" distB="0" distL="114300" distR="114300" simplePos="0" relativeHeight="251691520" behindDoc="0" locked="0" layoutInCell="1" allowOverlap="1" wp14:anchorId="3682C06E" wp14:editId="511D1533">
            <wp:simplePos x="0" y="0"/>
            <wp:positionH relativeFrom="column">
              <wp:posOffset>281940</wp:posOffset>
            </wp:positionH>
            <wp:positionV relativeFrom="paragraph">
              <wp:posOffset>47625</wp:posOffset>
            </wp:positionV>
            <wp:extent cx="1197610" cy="323850"/>
            <wp:effectExtent l="0" t="0" r="254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1197610" cy="323850"/>
                    </a:xfrm>
                    <a:prstGeom prst="rect">
                      <a:avLst/>
                    </a:prstGeom>
                  </pic:spPr>
                </pic:pic>
              </a:graphicData>
            </a:graphic>
            <wp14:sizeRelH relativeFrom="margin">
              <wp14:pctWidth>0</wp14:pctWidth>
            </wp14:sizeRelH>
            <wp14:sizeRelV relativeFrom="margin">
              <wp14:pctHeight>0</wp14:pctHeight>
            </wp14:sizeRelV>
          </wp:anchor>
        </w:drawing>
      </w:r>
      <w:r w:rsidRPr="00546048">
        <w:rPr>
          <w:noProof/>
        </w:rPr>
        <w:drawing>
          <wp:inline distT="0" distB="0" distL="0" distR="0" wp14:anchorId="63C32C2D" wp14:editId="5182B4B4">
            <wp:extent cx="2743200" cy="1224000"/>
            <wp:effectExtent l="0" t="0" r="0" b="0"/>
            <wp:docPr id="83" name="Chart 83">
              <a:extLst xmlns:a="http://schemas.openxmlformats.org/drawingml/2006/main">
                <a:ext uri="{FF2B5EF4-FFF2-40B4-BE49-F238E27FC236}">
                  <a16:creationId xmlns:a16="http://schemas.microsoft.com/office/drawing/2014/main" id="{00000000-0008-0000-1A00-00004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24435D23" w14:textId="77777777" w:rsidR="00D17D25" w:rsidRPr="00546048" w:rsidRDefault="00D17D25" w:rsidP="00886C5E">
      <w:pPr>
        <w:spacing w:after="120"/>
        <w:rPr>
          <w:rFonts w:cstheme="minorHAnsi"/>
          <w:bCs/>
          <w:iCs/>
          <w:szCs w:val="72"/>
          <w:lang w:val="sr-Cyrl-RS"/>
        </w:rPr>
      </w:pPr>
      <w:r w:rsidRPr="00546048">
        <w:rPr>
          <w:rFonts w:cstheme="minorHAnsi"/>
          <w:bCs/>
          <w:sz w:val="16"/>
          <w:szCs w:val="72"/>
          <w:lang w:val="sr-Cyrl-RS"/>
        </w:rPr>
        <w:t>Извор: Министарство финансија</w:t>
      </w:r>
    </w:p>
    <w:p w14:paraId="4758C42F" w14:textId="6454A084" w:rsidR="00D17D25" w:rsidRPr="00546048" w:rsidRDefault="00D17D25" w:rsidP="00886C5E">
      <w:pPr>
        <w:spacing w:after="60"/>
        <w:rPr>
          <w:rFonts w:cstheme="minorHAnsi"/>
          <w:bCs/>
          <w:iCs/>
          <w:spacing w:val="-4"/>
          <w:szCs w:val="72"/>
          <w:lang w:val="sr-Cyrl-RS"/>
        </w:rPr>
      </w:pPr>
      <w:r w:rsidRPr="00546048">
        <w:rPr>
          <w:rFonts w:cstheme="minorHAnsi"/>
          <w:bCs/>
          <w:iCs/>
          <w:szCs w:val="72"/>
          <w:lang w:val="sr-Cyrl-RS"/>
        </w:rPr>
        <w:t xml:space="preserve">У периоду јануар–јул прерађивачка индустрија је забележила благо смањење производње од 0,7%, пре свега као последица мање производње појединих извозно оријентисаних делатности услед нешто мање спољне тражње. </w:t>
      </w:r>
      <w:r w:rsidRPr="00546048">
        <w:rPr>
          <w:rFonts w:cstheme="minorHAnsi"/>
          <w:bCs/>
          <w:iCs/>
          <w:spacing w:val="-4"/>
          <w:szCs w:val="72"/>
          <w:lang w:val="sr-Cyrl-RS"/>
        </w:rPr>
        <w:t xml:space="preserve">Посматрано по областима прерађивачке индустрије, најзначајнији негативан допринос у првих седам месеци потиче од производње металних производа и нафтне индустрије које су забележиле смањење од 8,9% мг. и 6,7% мг., респективно. Истовремено и енергетски интензивне делатности попут производње основних метала и хемијске индустрије, које су значајно биле погођене негативним глобалним дешавањима, остварују смањење производње од 7,4% и 8,7% мг. респективно. Међутим, и поред тога у овим областима је приметан опоравак. Тако производња основних метала у мају улази у позитивну зону први пут након годину дана, након чега, делом и под утицајем базног ефекта, остварује снажан двоцифрени раст (током маја, јуна и јула забележен је раст од 27,8%, 41,7% и 51,7% мг. респективно). Слично и хемијска индустрија током претходна три месеца бележи солидна кретања остваривши раст од 1,7% просечно месечно. Најзначајнији позитиван допринос кретању прерађивачке индустрије у првих </w:t>
      </w:r>
      <w:r w:rsidRPr="00546048">
        <w:rPr>
          <w:rFonts w:cstheme="minorHAnsi"/>
          <w:bCs/>
          <w:iCs/>
          <w:spacing w:val="-4"/>
          <w:szCs w:val="72"/>
          <w:lang w:val="sr-Cyrl-RS"/>
        </w:rPr>
        <w:t>седам месеци 2023. године потекао је од машинске индустрије која је забележила повећање производње од 16,6% мг. Поред тога, обим производње рачунарске и фармацеутске индустрије је међугодишњe повећан за 58,7% и 9,7% мг. респективно. Упркос слабој спољној тражњи ефекат на страни понуде као резултат страних директних инвестиција</w:t>
      </w:r>
      <w:r w:rsidR="00450959">
        <w:rPr>
          <w:rFonts w:cstheme="minorHAnsi"/>
          <w:bCs/>
          <w:iCs/>
          <w:spacing w:val="-4"/>
          <w:szCs w:val="72"/>
          <w:lang w:val="sr-Cyrl-RS"/>
        </w:rPr>
        <w:t xml:space="preserve"> ( у даљем тексту: СДИ)</w:t>
      </w:r>
      <w:r w:rsidRPr="00546048">
        <w:rPr>
          <w:rFonts w:cstheme="minorHAnsi"/>
          <w:bCs/>
          <w:iCs/>
          <w:spacing w:val="-4"/>
          <w:szCs w:val="72"/>
          <w:lang w:val="sr-Cyrl-RS"/>
        </w:rPr>
        <w:t xml:space="preserve"> из претходног периода резултирао је растом аутомобилске и електронске индустрије од </w:t>
      </w:r>
      <w:r>
        <w:rPr>
          <w:rFonts w:cstheme="minorHAnsi"/>
          <w:bCs/>
          <w:iCs/>
          <w:spacing w:val="-4"/>
          <w:szCs w:val="72"/>
          <w:lang w:val="sr-Cyrl-RS"/>
        </w:rPr>
        <w:t>15,9%</w:t>
      </w:r>
      <w:r w:rsidRPr="00546048">
        <w:rPr>
          <w:rFonts w:cstheme="minorHAnsi"/>
          <w:bCs/>
          <w:iCs/>
          <w:spacing w:val="-4"/>
          <w:szCs w:val="72"/>
          <w:lang w:val="sr-Cyrl-RS"/>
        </w:rPr>
        <w:t xml:space="preserve"> и 2,9% мг., респективно. Производња прехрамбених производа као најзначајније делатности прерађивачке индустрије је у овом периоду забележила готово стагнативна кретања.</w:t>
      </w:r>
    </w:p>
    <w:p w14:paraId="336B08F4" w14:textId="77777777" w:rsidR="00D17D25" w:rsidRPr="00546048" w:rsidRDefault="00D17D25" w:rsidP="002D6E55">
      <w:pPr>
        <w:spacing w:after="120"/>
        <w:rPr>
          <w:rFonts w:cstheme="minorHAnsi"/>
          <w:bCs/>
          <w:iCs/>
          <w:spacing w:val="-4"/>
          <w:szCs w:val="72"/>
          <w:lang w:val="sr-Cyrl-RS"/>
        </w:rPr>
      </w:pPr>
      <w:r w:rsidRPr="00546048">
        <w:rPr>
          <w:rFonts w:cstheme="minorHAnsi"/>
          <w:bCs/>
          <w:iCs/>
          <w:spacing w:val="-4"/>
          <w:szCs w:val="72"/>
          <w:lang w:val="sr-Cyrl-RS"/>
        </w:rPr>
        <w:t>Приликом оцене текуће динамике прерађивачке индустрије треба имати у виду и чињеницу да је производња овог сектора током јуна изашла из негативне зоне и у јулу са растом од 1,0% мг. позитивно допринела расту укупне индустрије. Имајући у виду актуелна кретања у прерађивачкој индустрији, али и утицај нешто ниже базе у другој половини претходне године, очекује се наставак позитивних стопа раста овог сектора у остатку 2023. године, међугодишње посматрано.</w:t>
      </w:r>
    </w:p>
    <w:p w14:paraId="2C43563A" w14:textId="77777777" w:rsidR="00D17D25" w:rsidRPr="00546048" w:rsidRDefault="00D17D25" w:rsidP="00886C5E">
      <w:pPr>
        <w:spacing w:after="0"/>
        <w:jc w:val="center"/>
        <w:rPr>
          <w:rFonts w:cstheme="minorHAnsi"/>
          <w:b/>
          <w:bCs/>
          <w:iCs/>
          <w:color w:val="002060"/>
          <w:szCs w:val="72"/>
          <w:lang w:val="sr-Cyrl-RS"/>
        </w:rPr>
      </w:pPr>
      <w:r w:rsidRPr="00546048">
        <w:rPr>
          <w:rFonts w:cstheme="minorHAnsi"/>
          <w:b/>
          <w:bCs/>
          <w:iCs/>
          <w:color w:val="002060"/>
          <w:szCs w:val="72"/>
          <w:lang w:val="sr-Cyrl-RS"/>
        </w:rPr>
        <w:t>Индекс физичког обима прерађивачке индустрије, 2022=100</w:t>
      </w:r>
    </w:p>
    <w:p w14:paraId="2E4FC3E4" w14:textId="77777777" w:rsidR="00D17D25" w:rsidRPr="00546048" w:rsidRDefault="00D17D25" w:rsidP="00886C5E">
      <w:pPr>
        <w:spacing w:after="60"/>
        <w:rPr>
          <w:rFonts w:cstheme="minorHAnsi"/>
          <w:bCs/>
          <w:iCs/>
          <w:szCs w:val="72"/>
          <w:lang w:val="sr-Cyrl-RS"/>
        </w:rPr>
      </w:pPr>
      <w:r w:rsidRPr="00546048">
        <w:rPr>
          <w:noProof/>
        </w:rPr>
        <w:drawing>
          <wp:anchor distT="0" distB="0" distL="114300" distR="114300" simplePos="0" relativeHeight="251693568" behindDoc="0" locked="0" layoutInCell="1" allowOverlap="1" wp14:anchorId="1E5B4EFC" wp14:editId="2FF1DB1C">
            <wp:simplePos x="0" y="0"/>
            <wp:positionH relativeFrom="column">
              <wp:posOffset>1551903</wp:posOffset>
            </wp:positionH>
            <wp:positionV relativeFrom="paragraph">
              <wp:posOffset>1020445</wp:posOffset>
            </wp:positionV>
            <wp:extent cx="1195705" cy="257162"/>
            <wp:effectExtent l="0" t="0" r="4445"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1195705" cy="257162"/>
                    </a:xfrm>
                    <a:prstGeom prst="rect">
                      <a:avLst/>
                    </a:prstGeom>
                  </pic:spPr>
                </pic:pic>
              </a:graphicData>
            </a:graphic>
            <wp14:sizeRelV relativeFrom="margin">
              <wp14:pctHeight>0</wp14:pctHeight>
            </wp14:sizeRelV>
          </wp:anchor>
        </w:drawing>
      </w:r>
      <w:r w:rsidRPr="00546048">
        <w:rPr>
          <w:noProof/>
        </w:rPr>
        <w:drawing>
          <wp:inline distT="0" distB="0" distL="0" distR="0" wp14:anchorId="6C6F9889" wp14:editId="103BB808">
            <wp:extent cx="2743200" cy="1584000"/>
            <wp:effectExtent l="0" t="0" r="0" b="0"/>
            <wp:docPr id="28" name="Chart 28">
              <a:extLst xmlns:a="http://schemas.openxmlformats.org/drawingml/2006/main">
                <a:ext uri="{FF2B5EF4-FFF2-40B4-BE49-F238E27FC236}">
                  <a16:creationId xmlns:a16="http://schemas.microsoft.com/office/drawing/2014/main" id="{00000000-0008-0000-1A00-00002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451ACCFB" w14:textId="77777777" w:rsidR="00D17D25" w:rsidRPr="00546048" w:rsidRDefault="00D17D25" w:rsidP="00886C5E">
      <w:pPr>
        <w:spacing w:after="120"/>
        <w:rPr>
          <w:rFonts w:cstheme="minorHAnsi"/>
          <w:bCs/>
          <w:iCs/>
          <w:szCs w:val="72"/>
          <w:lang w:val="sr-Cyrl-RS"/>
        </w:rPr>
      </w:pPr>
      <w:r w:rsidRPr="00546048">
        <w:rPr>
          <w:rFonts w:cstheme="minorHAnsi"/>
          <w:bCs/>
          <w:sz w:val="16"/>
          <w:szCs w:val="72"/>
          <w:lang w:val="sr-Cyrl-RS"/>
        </w:rPr>
        <w:t>Извор: Министарство финансија</w:t>
      </w:r>
    </w:p>
    <w:p w14:paraId="30369A24" w14:textId="462F6728" w:rsidR="00D17D25" w:rsidRPr="00546048" w:rsidRDefault="00D17D25" w:rsidP="00886C5E">
      <w:pPr>
        <w:rPr>
          <w:rFonts w:cstheme="minorHAnsi"/>
          <w:bCs/>
          <w:iCs/>
          <w:szCs w:val="72"/>
          <w:lang w:val="sr-Cyrl-RS"/>
        </w:rPr>
      </w:pPr>
      <w:r w:rsidRPr="00546048">
        <w:rPr>
          <w:rFonts w:cstheme="minorHAnsi"/>
          <w:bCs/>
          <w:iCs/>
          <w:szCs w:val="72"/>
          <w:lang w:val="sr-Cyrl-RS"/>
        </w:rPr>
        <w:t xml:space="preserve">Повећана неизвесност у међународном окружењу услед геополитичких тензија и даље опредељује значајне негативне ризике. Међутим, и поред тога у другом делу године очекује се стабилан међугодишњи раст индустријске производње, као резултат постепеног опоравка привреда наших најзначајнијих спољнотрговинских партнера, али и под утицајем ниже базе из претходне године, поготову у прерађивачкој индустрији. Поред тога, рекордни приливи </w:t>
      </w:r>
      <w:r w:rsidR="000B168D">
        <w:rPr>
          <w:rFonts w:cstheme="minorHAnsi"/>
          <w:bCs/>
          <w:iCs/>
          <w:szCs w:val="72"/>
          <w:lang w:val="sr-Cyrl-RS"/>
        </w:rPr>
        <w:t>СДИ</w:t>
      </w:r>
      <w:r w:rsidRPr="00546048">
        <w:rPr>
          <w:rFonts w:cstheme="minorHAnsi"/>
          <w:bCs/>
          <w:iCs/>
          <w:szCs w:val="72"/>
          <w:lang w:val="sr-Cyrl-RS"/>
        </w:rPr>
        <w:t xml:space="preserve"> из претходног периода условиће позитивне ефекте на страни понуде.</w:t>
      </w:r>
    </w:p>
    <w:p w14:paraId="39C43291" w14:textId="77777777" w:rsidR="00D17D25" w:rsidRPr="00546048" w:rsidRDefault="00D17D25" w:rsidP="00886C5E">
      <w:pPr>
        <w:rPr>
          <w:rFonts w:cstheme="minorHAnsi"/>
          <w:bCs/>
          <w:iCs/>
          <w:szCs w:val="72"/>
          <w:lang w:val="sr-Cyrl-RS"/>
        </w:rPr>
        <w:sectPr w:rsidR="00D17D25" w:rsidRPr="00546048" w:rsidSect="002D6E55">
          <w:type w:val="continuous"/>
          <w:pgSz w:w="12240" w:h="15840" w:code="1"/>
          <w:pgMar w:top="1440" w:right="1440" w:bottom="1440" w:left="1440" w:header="720" w:footer="720" w:gutter="0"/>
          <w:cols w:num="2" w:space="720"/>
          <w:docGrid w:linePitch="360"/>
          <w15:footnoteColumns w:val="1"/>
        </w:sectPr>
      </w:pPr>
    </w:p>
    <w:p w14:paraId="36D4B633" w14:textId="77777777" w:rsidR="00D17D25" w:rsidRPr="00546048" w:rsidRDefault="00D17D25" w:rsidP="008527D6">
      <w:pPr>
        <w:spacing w:after="60" w:line="240" w:lineRule="auto"/>
        <w:jc w:val="center"/>
        <w:rPr>
          <w:rFonts w:cstheme="minorHAnsi"/>
          <w:b/>
          <w:color w:val="002060"/>
          <w:lang w:val="sr-Cyrl-RS"/>
        </w:rPr>
      </w:pPr>
      <w:r w:rsidRPr="00546048">
        <w:rPr>
          <w:rFonts w:cstheme="minorHAnsi"/>
          <w:b/>
          <w:color w:val="002060"/>
          <w:lang w:val="sr-Cyrl-RS"/>
        </w:rPr>
        <w:lastRenderedPageBreak/>
        <w:t>Индекси физичког обима водећих делатности прерађивачке индустрије, 2022=100</w:t>
      </w:r>
    </w:p>
    <w:tbl>
      <w:tblPr>
        <w:tblStyle w:val="TableGrid5"/>
        <w:tblW w:w="0" w:type="auto"/>
        <w:tblBorders>
          <w:top w:val="none" w:sz="0" w:space="0" w:color="auto"/>
          <w:left w:val="none" w:sz="0" w:space="0" w:color="auto"/>
          <w:bottom w:val="dashSmallGap" w:sz="4" w:space="0" w:color="BFBFBF" w:themeColor="background1" w:themeShade="BF"/>
          <w:right w:val="none" w:sz="0" w:space="0" w:color="auto"/>
          <w:insideH w:val="dashSmallGap" w:sz="4" w:space="0" w:color="BFBFBF" w:themeColor="background1" w:themeShade="BF"/>
          <w:insideV w:val="dashSmallGap" w:sz="4" w:space="0" w:color="BFBFBF" w:themeColor="background1" w:themeShade="BF"/>
        </w:tblBorders>
        <w:tblLook w:val="04A0" w:firstRow="1" w:lastRow="0" w:firstColumn="1" w:lastColumn="0" w:noHBand="0" w:noVBand="1"/>
      </w:tblPr>
      <w:tblGrid>
        <w:gridCol w:w="4679"/>
        <w:gridCol w:w="4681"/>
      </w:tblGrid>
      <w:tr w:rsidR="00D17D25" w:rsidRPr="00546048" w14:paraId="799A4297" w14:textId="77777777" w:rsidTr="00886C5E">
        <w:tc>
          <w:tcPr>
            <w:tcW w:w="4679" w:type="dxa"/>
          </w:tcPr>
          <w:p w14:paraId="195E8DFC" w14:textId="77777777" w:rsidR="00D17D25" w:rsidRPr="00546048" w:rsidRDefault="00D17D25" w:rsidP="00886C5E">
            <w:pPr>
              <w:spacing w:before="40" w:after="20"/>
              <w:jc w:val="center"/>
              <w:rPr>
                <w:lang w:val="sr-Cyrl-RS"/>
              </w:rPr>
            </w:pPr>
            <w:r w:rsidRPr="00546048">
              <w:rPr>
                <w:lang w:val="sr-Cyrl-RS"/>
              </w:rPr>
              <w:t>Производња прехрамбених производа</w:t>
            </w:r>
          </w:p>
          <w:p w14:paraId="5B79ACA6" w14:textId="77777777" w:rsidR="00D17D25" w:rsidRPr="00546048" w:rsidRDefault="00D17D25" w:rsidP="00886C5E">
            <w:pPr>
              <w:spacing w:before="40" w:after="20"/>
              <w:jc w:val="center"/>
              <w:rPr>
                <w:lang w:val="sr-Cyrl-RS"/>
              </w:rPr>
            </w:pPr>
            <w:r w:rsidRPr="00546048">
              <w:rPr>
                <w:noProof/>
              </w:rPr>
              <w:drawing>
                <wp:inline distT="0" distB="0" distL="0" distR="0" wp14:anchorId="5E0FD2E9" wp14:editId="201B23D7">
                  <wp:extent cx="2880000" cy="1242000"/>
                  <wp:effectExtent l="0" t="0" r="0" b="0"/>
                  <wp:docPr id="33" name="Chart 33">
                    <a:extLst xmlns:a="http://schemas.openxmlformats.org/drawingml/2006/main">
                      <a:ext uri="{FF2B5EF4-FFF2-40B4-BE49-F238E27FC236}">
                        <a16:creationId xmlns:a16="http://schemas.microsoft.com/office/drawing/2014/main" id="{00000000-0008-0000-1A00-00001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tc>
        <w:tc>
          <w:tcPr>
            <w:tcW w:w="4681" w:type="dxa"/>
          </w:tcPr>
          <w:p w14:paraId="65E14DAB" w14:textId="77777777" w:rsidR="00D17D25" w:rsidRPr="00546048" w:rsidRDefault="00D17D25" w:rsidP="00886C5E">
            <w:pPr>
              <w:spacing w:before="40" w:after="20"/>
              <w:jc w:val="center"/>
              <w:rPr>
                <w:lang w:val="sr-Cyrl-RS"/>
              </w:rPr>
            </w:pPr>
            <w:r w:rsidRPr="00546048">
              <w:rPr>
                <w:lang w:val="sr-Cyrl-RS"/>
              </w:rPr>
              <w:t>Производња металних производа, осим машина</w:t>
            </w:r>
          </w:p>
          <w:p w14:paraId="0F6D9282" w14:textId="77777777" w:rsidR="00D17D25" w:rsidRPr="00546048" w:rsidRDefault="00D17D25" w:rsidP="00886C5E">
            <w:pPr>
              <w:spacing w:before="40" w:after="20"/>
              <w:jc w:val="center"/>
              <w:rPr>
                <w:lang w:val="sr-Cyrl-RS"/>
              </w:rPr>
            </w:pPr>
            <w:r w:rsidRPr="00546048">
              <w:rPr>
                <w:noProof/>
              </w:rPr>
              <w:drawing>
                <wp:inline distT="0" distB="0" distL="0" distR="0" wp14:anchorId="4C3AB7DC" wp14:editId="03AC5B14">
                  <wp:extent cx="2880000" cy="1242000"/>
                  <wp:effectExtent l="0" t="0" r="0" b="0"/>
                  <wp:docPr id="8" name="Chart 8">
                    <a:extLst xmlns:a="http://schemas.openxmlformats.org/drawingml/2006/main">
                      <a:ext uri="{FF2B5EF4-FFF2-40B4-BE49-F238E27FC236}">
                        <a16:creationId xmlns:a16="http://schemas.microsoft.com/office/drawing/2014/main" id="{00000000-0008-0000-1A00-00003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r>
      <w:tr w:rsidR="00D17D25" w:rsidRPr="00546048" w14:paraId="4C71C3B3" w14:textId="77777777" w:rsidTr="00886C5E">
        <w:tc>
          <w:tcPr>
            <w:tcW w:w="4679" w:type="dxa"/>
          </w:tcPr>
          <w:p w14:paraId="2DF991FE" w14:textId="77777777" w:rsidR="00D17D25" w:rsidRPr="00546048" w:rsidRDefault="00D17D25" w:rsidP="002D6E55">
            <w:pPr>
              <w:spacing w:before="40" w:after="20"/>
              <w:jc w:val="center"/>
              <w:rPr>
                <w:lang w:val="sr-Cyrl-RS"/>
              </w:rPr>
            </w:pPr>
            <w:r w:rsidRPr="00546048">
              <w:rPr>
                <w:lang w:val="sr-Cyrl-RS"/>
              </w:rPr>
              <w:t>Производња основних метала</w:t>
            </w:r>
          </w:p>
          <w:p w14:paraId="5A628FEB" w14:textId="77777777" w:rsidR="00D17D25" w:rsidRPr="00546048" w:rsidRDefault="00D17D25" w:rsidP="00886C5E">
            <w:pPr>
              <w:spacing w:before="40" w:after="20"/>
              <w:jc w:val="center"/>
              <w:rPr>
                <w:lang w:val="sr-Cyrl-RS"/>
              </w:rPr>
            </w:pPr>
            <w:r w:rsidRPr="00546048">
              <w:rPr>
                <w:noProof/>
              </w:rPr>
              <w:drawing>
                <wp:inline distT="0" distB="0" distL="0" distR="0" wp14:anchorId="062EADD0" wp14:editId="47CECA19">
                  <wp:extent cx="2880000" cy="1242000"/>
                  <wp:effectExtent l="0" t="0" r="0" b="0"/>
                  <wp:docPr id="15" name="Chart 15">
                    <a:extLst xmlns:a="http://schemas.openxmlformats.org/drawingml/2006/main">
                      <a:ext uri="{FF2B5EF4-FFF2-40B4-BE49-F238E27FC236}">
                        <a16:creationId xmlns:a16="http://schemas.microsoft.com/office/drawing/2014/main" id="{00000000-0008-0000-1A00-00001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c>
        <w:tc>
          <w:tcPr>
            <w:tcW w:w="4681" w:type="dxa"/>
          </w:tcPr>
          <w:p w14:paraId="123811A0" w14:textId="77777777" w:rsidR="00D17D25" w:rsidRPr="00546048" w:rsidRDefault="00D17D25" w:rsidP="002D6E55">
            <w:pPr>
              <w:spacing w:before="40" w:after="20"/>
              <w:jc w:val="center"/>
              <w:rPr>
                <w:lang w:val="sr-Cyrl-RS"/>
              </w:rPr>
            </w:pPr>
            <w:r w:rsidRPr="00546048">
              <w:rPr>
                <w:lang w:val="sr-Cyrl-RS"/>
              </w:rPr>
              <w:t>Производња хемикалија и хемијских производа</w:t>
            </w:r>
          </w:p>
          <w:p w14:paraId="0C08E625" w14:textId="77777777" w:rsidR="00D17D25" w:rsidRPr="00546048" w:rsidRDefault="00D17D25" w:rsidP="00886C5E">
            <w:pPr>
              <w:spacing w:before="40" w:after="20"/>
              <w:jc w:val="center"/>
              <w:rPr>
                <w:lang w:val="sr-Cyrl-RS"/>
              </w:rPr>
            </w:pPr>
            <w:r w:rsidRPr="00546048">
              <w:rPr>
                <w:noProof/>
              </w:rPr>
              <w:drawing>
                <wp:inline distT="0" distB="0" distL="0" distR="0" wp14:anchorId="632BEA23" wp14:editId="26C21E61">
                  <wp:extent cx="2880000" cy="1242000"/>
                  <wp:effectExtent l="0" t="0" r="0" b="0"/>
                  <wp:docPr id="16" name="Chart 16">
                    <a:extLst xmlns:a="http://schemas.openxmlformats.org/drawingml/2006/main">
                      <a:ext uri="{FF2B5EF4-FFF2-40B4-BE49-F238E27FC236}">
                        <a16:creationId xmlns:a16="http://schemas.microsoft.com/office/drawing/2014/main" id="{00000000-0008-0000-1A00-00001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r w:rsidR="00D17D25" w:rsidRPr="00546048" w14:paraId="308DA833" w14:textId="77777777" w:rsidTr="00886C5E">
        <w:tc>
          <w:tcPr>
            <w:tcW w:w="4679" w:type="dxa"/>
          </w:tcPr>
          <w:p w14:paraId="436D94F3" w14:textId="77777777" w:rsidR="00D17D25" w:rsidRPr="00546048" w:rsidRDefault="00D17D25" w:rsidP="00886C5E">
            <w:pPr>
              <w:spacing w:before="40" w:after="20"/>
              <w:jc w:val="center"/>
              <w:rPr>
                <w:lang w:val="sr-Cyrl-RS"/>
              </w:rPr>
            </w:pPr>
            <w:r w:rsidRPr="00546048">
              <w:rPr>
                <w:lang w:val="sr-Cyrl-RS"/>
              </w:rPr>
              <w:t>Производња производа од гуме и пластике</w:t>
            </w:r>
          </w:p>
          <w:p w14:paraId="5DF80FD5" w14:textId="77777777" w:rsidR="00D17D25" w:rsidRPr="00546048" w:rsidRDefault="00D17D25" w:rsidP="00886C5E">
            <w:pPr>
              <w:jc w:val="center"/>
              <w:rPr>
                <w:lang w:val="sr-Cyrl-RS"/>
              </w:rPr>
            </w:pPr>
          </w:p>
          <w:p w14:paraId="10844B41" w14:textId="77777777" w:rsidR="00D17D25" w:rsidRPr="00546048" w:rsidRDefault="00D17D25" w:rsidP="00886C5E">
            <w:pPr>
              <w:spacing w:before="40" w:after="20"/>
              <w:jc w:val="center"/>
              <w:rPr>
                <w:lang w:val="sr-Cyrl-RS"/>
              </w:rPr>
            </w:pPr>
            <w:r w:rsidRPr="00546048">
              <w:rPr>
                <w:noProof/>
              </w:rPr>
              <w:drawing>
                <wp:inline distT="0" distB="0" distL="0" distR="0" wp14:anchorId="001424AB" wp14:editId="1FCF54CB">
                  <wp:extent cx="2880000" cy="1242000"/>
                  <wp:effectExtent l="0" t="0" r="0" b="0"/>
                  <wp:docPr id="84" name="Chart 84">
                    <a:extLst xmlns:a="http://schemas.openxmlformats.org/drawingml/2006/main">
                      <a:ext uri="{FF2B5EF4-FFF2-40B4-BE49-F238E27FC236}">
                        <a16:creationId xmlns:a16="http://schemas.microsoft.com/office/drawing/2014/main" id="{00000000-0008-0000-1A00-00001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c>
          <w:tcPr>
            <w:tcW w:w="4681" w:type="dxa"/>
          </w:tcPr>
          <w:p w14:paraId="3E47AD2B" w14:textId="77777777" w:rsidR="00D17D25" w:rsidRPr="00546048" w:rsidRDefault="00D17D25" w:rsidP="00886C5E">
            <w:pPr>
              <w:spacing w:before="40" w:after="20"/>
              <w:jc w:val="center"/>
              <w:rPr>
                <w:lang w:val="sr-Cyrl-RS"/>
              </w:rPr>
            </w:pPr>
            <w:r w:rsidRPr="00546048">
              <w:rPr>
                <w:lang w:val="sr-Cyrl-RS"/>
              </w:rPr>
              <w:t>Производња машина и опреме на другом месту непоменуте</w:t>
            </w:r>
          </w:p>
          <w:p w14:paraId="5ECB1912" w14:textId="77777777" w:rsidR="00D17D25" w:rsidRPr="00546048" w:rsidRDefault="00D17D25" w:rsidP="00886C5E">
            <w:pPr>
              <w:spacing w:before="40" w:after="20"/>
              <w:jc w:val="center"/>
              <w:rPr>
                <w:lang w:val="sr-Cyrl-RS"/>
              </w:rPr>
            </w:pPr>
            <w:r w:rsidRPr="00546048">
              <w:rPr>
                <w:noProof/>
              </w:rPr>
              <w:drawing>
                <wp:inline distT="0" distB="0" distL="0" distR="0" wp14:anchorId="6FF4AAB7" wp14:editId="18461416">
                  <wp:extent cx="2881465" cy="1242000"/>
                  <wp:effectExtent l="0" t="0" r="0" b="0"/>
                  <wp:docPr id="29" name="Chart 29">
                    <a:extLst xmlns:a="http://schemas.openxmlformats.org/drawingml/2006/main">
                      <a:ext uri="{FF2B5EF4-FFF2-40B4-BE49-F238E27FC236}">
                        <a16:creationId xmlns:a16="http://schemas.microsoft.com/office/drawing/2014/main" id="{00000000-0008-0000-1A00-00003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r w:rsidR="00D17D25" w:rsidRPr="00546048" w14:paraId="6045604A" w14:textId="77777777" w:rsidTr="00886C5E">
        <w:tc>
          <w:tcPr>
            <w:tcW w:w="4679" w:type="dxa"/>
          </w:tcPr>
          <w:p w14:paraId="457A6C24" w14:textId="77777777" w:rsidR="00D17D25" w:rsidRPr="00546048" w:rsidRDefault="00D17D25" w:rsidP="00886C5E">
            <w:pPr>
              <w:spacing w:before="40" w:after="20"/>
              <w:jc w:val="center"/>
              <w:rPr>
                <w:lang w:val="sr-Cyrl-RS"/>
              </w:rPr>
            </w:pPr>
            <w:r w:rsidRPr="00546048">
              <w:rPr>
                <w:lang w:val="sr-Cyrl-RS"/>
              </w:rPr>
              <w:t>Производња основних фармацеутских производа и препарата</w:t>
            </w:r>
          </w:p>
          <w:p w14:paraId="04938317" w14:textId="77777777" w:rsidR="00D17D25" w:rsidRPr="00546048" w:rsidRDefault="00D17D25" w:rsidP="00886C5E">
            <w:pPr>
              <w:spacing w:before="40" w:after="20"/>
              <w:jc w:val="center"/>
              <w:rPr>
                <w:lang w:val="sr-Cyrl-RS"/>
              </w:rPr>
            </w:pPr>
            <w:r w:rsidRPr="00546048">
              <w:rPr>
                <w:noProof/>
              </w:rPr>
              <w:drawing>
                <wp:inline distT="0" distB="0" distL="0" distR="0" wp14:anchorId="537D4F28" wp14:editId="09529018">
                  <wp:extent cx="2880000" cy="1242000"/>
                  <wp:effectExtent l="0" t="0" r="0" b="0"/>
                  <wp:docPr id="10" name="Chart 10">
                    <a:extLst xmlns:a="http://schemas.openxmlformats.org/drawingml/2006/main">
                      <a:ext uri="{FF2B5EF4-FFF2-40B4-BE49-F238E27FC236}">
                        <a16:creationId xmlns:a16="http://schemas.microsoft.com/office/drawing/2014/main" id="{00000000-0008-0000-1A00-00001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c>
          <w:tcPr>
            <w:tcW w:w="4681" w:type="dxa"/>
          </w:tcPr>
          <w:p w14:paraId="2A18ACF3" w14:textId="77777777" w:rsidR="00D17D25" w:rsidRPr="00546048" w:rsidRDefault="00D17D25" w:rsidP="00886C5E">
            <w:pPr>
              <w:spacing w:before="40" w:after="20"/>
              <w:jc w:val="center"/>
              <w:rPr>
                <w:lang w:val="sr-Cyrl-RS"/>
              </w:rPr>
            </w:pPr>
            <w:r w:rsidRPr="00546048">
              <w:rPr>
                <w:lang w:val="sr-Cyrl-RS"/>
              </w:rPr>
              <w:t>Производња рачунара, електронских и оптичких производа</w:t>
            </w:r>
          </w:p>
          <w:p w14:paraId="0FAFA479" w14:textId="77777777" w:rsidR="00D17D25" w:rsidRPr="00546048" w:rsidRDefault="00D17D25" w:rsidP="00886C5E">
            <w:pPr>
              <w:spacing w:before="40" w:after="20"/>
              <w:jc w:val="center"/>
              <w:rPr>
                <w:lang w:val="sr-Cyrl-RS"/>
              </w:rPr>
            </w:pPr>
            <w:r w:rsidRPr="00546048">
              <w:rPr>
                <w:noProof/>
              </w:rPr>
              <w:drawing>
                <wp:inline distT="0" distB="0" distL="0" distR="0" wp14:anchorId="3F6EA509" wp14:editId="12BE2C94">
                  <wp:extent cx="2880000" cy="1242000"/>
                  <wp:effectExtent l="0" t="0" r="0" b="0"/>
                  <wp:docPr id="18" name="Chart 18">
                    <a:extLst xmlns:a="http://schemas.openxmlformats.org/drawingml/2006/main">
                      <a:ext uri="{FF2B5EF4-FFF2-40B4-BE49-F238E27FC236}">
                        <a16:creationId xmlns:a16="http://schemas.microsoft.com/office/drawing/2014/main" id="{00000000-0008-0000-1A00-00004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r w:rsidR="00D17D25" w:rsidRPr="00546048" w14:paraId="4EC7F1FF" w14:textId="77777777" w:rsidTr="00886C5E">
        <w:tc>
          <w:tcPr>
            <w:tcW w:w="4679" w:type="dxa"/>
          </w:tcPr>
          <w:p w14:paraId="608BE8C6" w14:textId="77777777" w:rsidR="00D17D25" w:rsidRPr="00546048" w:rsidRDefault="00D17D25" w:rsidP="00886C5E">
            <w:pPr>
              <w:spacing w:before="40" w:after="20"/>
              <w:jc w:val="center"/>
              <w:rPr>
                <w:lang w:val="sr-Cyrl-RS"/>
              </w:rPr>
            </w:pPr>
            <w:r w:rsidRPr="00546048">
              <w:rPr>
                <w:lang w:val="sr-Cyrl-RS"/>
              </w:rPr>
              <w:t>Производња моторних возила и приколица</w:t>
            </w:r>
          </w:p>
          <w:p w14:paraId="726DD15D" w14:textId="77777777" w:rsidR="00D17D25" w:rsidRPr="00546048" w:rsidRDefault="00D17D25" w:rsidP="00886C5E">
            <w:pPr>
              <w:spacing w:before="40" w:after="20"/>
              <w:jc w:val="center"/>
              <w:rPr>
                <w:lang w:val="sr-Cyrl-RS"/>
              </w:rPr>
            </w:pPr>
            <w:r w:rsidRPr="00546048">
              <w:rPr>
                <w:noProof/>
              </w:rPr>
              <w:drawing>
                <wp:inline distT="0" distB="0" distL="0" distR="0" wp14:anchorId="24C0E93B" wp14:editId="17C05082">
                  <wp:extent cx="2880000" cy="1242000"/>
                  <wp:effectExtent l="0" t="0" r="0" b="0"/>
                  <wp:docPr id="34" name="Chart 34">
                    <a:extLst xmlns:a="http://schemas.openxmlformats.org/drawingml/2006/main">
                      <a:ext uri="{FF2B5EF4-FFF2-40B4-BE49-F238E27FC236}">
                        <a16:creationId xmlns:a16="http://schemas.microsoft.com/office/drawing/2014/main" id="{00000000-0008-0000-1A00-00002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c>
          <w:tcPr>
            <w:tcW w:w="4681" w:type="dxa"/>
          </w:tcPr>
          <w:p w14:paraId="7A05CA07" w14:textId="77777777" w:rsidR="00D17D25" w:rsidRPr="00546048" w:rsidRDefault="00D17D25" w:rsidP="00886C5E">
            <w:pPr>
              <w:spacing w:before="40" w:after="20"/>
              <w:jc w:val="center"/>
              <w:rPr>
                <w:lang w:val="sr-Cyrl-RS"/>
              </w:rPr>
            </w:pPr>
            <w:r w:rsidRPr="00546048">
              <w:rPr>
                <w:lang w:val="sr-Cyrl-RS"/>
              </w:rPr>
              <w:t>Производња електричне опреме</w:t>
            </w:r>
          </w:p>
          <w:p w14:paraId="4B246873" w14:textId="77777777" w:rsidR="00D17D25" w:rsidRPr="00546048" w:rsidRDefault="00D17D25" w:rsidP="00886C5E">
            <w:pPr>
              <w:spacing w:before="40" w:after="20"/>
              <w:jc w:val="center"/>
              <w:rPr>
                <w:lang w:val="sr-Cyrl-RS"/>
              </w:rPr>
            </w:pPr>
            <w:r w:rsidRPr="00546048">
              <w:rPr>
                <w:noProof/>
              </w:rPr>
              <w:drawing>
                <wp:inline distT="0" distB="0" distL="0" distR="0" wp14:anchorId="47DD370F" wp14:editId="0C961E42">
                  <wp:extent cx="2881465" cy="1242000"/>
                  <wp:effectExtent l="0" t="0" r="0" b="0"/>
                  <wp:docPr id="13" name="Chart 13">
                    <a:extLst xmlns:a="http://schemas.openxmlformats.org/drawingml/2006/main">
                      <a:ext uri="{FF2B5EF4-FFF2-40B4-BE49-F238E27FC236}">
                        <a16:creationId xmlns:a16="http://schemas.microsoft.com/office/drawing/2014/main" id="{00000000-0008-0000-1A00-00003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r>
    </w:tbl>
    <w:p w14:paraId="679BA4E4" w14:textId="77777777" w:rsidR="00D17D25" w:rsidRPr="00546048" w:rsidRDefault="00D17D25" w:rsidP="008527D6">
      <w:pPr>
        <w:spacing w:before="20" w:after="0" w:line="240" w:lineRule="auto"/>
        <w:jc w:val="center"/>
        <w:rPr>
          <w:rFonts w:cstheme="minorHAnsi"/>
          <w:b/>
          <w:bCs/>
          <w:sz w:val="18"/>
          <w:szCs w:val="72"/>
          <w:lang w:val="sr-Cyrl-RS"/>
        </w:rPr>
      </w:pPr>
      <w:r w:rsidRPr="00546048">
        <w:rPr>
          <w:noProof/>
          <w:color w:val="FF0000"/>
        </w:rPr>
        <w:drawing>
          <wp:inline distT="0" distB="0" distL="0" distR="0" wp14:anchorId="76137B5A" wp14:editId="6470206F">
            <wp:extent cx="4371429" cy="219048"/>
            <wp:effectExtent l="0" t="0" r="0" b="0"/>
            <wp:docPr id="5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pic:cNvPicPr>
                  </pic:nvPicPr>
                  <pic:blipFill>
                    <a:blip r:embed="rId65"/>
                    <a:stretch>
                      <a:fillRect/>
                    </a:stretch>
                  </pic:blipFill>
                  <pic:spPr>
                    <a:xfrm>
                      <a:off x="0" y="0"/>
                      <a:ext cx="4371429" cy="219048"/>
                    </a:xfrm>
                    <a:prstGeom prst="rect">
                      <a:avLst/>
                    </a:prstGeom>
                  </pic:spPr>
                </pic:pic>
              </a:graphicData>
            </a:graphic>
          </wp:inline>
        </w:drawing>
      </w:r>
    </w:p>
    <w:p w14:paraId="5911B630" w14:textId="77777777" w:rsidR="00D17D25" w:rsidRPr="00546048" w:rsidRDefault="00D17D25" w:rsidP="00886C5E">
      <w:pPr>
        <w:spacing w:after="0" w:line="240" w:lineRule="auto"/>
        <w:jc w:val="left"/>
        <w:rPr>
          <w:rFonts w:cstheme="minorHAnsi"/>
          <w:b/>
          <w:bCs/>
          <w:sz w:val="14"/>
          <w:szCs w:val="72"/>
          <w:lang w:val="sr-Cyrl-RS"/>
        </w:rPr>
      </w:pPr>
      <w:r w:rsidRPr="00546048">
        <w:rPr>
          <w:rFonts w:cstheme="minorHAnsi"/>
          <w:bCs/>
          <w:sz w:val="16"/>
          <w:szCs w:val="72"/>
          <w:lang w:val="sr-Cyrl-RS"/>
        </w:rPr>
        <w:t>Извор: Министарство финансија</w:t>
      </w:r>
    </w:p>
    <w:p w14:paraId="178736D7" w14:textId="77777777" w:rsidR="00D17D25" w:rsidRPr="00546048" w:rsidRDefault="00D17D25" w:rsidP="00886C5E">
      <w:pPr>
        <w:spacing w:after="0"/>
        <w:rPr>
          <w:rFonts w:cstheme="minorHAnsi"/>
          <w:bCs/>
          <w:szCs w:val="72"/>
          <w:lang w:val="sr-Cyrl-RS"/>
        </w:rPr>
        <w:sectPr w:rsidR="00D17D25" w:rsidRPr="00546048" w:rsidSect="002D6E55">
          <w:type w:val="continuous"/>
          <w:pgSz w:w="12240" w:h="15840" w:code="1"/>
          <w:pgMar w:top="1440" w:right="1440" w:bottom="1440" w:left="1440" w:header="720" w:footer="720" w:gutter="0"/>
          <w:cols w:space="720"/>
          <w:docGrid w:linePitch="360"/>
        </w:sectPr>
      </w:pPr>
    </w:p>
    <w:p w14:paraId="394FA30F" w14:textId="77777777" w:rsidR="00D17D25" w:rsidRPr="00546048" w:rsidRDefault="00D17D25" w:rsidP="00886C5E">
      <w:pPr>
        <w:spacing w:after="80"/>
        <w:rPr>
          <w:rFonts w:cstheme="minorHAnsi"/>
          <w:bCs/>
          <w:szCs w:val="72"/>
          <w:lang w:val="sr-Cyrl-RS"/>
        </w:rPr>
      </w:pPr>
      <w:r w:rsidRPr="00546048">
        <w:rPr>
          <w:rFonts w:cstheme="minorHAnsi"/>
          <w:bCs/>
          <w:spacing w:val="-4"/>
          <w:szCs w:val="72"/>
          <w:lang w:val="sr-Cyrl-RS"/>
        </w:rPr>
        <w:lastRenderedPageBreak/>
        <w:t>Након прошлогодишњих неповољних кретања у грађевинарству услед растуће глобалне неизвесности, мањег обима приватних инвестиција, али и снажног раста цена инпута, у 2023. години бележи се опоравак грађевинске активности. У првој половини 2023. године</w:t>
      </w:r>
      <w:r w:rsidRPr="00546048">
        <w:rPr>
          <w:rFonts w:cstheme="minorHAnsi"/>
          <w:bCs/>
          <w:szCs w:val="72"/>
          <w:lang w:val="sr-Cyrl-RS"/>
        </w:rPr>
        <w:t xml:space="preserve"> вредност изведених грађевинских радова била је реално већа за 9,4% мг. вођена растом вредности изведених радова у нискоградњи од 17,4%. У истом периоду вредност уговорених радова је реално повећана за 25,4% мг., што указује на очекивани наставак позитивних кретања у овом сектору. Поред тога, број издатих грађевинских дозвола након мајског повећања од 2,3% мг., током јуна</w:t>
      </w:r>
      <w:r>
        <w:rPr>
          <w:rFonts w:cstheme="minorHAnsi"/>
          <w:bCs/>
          <w:szCs w:val="72"/>
          <w:lang w:val="sr-Cyrl-RS"/>
        </w:rPr>
        <w:t xml:space="preserve"> и јула</w:t>
      </w:r>
      <w:r w:rsidRPr="00546048">
        <w:rPr>
          <w:rFonts w:cstheme="minorHAnsi"/>
          <w:bCs/>
          <w:szCs w:val="72"/>
          <w:lang w:val="sr-Cyrl-RS"/>
        </w:rPr>
        <w:t xml:space="preserve"> расте за 17,9% </w:t>
      </w:r>
      <w:r>
        <w:rPr>
          <w:rFonts w:cstheme="minorHAnsi"/>
          <w:bCs/>
          <w:szCs w:val="72"/>
          <w:lang w:val="sr-Cyrl-RS"/>
        </w:rPr>
        <w:t xml:space="preserve">и 14,2% </w:t>
      </w:r>
      <w:r w:rsidRPr="00546048">
        <w:rPr>
          <w:rFonts w:cstheme="minorHAnsi"/>
          <w:bCs/>
          <w:szCs w:val="72"/>
          <w:lang w:val="sr-Cyrl-RS"/>
        </w:rPr>
        <w:t>мг., чиме је прекинут тренд пада с почетка године</w:t>
      </w:r>
      <w:r>
        <w:rPr>
          <w:rFonts w:cstheme="minorHAnsi"/>
          <w:bCs/>
          <w:szCs w:val="72"/>
          <w:lang w:val="sr-Cyrl-RS"/>
        </w:rPr>
        <w:t xml:space="preserve"> и остварен благи раст у првих седам месеци</w:t>
      </w:r>
      <w:r w:rsidRPr="00546048">
        <w:rPr>
          <w:rFonts w:cstheme="minorHAnsi"/>
          <w:bCs/>
          <w:szCs w:val="72"/>
          <w:lang w:val="sr-Cyrl-RS"/>
        </w:rPr>
        <w:t>.</w:t>
      </w:r>
    </w:p>
    <w:p w14:paraId="3F2F3ED5" w14:textId="77777777" w:rsidR="00D17D25" w:rsidRPr="00546048" w:rsidRDefault="00D17D25" w:rsidP="00886C5E">
      <w:pPr>
        <w:spacing w:after="0" w:line="240" w:lineRule="auto"/>
        <w:jc w:val="center"/>
        <w:rPr>
          <w:rFonts w:cstheme="minorHAnsi"/>
          <w:b/>
          <w:bCs/>
          <w:iCs/>
          <w:color w:val="002060"/>
          <w:szCs w:val="72"/>
          <w:lang w:val="sr-Cyrl-RS"/>
        </w:rPr>
      </w:pPr>
      <w:r w:rsidRPr="00546048">
        <w:rPr>
          <w:rFonts w:cstheme="minorHAnsi"/>
          <w:b/>
          <w:bCs/>
          <w:iCs/>
          <w:color w:val="002060"/>
          <w:szCs w:val="72"/>
          <w:lang w:val="sr-Cyrl-RS"/>
        </w:rPr>
        <w:t>Индекси вредности изведених грађевинских радова (2022=100)</w:t>
      </w:r>
    </w:p>
    <w:p w14:paraId="128A36B1" w14:textId="77777777" w:rsidR="00D17D25" w:rsidRPr="00546048" w:rsidRDefault="00D17D25" w:rsidP="00886C5E">
      <w:pPr>
        <w:spacing w:after="0" w:line="240" w:lineRule="auto"/>
        <w:rPr>
          <w:rFonts w:cstheme="minorHAnsi"/>
          <w:bCs/>
          <w:szCs w:val="72"/>
          <w:lang w:val="sr-Cyrl-RS"/>
        </w:rPr>
      </w:pPr>
      <w:r w:rsidRPr="00546048">
        <w:rPr>
          <w:noProof/>
        </w:rPr>
        <w:drawing>
          <wp:inline distT="0" distB="0" distL="0" distR="0" wp14:anchorId="3C991C2A" wp14:editId="58DA48EE">
            <wp:extent cx="2743200" cy="1368000"/>
            <wp:effectExtent l="0" t="0" r="0" b="3810"/>
            <wp:docPr id="32" name="Chart 32">
              <a:extLst xmlns:a="http://schemas.openxmlformats.org/drawingml/2006/main">
                <a:ext uri="{FF2B5EF4-FFF2-40B4-BE49-F238E27FC236}">
                  <a16:creationId xmlns:a16="http://schemas.microsoft.com/office/drawing/2014/main" id="{00000000-0008-0000-1D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5B60D873" w14:textId="77777777" w:rsidR="00D17D25" w:rsidRPr="00546048" w:rsidRDefault="00D17D25" w:rsidP="00886C5E">
      <w:pPr>
        <w:spacing w:after="80"/>
        <w:rPr>
          <w:rFonts w:cstheme="minorHAnsi"/>
          <w:bCs/>
          <w:sz w:val="16"/>
          <w:szCs w:val="16"/>
          <w:lang w:val="sr-Cyrl-RS"/>
        </w:rPr>
      </w:pPr>
      <w:r w:rsidRPr="00546048">
        <w:rPr>
          <w:rFonts w:cstheme="minorHAnsi"/>
          <w:bCs/>
          <w:sz w:val="16"/>
          <w:szCs w:val="16"/>
          <w:lang w:val="sr-Cyrl-RS"/>
        </w:rPr>
        <w:t>Извор: РЗС</w:t>
      </w:r>
    </w:p>
    <w:p w14:paraId="2D5C9DCD" w14:textId="77777777" w:rsidR="00D17D25" w:rsidRPr="00546048" w:rsidRDefault="00D17D25" w:rsidP="00886C5E">
      <w:pPr>
        <w:spacing w:after="80"/>
        <w:rPr>
          <w:rFonts w:cstheme="minorHAnsi"/>
          <w:bCs/>
          <w:szCs w:val="72"/>
          <w:lang w:val="sr-Cyrl-RS"/>
        </w:rPr>
      </w:pPr>
      <w:r w:rsidRPr="00546048">
        <w:rPr>
          <w:rFonts w:cstheme="minorHAnsi"/>
          <w:bCs/>
          <w:szCs w:val="72"/>
          <w:lang w:val="sr-Cyrl-RS"/>
        </w:rPr>
        <w:t>Услужни сектор наставља да расте уз забележена дивергентна кретања појединих делатности. Спорији раст реалног расположивог дохотка одразио се на успоравање овог сектора, али са постепеним попуштањем инфлаторних притисака очекује се значајније убрзање активности.</w:t>
      </w:r>
    </w:p>
    <w:p w14:paraId="551E9C23" w14:textId="78BF7171" w:rsidR="00D17D25" w:rsidRPr="00546048" w:rsidRDefault="00D17D25" w:rsidP="00886C5E">
      <w:pPr>
        <w:spacing w:after="80"/>
        <w:rPr>
          <w:rFonts w:cstheme="minorHAnsi"/>
          <w:bCs/>
          <w:szCs w:val="72"/>
          <w:lang w:val="sr-Cyrl-RS"/>
        </w:rPr>
      </w:pPr>
      <w:r w:rsidRPr="00546048">
        <w:rPr>
          <w:rFonts w:cstheme="minorHAnsi"/>
          <w:bCs/>
          <w:szCs w:val="72"/>
          <w:lang w:val="sr-Cyrl-RS"/>
        </w:rPr>
        <w:t xml:space="preserve">У првих седам месеци настављена су добра кретања у туризму и угоститељству, при чему је број долазака и ноћења туриста међугодишње увећан за 13,1% и 9,8%, респективно, праћен растом активности домаћих и страних туриста. Истовремено, </w:t>
      </w:r>
      <w:r w:rsidRPr="00375A9A">
        <w:rPr>
          <w:rFonts w:cstheme="minorHAnsi"/>
          <w:bCs/>
          <w:szCs w:val="72"/>
          <w:lang w:val="sr-Cyrl-RS"/>
        </w:rPr>
        <w:t>де</w:t>
      </w:r>
      <w:r w:rsidR="00F44A9E" w:rsidRPr="00375A9A">
        <w:rPr>
          <w:rFonts w:cstheme="minorHAnsi"/>
          <w:bCs/>
          <w:szCs w:val="72"/>
          <w:lang w:val="sr-Cyrl-RS"/>
        </w:rPr>
        <w:t>визни прилив од туризма у првих седам месеци је међугодишње увећан за 1</w:t>
      </w:r>
      <w:r w:rsidR="00F44A9E" w:rsidRPr="00375A9A">
        <w:rPr>
          <w:rFonts w:cstheme="minorHAnsi"/>
          <w:bCs/>
          <w:szCs w:val="72"/>
          <w:lang w:val="sr-Latn-RS"/>
        </w:rPr>
        <w:t>0</w:t>
      </w:r>
      <w:r w:rsidRPr="00375A9A">
        <w:rPr>
          <w:rFonts w:cstheme="minorHAnsi"/>
          <w:bCs/>
          <w:szCs w:val="72"/>
          <w:lang w:val="sr-Cyrl-RS"/>
        </w:rPr>
        <w:t xml:space="preserve">,3%. </w:t>
      </w:r>
      <w:r w:rsidRPr="00546048">
        <w:rPr>
          <w:rFonts w:cstheme="minorHAnsi"/>
          <w:bCs/>
          <w:szCs w:val="72"/>
          <w:lang w:val="sr-Cyrl-RS"/>
        </w:rPr>
        <w:t>Поред тога, настављен је раст промета у угоститељству, при чему је у првих шест месеци реално већи за 12,0% мг.</w:t>
      </w:r>
    </w:p>
    <w:p w14:paraId="1258BC51" w14:textId="397FF199" w:rsidR="00D17D25" w:rsidRPr="00546048" w:rsidRDefault="00D17D25" w:rsidP="00886C5E">
      <w:pPr>
        <w:spacing w:after="80"/>
        <w:rPr>
          <w:rFonts w:cstheme="minorHAnsi"/>
          <w:bCs/>
          <w:szCs w:val="72"/>
          <w:lang w:val="sr-Cyrl-RS"/>
        </w:rPr>
      </w:pPr>
      <w:r w:rsidRPr="00546048">
        <w:rPr>
          <w:rFonts w:cstheme="minorHAnsi"/>
          <w:bCs/>
          <w:szCs w:val="72"/>
          <w:lang w:val="sr-Cyrl-RS"/>
        </w:rPr>
        <w:t xml:space="preserve">Сектор информационо комуникационих технологија континуирано расте уз све значајнију улогу овог сектора, при чему је кумулативни раст у претходне три године износио скоро 22%. Слична динамика забележена је у првих шест месеци </w:t>
      </w:r>
      <w:r w:rsidRPr="00546048">
        <w:rPr>
          <w:rFonts w:cstheme="minorHAnsi"/>
          <w:bCs/>
          <w:szCs w:val="72"/>
          <w:lang w:val="sr-Cyrl-RS"/>
        </w:rPr>
        <w:t xml:space="preserve">2023. године, уз реални раст БДВ овог сектора од 10,0%. Ово је праћено и снажним растом </w:t>
      </w:r>
      <w:r>
        <w:rPr>
          <w:rFonts w:cstheme="minorHAnsi"/>
          <w:bCs/>
          <w:szCs w:val="72"/>
          <w:lang w:val="sr-Cyrl-RS"/>
        </w:rPr>
        <w:t xml:space="preserve">извоза </w:t>
      </w:r>
      <w:r w:rsidRPr="00546048">
        <w:rPr>
          <w:rFonts w:cstheme="minorHAnsi"/>
          <w:bCs/>
          <w:szCs w:val="72"/>
          <w:lang w:val="sr-Cyrl-RS"/>
        </w:rPr>
        <w:t xml:space="preserve">ИКТ сектора током 2023. године, </w:t>
      </w:r>
      <w:r w:rsidRPr="00375A9A">
        <w:rPr>
          <w:rFonts w:cstheme="minorHAnsi"/>
          <w:bCs/>
          <w:szCs w:val="72"/>
          <w:lang w:val="sr-Cyrl-RS"/>
        </w:rPr>
        <w:t xml:space="preserve">при чему је у </w:t>
      </w:r>
      <w:r w:rsidR="00F44A9E" w:rsidRPr="00375A9A">
        <w:rPr>
          <w:rFonts w:cstheme="minorHAnsi"/>
          <w:bCs/>
          <w:szCs w:val="72"/>
          <w:lang w:val="sr-Cyrl-RS"/>
        </w:rPr>
        <w:t>првих седам месеци извоз овог сектора вредео 1,9</w:t>
      </w:r>
      <w:r w:rsidRPr="00375A9A">
        <w:rPr>
          <w:rFonts w:cstheme="minorHAnsi"/>
          <w:bCs/>
          <w:szCs w:val="72"/>
          <w:lang w:val="sr-Cyrl-RS"/>
        </w:rPr>
        <w:t xml:space="preserve"> млрд евра, одно</w:t>
      </w:r>
      <w:r w:rsidR="00F44A9E" w:rsidRPr="00375A9A">
        <w:rPr>
          <w:rFonts w:cstheme="minorHAnsi"/>
          <w:bCs/>
          <w:szCs w:val="72"/>
          <w:lang w:val="sr-Cyrl-RS"/>
        </w:rPr>
        <w:t>сно међугодишње је повећан за 35,7</w:t>
      </w:r>
      <w:r w:rsidRPr="00375A9A">
        <w:rPr>
          <w:rFonts w:cstheme="minorHAnsi"/>
          <w:bCs/>
          <w:szCs w:val="72"/>
          <w:lang w:val="sr-Cyrl-RS"/>
        </w:rPr>
        <w:t>%, опредељујући нешто више од трећине укупног извоза услужних делатности.</w:t>
      </w:r>
    </w:p>
    <w:p w14:paraId="713D1B7B" w14:textId="73FDE6BF" w:rsidR="00D17D25" w:rsidRPr="00546048" w:rsidRDefault="00D17D25" w:rsidP="00886C5E">
      <w:pPr>
        <w:spacing w:after="80"/>
        <w:rPr>
          <w:rFonts w:cstheme="minorHAnsi"/>
          <w:bCs/>
          <w:szCs w:val="72"/>
          <w:lang w:val="sr-Cyrl-RS"/>
        </w:rPr>
      </w:pPr>
      <w:r w:rsidRPr="00546048">
        <w:rPr>
          <w:rFonts w:cstheme="minorHAnsi"/>
          <w:bCs/>
          <w:szCs w:val="72"/>
          <w:lang w:val="sr-Cyrl-RS"/>
        </w:rPr>
        <w:t xml:space="preserve">Саобраћајна активност мерена индексом физичког обима у првој половини 2023. године међугодишње је већа за 26,9%, као резултат раста путничког саобраћаја од 53,6% мг. </w:t>
      </w:r>
      <w:r w:rsidRPr="00375A9A">
        <w:rPr>
          <w:rFonts w:cstheme="minorHAnsi"/>
          <w:bCs/>
          <w:szCs w:val="72"/>
          <w:lang w:val="sr-Cyrl-RS"/>
        </w:rPr>
        <w:t>У</w:t>
      </w:r>
      <w:r w:rsidR="00F44A9E" w:rsidRPr="00375A9A">
        <w:rPr>
          <w:rFonts w:cstheme="minorHAnsi"/>
          <w:bCs/>
          <w:szCs w:val="72"/>
          <w:lang w:val="sr-Cyrl-RS"/>
        </w:rPr>
        <w:t xml:space="preserve"> првих седам</w:t>
      </w:r>
      <w:r w:rsidRPr="00375A9A">
        <w:rPr>
          <w:rFonts w:cstheme="minorHAnsi"/>
          <w:bCs/>
          <w:szCs w:val="72"/>
          <w:lang w:val="sr-Cyrl-RS"/>
        </w:rPr>
        <w:t xml:space="preserve"> месеци извоз транспортних услуга је износио 1</w:t>
      </w:r>
      <w:r w:rsidR="00F44A9E" w:rsidRPr="00375A9A">
        <w:rPr>
          <w:rFonts w:cstheme="minorHAnsi"/>
          <w:bCs/>
          <w:szCs w:val="72"/>
          <w:lang w:val="sr-Cyrl-RS"/>
        </w:rPr>
        <w:t>,3</w:t>
      </w:r>
      <w:r w:rsidRPr="00375A9A">
        <w:rPr>
          <w:rFonts w:cstheme="minorHAnsi"/>
          <w:bCs/>
          <w:szCs w:val="72"/>
          <w:lang w:val="sr-Cyrl-RS"/>
        </w:rPr>
        <w:t xml:space="preserve"> милијард</w:t>
      </w:r>
      <w:r w:rsidR="00375A9A" w:rsidRPr="00375A9A">
        <w:rPr>
          <w:rFonts w:cstheme="minorHAnsi"/>
          <w:bCs/>
          <w:szCs w:val="72"/>
          <w:lang w:val="sr-Cyrl-RS"/>
        </w:rPr>
        <w:t>и</w:t>
      </w:r>
      <w:r w:rsidRPr="00375A9A">
        <w:rPr>
          <w:rFonts w:cstheme="minorHAnsi"/>
          <w:bCs/>
          <w:szCs w:val="72"/>
          <w:lang w:val="sr-Cyrl-RS"/>
        </w:rPr>
        <w:t xml:space="preserve"> евра и </w:t>
      </w:r>
      <w:r w:rsidR="00F44A9E" w:rsidRPr="00375A9A">
        <w:rPr>
          <w:rFonts w:cstheme="minorHAnsi"/>
          <w:bCs/>
          <w:szCs w:val="72"/>
          <w:lang w:val="sr-Cyrl-RS"/>
        </w:rPr>
        <w:t>увећан је за 28</w:t>
      </w:r>
      <w:r w:rsidR="00375A9A" w:rsidRPr="00375A9A">
        <w:rPr>
          <w:rFonts w:cstheme="minorHAnsi"/>
          <w:bCs/>
          <w:szCs w:val="72"/>
          <w:lang w:val="sr-Cyrl-RS"/>
        </w:rPr>
        <w:t>,0</w:t>
      </w:r>
      <w:r w:rsidRPr="00375A9A">
        <w:rPr>
          <w:rFonts w:cstheme="minorHAnsi"/>
          <w:bCs/>
          <w:szCs w:val="72"/>
          <w:lang w:val="sr-Cyrl-RS"/>
        </w:rPr>
        <w:t xml:space="preserve">% у односу на исти период претходне године. Раст </w:t>
      </w:r>
      <w:r w:rsidRPr="00546048">
        <w:rPr>
          <w:rFonts w:cstheme="minorHAnsi"/>
          <w:bCs/>
          <w:szCs w:val="72"/>
          <w:lang w:val="sr-Cyrl-RS"/>
        </w:rPr>
        <w:t>извоза транспортних услуга највећим делом је резултат већих прилива по основу услуга транспорта путника, а у нешто мањем износу осталих транспортних услуга и робе.</w:t>
      </w:r>
    </w:p>
    <w:p w14:paraId="50543664" w14:textId="77777777" w:rsidR="00D17D25" w:rsidRPr="00546048" w:rsidRDefault="00D17D25" w:rsidP="00886C5E">
      <w:pPr>
        <w:spacing w:after="0"/>
        <w:rPr>
          <w:rFonts w:cstheme="minorHAnsi"/>
          <w:b/>
          <w:bCs/>
          <w:iCs/>
          <w:color w:val="002060"/>
          <w:szCs w:val="72"/>
          <w:lang w:val="sr-Cyrl-RS"/>
        </w:rPr>
      </w:pPr>
      <w:r w:rsidRPr="00546048">
        <w:rPr>
          <w:rFonts w:cstheme="minorHAnsi"/>
          <w:b/>
          <w:bCs/>
          <w:iCs/>
          <w:color w:val="002060"/>
          <w:szCs w:val="72"/>
          <w:lang w:val="sr-Cyrl-RS"/>
        </w:rPr>
        <w:t>Индекс физичког обима саобраћаја (2022=100)</w:t>
      </w:r>
    </w:p>
    <w:p w14:paraId="49B78C25" w14:textId="77777777" w:rsidR="00D17D25" w:rsidRPr="00546048" w:rsidRDefault="00D17D25" w:rsidP="00886C5E">
      <w:pPr>
        <w:spacing w:after="0" w:line="240" w:lineRule="auto"/>
        <w:rPr>
          <w:rFonts w:cstheme="minorHAnsi"/>
          <w:bCs/>
          <w:szCs w:val="72"/>
          <w:lang w:val="sr-Cyrl-RS"/>
        </w:rPr>
      </w:pPr>
      <w:r w:rsidRPr="00546048">
        <w:rPr>
          <w:noProof/>
        </w:rPr>
        <w:drawing>
          <wp:inline distT="0" distB="0" distL="0" distR="0" wp14:anchorId="492CABDA" wp14:editId="51C9986B">
            <wp:extent cx="2743200" cy="1440000"/>
            <wp:effectExtent l="0" t="0" r="0" b="8255"/>
            <wp:docPr id="31" name="Chart 31">
              <a:extLst xmlns:a="http://schemas.openxmlformats.org/drawingml/2006/main">
                <a:ext uri="{FF2B5EF4-FFF2-40B4-BE49-F238E27FC236}">
                  <a16:creationId xmlns:a16="http://schemas.microsoft.com/office/drawing/2014/main" id="{00000000-0008-0000-1D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21883DE9" w14:textId="77777777" w:rsidR="00D17D25" w:rsidRPr="00546048" w:rsidRDefault="00D17D25" w:rsidP="00886C5E">
      <w:pPr>
        <w:spacing w:after="80"/>
        <w:rPr>
          <w:rFonts w:cstheme="minorHAnsi"/>
          <w:bCs/>
          <w:sz w:val="16"/>
          <w:szCs w:val="16"/>
          <w:lang w:val="sr-Cyrl-RS"/>
        </w:rPr>
      </w:pPr>
      <w:r w:rsidRPr="00546048">
        <w:rPr>
          <w:rFonts w:cstheme="minorHAnsi"/>
          <w:bCs/>
          <w:sz w:val="16"/>
          <w:szCs w:val="16"/>
          <w:lang w:val="sr-Cyrl-RS"/>
        </w:rPr>
        <w:t>Извор: РЗС</w:t>
      </w:r>
    </w:p>
    <w:p w14:paraId="02BBDEA7" w14:textId="117F480F" w:rsidR="00D17D25" w:rsidRPr="00546048" w:rsidRDefault="00D17D25" w:rsidP="00886C5E">
      <w:pPr>
        <w:spacing w:after="0"/>
        <w:rPr>
          <w:rFonts w:cstheme="minorHAnsi"/>
          <w:bCs/>
          <w:szCs w:val="72"/>
          <w:lang w:val="sr-Cyrl-RS"/>
        </w:rPr>
      </w:pPr>
      <w:r w:rsidRPr="00546048">
        <w:rPr>
          <w:rFonts w:cstheme="minorHAnsi"/>
          <w:bCs/>
          <w:szCs w:val="72"/>
          <w:lang w:val="sr-Cyrl-RS"/>
        </w:rPr>
        <w:t>У првих седам месеци 2023. године малопродајни промет је био реално мањи за 4,7% пре свега као последица нешто вишег нивоа цена, али и високе базе из истог периода претходне године услед импулсивне куповине становништва по самом избијању сукоба у Украјини. Међутим, са попуштањем инфлације и растом реалног расположивог дохотка, очекује се нешто повољнија ситуација и постепено убрзање активности у реалним износима. То је већ видљиво током јула, када је пад у сталним ценама преполовљен у односу на претходни ме</w:t>
      </w:r>
      <w:r w:rsidR="00C3361E">
        <w:rPr>
          <w:rFonts w:cstheme="minorHAnsi"/>
          <w:bCs/>
          <w:szCs w:val="72"/>
          <w:lang w:val="sr-Cyrl-RS"/>
        </w:rPr>
        <w:t xml:space="preserve">сец, односно износио је </w:t>
      </w:r>
      <w:r w:rsidRPr="00546048">
        <w:rPr>
          <w:rFonts w:cstheme="minorHAnsi"/>
          <w:bCs/>
          <w:szCs w:val="72"/>
          <w:lang w:val="sr-Cyrl-RS"/>
        </w:rPr>
        <w:t>3,2% мг. Поред тога, по искључењу утицаја сезоне промет у трговини на мало након вишемесечног пада у јулу улази у позитивну зону и бележи раст од 2,9% у односу на јун, праћено растом промета све три категорије производа (прехрамбених и непрехрамбених производа за по 2,3%, а моторних горива за 6,1%).</w:t>
      </w:r>
    </w:p>
    <w:p w14:paraId="7C595952" w14:textId="77777777" w:rsidR="00D17D25" w:rsidRPr="00546048" w:rsidRDefault="00D17D25" w:rsidP="00886C5E">
      <w:pPr>
        <w:spacing w:before="240" w:after="0"/>
        <w:jc w:val="center"/>
        <w:rPr>
          <w:rFonts w:cstheme="minorHAnsi"/>
          <w:b/>
          <w:color w:val="FF0000"/>
          <w:sz w:val="6"/>
          <w:lang w:val="sr-Cyrl-RS"/>
        </w:rPr>
        <w:sectPr w:rsidR="00D17D25" w:rsidRPr="00546048" w:rsidSect="002D6E55">
          <w:type w:val="continuous"/>
          <w:pgSz w:w="12240" w:h="15840" w:code="1"/>
          <w:pgMar w:top="1440" w:right="1440" w:bottom="1440" w:left="1440" w:header="720" w:footer="720" w:gutter="0"/>
          <w:cols w:num="2" w:space="720"/>
          <w:docGrid w:linePitch="360"/>
        </w:sectPr>
      </w:pPr>
    </w:p>
    <w:p w14:paraId="0AC4A8E3" w14:textId="77777777" w:rsidR="00D17D25" w:rsidRPr="00546048" w:rsidRDefault="00D17D25" w:rsidP="00886C5E">
      <w:pPr>
        <w:spacing w:after="80"/>
        <w:jc w:val="center"/>
        <w:rPr>
          <w:rFonts w:cstheme="minorHAnsi"/>
          <w:b/>
          <w:color w:val="002060"/>
          <w:lang w:val="sr-Cyrl-RS"/>
        </w:rPr>
      </w:pPr>
      <w:r w:rsidRPr="00546048">
        <w:rPr>
          <w:rFonts w:cstheme="minorHAnsi"/>
          <w:b/>
          <w:color w:val="002060"/>
          <w:lang w:val="sr-Cyrl-RS"/>
        </w:rPr>
        <w:lastRenderedPageBreak/>
        <w:t>Високофреквентни индикатори најзначајнијих услужних делатности, 2022=100</w:t>
      </w:r>
    </w:p>
    <w:tbl>
      <w:tblPr>
        <w:tblStyle w:val="TableGrid6"/>
        <w:tblW w:w="0" w:type="auto"/>
        <w:tblBorders>
          <w:top w:val="none" w:sz="0" w:space="0" w:color="auto"/>
          <w:left w:val="none" w:sz="0" w:space="0" w:color="auto"/>
          <w:bottom w:val="dashSmallGap" w:sz="4" w:space="0" w:color="BFBFBF" w:themeColor="background1" w:themeShade="BF"/>
          <w:right w:val="none" w:sz="0" w:space="0" w:color="auto"/>
          <w:insideH w:val="dashSmallGap" w:sz="4" w:space="0" w:color="BFBFBF" w:themeColor="background1" w:themeShade="BF"/>
          <w:insideV w:val="dashSmallGap" w:sz="4" w:space="0" w:color="BFBFBF" w:themeColor="background1" w:themeShade="BF"/>
        </w:tblBorders>
        <w:tblLook w:val="04A0" w:firstRow="1" w:lastRow="0" w:firstColumn="1" w:lastColumn="0" w:noHBand="0" w:noVBand="1"/>
      </w:tblPr>
      <w:tblGrid>
        <w:gridCol w:w="4681"/>
        <w:gridCol w:w="4679"/>
      </w:tblGrid>
      <w:tr w:rsidR="00D17D25" w:rsidRPr="00546048" w14:paraId="45803FB7" w14:textId="77777777" w:rsidTr="00110703">
        <w:tc>
          <w:tcPr>
            <w:tcW w:w="4680" w:type="dxa"/>
          </w:tcPr>
          <w:p w14:paraId="358FCDE1" w14:textId="77777777" w:rsidR="00D17D25" w:rsidRPr="00546048" w:rsidRDefault="00D17D25" w:rsidP="002D6E55">
            <w:pPr>
              <w:jc w:val="center"/>
              <w:rPr>
                <w:lang w:val="sr-Cyrl-RS"/>
              </w:rPr>
            </w:pPr>
            <w:r w:rsidRPr="00546048">
              <w:rPr>
                <w:lang w:val="sr-Cyrl-RS"/>
              </w:rPr>
              <w:t>Извоз услужних делатности</w:t>
            </w:r>
          </w:p>
          <w:p w14:paraId="68D9FA2A" w14:textId="753E55C3" w:rsidR="00D17D25" w:rsidRDefault="00D17D25" w:rsidP="002D6E55">
            <w:pPr>
              <w:jc w:val="center"/>
              <w:rPr>
                <w:lang w:val="sr-Cyrl-RS"/>
              </w:rPr>
            </w:pPr>
          </w:p>
          <w:p w14:paraId="0D5F1DC3" w14:textId="7F97CEAE" w:rsidR="00D17D25" w:rsidRPr="00546048" w:rsidRDefault="00110703" w:rsidP="00110703">
            <w:pPr>
              <w:jc w:val="center"/>
              <w:rPr>
                <w:lang w:val="sr-Cyrl-RS"/>
              </w:rPr>
            </w:pPr>
            <w:r>
              <w:rPr>
                <w:noProof/>
              </w:rPr>
              <w:drawing>
                <wp:inline distT="0" distB="0" distL="0" distR="0" wp14:anchorId="73A706D5" wp14:editId="5B3452CA">
                  <wp:extent cx="2886569" cy="1296000"/>
                  <wp:effectExtent l="0" t="0" r="0" b="0"/>
                  <wp:docPr id="57" name="Chart 57">
                    <a:extLst xmlns:a="http://schemas.openxmlformats.org/drawingml/2006/main">
                      <a:ext uri="{FF2B5EF4-FFF2-40B4-BE49-F238E27FC236}">
                        <a16:creationId xmlns:a16="http://schemas.microsoft.com/office/drawing/2014/main" id="{00000000-0008-0000-1C00-00001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c>
          <w:tcPr>
            <w:tcW w:w="4680" w:type="dxa"/>
          </w:tcPr>
          <w:p w14:paraId="15058906" w14:textId="27F5BB51" w:rsidR="00D17D25" w:rsidRDefault="00D17D25" w:rsidP="002D6E55">
            <w:pPr>
              <w:jc w:val="center"/>
              <w:rPr>
                <w:lang w:val="sr-Cyrl-RS"/>
              </w:rPr>
            </w:pPr>
            <w:r w:rsidRPr="00546048">
              <w:rPr>
                <w:lang w:val="sr-Cyrl-RS"/>
              </w:rPr>
              <w:t>Извоз услуга телекомуникација, компјутерских и информацијских услуга</w:t>
            </w:r>
          </w:p>
          <w:p w14:paraId="10667417" w14:textId="566C331A" w:rsidR="00D17D25" w:rsidRPr="00546048" w:rsidRDefault="00110703" w:rsidP="00110703">
            <w:pPr>
              <w:jc w:val="center"/>
              <w:rPr>
                <w:lang w:val="sr-Cyrl-RS"/>
              </w:rPr>
            </w:pPr>
            <w:r>
              <w:rPr>
                <w:noProof/>
              </w:rPr>
              <w:drawing>
                <wp:inline distT="0" distB="0" distL="0" distR="0" wp14:anchorId="639CB95E" wp14:editId="353BCD8F">
                  <wp:extent cx="2885255" cy="1296000"/>
                  <wp:effectExtent l="0" t="0" r="0" b="0"/>
                  <wp:docPr id="56" name="Chart 56">
                    <a:extLst xmlns:a="http://schemas.openxmlformats.org/drawingml/2006/main">
                      <a:ext uri="{FF2B5EF4-FFF2-40B4-BE49-F238E27FC236}">
                        <a16:creationId xmlns:a16="http://schemas.microsoft.com/office/drawing/2014/main" id="{00000000-0008-0000-1C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r w:rsidR="00D17D25" w:rsidRPr="00546048" w14:paraId="013172D5" w14:textId="77777777" w:rsidTr="00110703">
        <w:tc>
          <w:tcPr>
            <w:tcW w:w="4680" w:type="dxa"/>
          </w:tcPr>
          <w:p w14:paraId="64193382" w14:textId="580B2C45" w:rsidR="00D17D25" w:rsidRDefault="00D17D25" w:rsidP="002D6E55">
            <w:pPr>
              <w:spacing w:before="60"/>
              <w:jc w:val="center"/>
              <w:rPr>
                <w:lang w:val="sr-Cyrl-RS"/>
              </w:rPr>
            </w:pPr>
            <w:r w:rsidRPr="00546048">
              <w:rPr>
                <w:lang w:val="sr-Cyrl-RS"/>
              </w:rPr>
              <w:t>Извоз транспортних услуга</w:t>
            </w:r>
          </w:p>
          <w:p w14:paraId="35D9EEE0" w14:textId="1E73E5AE" w:rsidR="00D17D25" w:rsidRPr="00546048" w:rsidRDefault="00110703" w:rsidP="00110703">
            <w:pPr>
              <w:spacing w:before="60"/>
              <w:jc w:val="center"/>
              <w:rPr>
                <w:lang w:val="sr-Cyrl-RS"/>
              </w:rPr>
            </w:pPr>
            <w:r>
              <w:rPr>
                <w:noProof/>
              </w:rPr>
              <w:drawing>
                <wp:inline distT="0" distB="0" distL="0" distR="0" wp14:anchorId="1420F2FE" wp14:editId="35C7E18B">
                  <wp:extent cx="2885255" cy="1296000"/>
                  <wp:effectExtent l="0" t="0" r="0" b="0"/>
                  <wp:docPr id="53" name="Chart 53">
                    <a:extLst xmlns:a="http://schemas.openxmlformats.org/drawingml/2006/main">
                      <a:ext uri="{FF2B5EF4-FFF2-40B4-BE49-F238E27FC236}">
                        <a16:creationId xmlns:a16="http://schemas.microsoft.com/office/drawing/2014/main" id="{00000000-0008-0000-1C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c>
          <w:tcPr>
            <w:tcW w:w="4680" w:type="dxa"/>
          </w:tcPr>
          <w:p w14:paraId="04ADC964" w14:textId="7ADB87E8" w:rsidR="00D17D25" w:rsidRDefault="00D17D25" w:rsidP="002D6E55">
            <w:pPr>
              <w:spacing w:before="60"/>
              <w:jc w:val="center"/>
              <w:rPr>
                <w:lang w:val="sr-Cyrl-RS"/>
              </w:rPr>
            </w:pPr>
            <w:r w:rsidRPr="00546048">
              <w:rPr>
                <w:lang w:val="sr-Cyrl-RS"/>
              </w:rPr>
              <w:t>Извоз туристичких услуга</w:t>
            </w:r>
          </w:p>
          <w:p w14:paraId="1A13B5C8" w14:textId="2C82F2C9" w:rsidR="00D17D25" w:rsidRPr="00546048" w:rsidRDefault="00110703" w:rsidP="00110703">
            <w:pPr>
              <w:spacing w:before="60"/>
              <w:jc w:val="center"/>
              <w:rPr>
                <w:lang w:val="sr-Cyrl-RS"/>
              </w:rPr>
            </w:pPr>
            <w:r>
              <w:rPr>
                <w:noProof/>
              </w:rPr>
              <w:drawing>
                <wp:inline distT="0" distB="0" distL="0" distR="0" wp14:anchorId="2DB18599" wp14:editId="15F3B15C">
                  <wp:extent cx="2885255" cy="1296000"/>
                  <wp:effectExtent l="0" t="0" r="0" b="0"/>
                  <wp:docPr id="54" name="Chart 54">
                    <a:extLst xmlns:a="http://schemas.openxmlformats.org/drawingml/2006/main">
                      <a:ext uri="{FF2B5EF4-FFF2-40B4-BE49-F238E27FC236}">
                        <a16:creationId xmlns:a16="http://schemas.microsoft.com/office/drawing/2014/main" id="{00000000-0008-0000-1C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r>
      <w:tr w:rsidR="00D17D25" w:rsidRPr="00546048" w14:paraId="79D01BA4" w14:textId="77777777" w:rsidTr="00110703">
        <w:tc>
          <w:tcPr>
            <w:tcW w:w="4680" w:type="dxa"/>
          </w:tcPr>
          <w:p w14:paraId="610EF931" w14:textId="77777777" w:rsidR="00D17D25" w:rsidRPr="00546048" w:rsidRDefault="00D17D25" w:rsidP="002D6E55">
            <w:pPr>
              <w:spacing w:before="60"/>
              <w:jc w:val="center"/>
              <w:rPr>
                <w:lang w:val="sr-Cyrl-RS"/>
              </w:rPr>
            </w:pPr>
            <w:r w:rsidRPr="00546048">
              <w:rPr>
                <w:lang w:val="sr-Cyrl-RS"/>
              </w:rPr>
              <w:t>Ноћења туриста</w:t>
            </w:r>
          </w:p>
          <w:p w14:paraId="167AC643" w14:textId="77777777" w:rsidR="00D17D25" w:rsidRPr="00546048" w:rsidRDefault="00D17D25" w:rsidP="00886C5E">
            <w:pPr>
              <w:spacing w:before="60"/>
              <w:jc w:val="center"/>
              <w:rPr>
                <w:lang w:val="sr-Cyrl-RS"/>
              </w:rPr>
            </w:pPr>
            <w:r w:rsidRPr="00546048">
              <w:rPr>
                <w:noProof/>
              </w:rPr>
              <w:drawing>
                <wp:inline distT="0" distB="0" distL="0" distR="0" wp14:anchorId="3506F762" wp14:editId="674D3993">
                  <wp:extent cx="2880000" cy="1296000"/>
                  <wp:effectExtent l="0" t="0" r="0" b="0"/>
                  <wp:docPr id="17" name="Chart 17">
                    <a:extLst xmlns:a="http://schemas.openxmlformats.org/drawingml/2006/main">
                      <a:ext uri="{FF2B5EF4-FFF2-40B4-BE49-F238E27FC236}">
                        <a16:creationId xmlns:a16="http://schemas.microsoft.com/office/drawing/2014/main" id="{00000000-0008-0000-1B00-00001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c>
          <w:tcPr>
            <w:tcW w:w="4680" w:type="dxa"/>
          </w:tcPr>
          <w:p w14:paraId="7F14C823" w14:textId="77777777" w:rsidR="00D17D25" w:rsidRPr="00546048" w:rsidRDefault="00D17D25" w:rsidP="00886C5E">
            <w:pPr>
              <w:spacing w:before="60"/>
              <w:jc w:val="center"/>
              <w:rPr>
                <w:lang w:val="sr-Cyrl-RS"/>
              </w:rPr>
            </w:pPr>
            <w:r w:rsidRPr="00546048">
              <w:rPr>
                <w:lang w:val="sr-Cyrl-RS"/>
              </w:rPr>
              <w:t>Промет у трговини на мало у сталним ценама</w:t>
            </w:r>
          </w:p>
          <w:p w14:paraId="5B4ED1B6" w14:textId="77777777" w:rsidR="00D17D25" w:rsidRPr="00546048" w:rsidRDefault="00D17D25" w:rsidP="00886C5E">
            <w:pPr>
              <w:jc w:val="center"/>
              <w:rPr>
                <w:lang w:val="sr-Cyrl-RS"/>
              </w:rPr>
            </w:pPr>
            <w:r w:rsidRPr="00546048">
              <w:rPr>
                <w:noProof/>
              </w:rPr>
              <w:drawing>
                <wp:inline distT="0" distB="0" distL="0" distR="0" wp14:anchorId="18A6A77A" wp14:editId="4C73BC73">
                  <wp:extent cx="2881504" cy="1296000"/>
                  <wp:effectExtent l="0" t="0" r="0" b="0"/>
                  <wp:docPr id="5" name="Chart 5">
                    <a:extLst xmlns:a="http://schemas.openxmlformats.org/drawingml/2006/main">
                      <a:ext uri="{FF2B5EF4-FFF2-40B4-BE49-F238E27FC236}">
                        <a16:creationId xmlns:a16="http://schemas.microsoft.com/office/drawing/2014/main" id="{00000000-0008-0000-1B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r>
    </w:tbl>
    <w:p w14:paraId="3FC14B54" w14:textId="77777777" w:rsidR="00D17D25" w:rsidRPr="00546048" w:rsidRDefault="00D17D25" w:rsidP="00886C5E">
      <w:pPr>
        <w:spacing w:before="40" w:after="0"/>
        <w:jc w:val="center"/>
        <w:rPr>
          <w:rFonts w:cstheme="minorHAnsi"/>
          <w:b/>
          <w:lang w:val="sr-Cyrl-RS"/>
        </w:rPr>
      </w:pPr>
      <w:r w:rsidRPr="00546048">
        <w:rPr>
          <w:noProof/>
          <w:color w:val="FF0000"/>
        </w:rPr>
        <w:drawing>
          <wp:inline distT="0" distB="0" distL="0" distR="0" wp14:anchorId="0F116C69" wp14:editId="2A78A973">
            <wp:extent cx="4371429" cy="219048"/>
            <wp:effectExtent l="0" t="0" r="0" b="0"/>
            <wp:docPr id="2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65"/>
                    <a:stretch>
                      <a:fillRect/>
                    </a:stretch>
                  </pic:blipFill>
                  <pic:spPr>
                    <a:xfrm>
                      <a:off x="0" y="0"/>
                      <a:ext cx="4371429" cy="219048"/>
                    </a:xfrm>
                    <a:prstGeom prst="rect">
                      <a:avLst/>
                    </a:prstGeom>
                  </pic:spPr>
                </pic:pic>
              </a:graphicData>
            </a:graphic>
          </wp:inline>
        </w:drawing>
      </w:r>
    </w:p>
    <w:p w14:paraId="7573ACF4" w14:textId="77777777" w:rsidR="00D17D25" w:rsidRPr="00546048" w:rsidRDefault="00D17D25" w:rsidP="002D6E55">
      <w:pPr>
        <w:spacing w:after="0"/>
        <w:jc w:val="left"/>
        <w:rPr>
          <w:rFonts w:cstheme="minorHAnsi"/>
          <w:bCs/>
          <w:sz w:val="16"/>
          <w:szCs w:val="72"/>
          <w:lang w:val="sr-Cyrl-RS"/>
        </w:rPr>
      </w:pPr>
      <w:r w:rsidRPr="00546048">
        <w:rPr>
          <w:rFonts w:cstheme="minorHAnsi"/>
          <w:bCs/>
          <w:sz w:val="16"/>
          <w:szCs w:val="72"/>
          <w:lang w:val="sr-Cyrl-RS"/>
        </w:rPr>
        <w:t>Извор: Министарство финансија</w:t>
      </w:r>
    </w:p>
    <w:p w14:paraId="71BF0BDE" w14:textId="77777777" w:rsidR="00D17D25" w:rsidRPr="00546048" w:rsidRDefault="00D17D25" w:rsidP="002D6E55">
      <w:pPr>
        <w:tabs>
          <w:tab w:val="left" w:pos="720"/>
          <w:tab w:val="left" w:pos="1440"/>
        </w:tabs>
        <w:spacing w:after="0"/>
        <w:rPr>
          <w:rFonts w:cstheme="minorHAnsi"/>
          <w:bCs/>
          <w:szCs w:val="12"/>
          <w:lang w:val="sr-Cyrl-RS"/>
        </w:rPr>
      </w:pPr>
    </w:p>
    <w:p w14:paraId="49372DF9" w14:textId="77777777" w:rsidR="00D17D25" w:rsidRPr="00546048" w:rsidRDefault="00D17D25" w:rsidP="002D6E55">
      <w:pPr>
        <w:tabs>
          <w:tab w:val="left" w:pos="720"/>
          <w:tab w:val="left" w:pos="1440"/>
        </w:tabs>
        <w:spacing w:after="0"/>
        <w:rPr>
          <w:rFonts w:cstheme="minorHAnsi"/>
          <w:bCs/>
          <w:szCs w:val="12"/>
          <w:lang w:val="sr-Cyrl-RS"/>
        </w:rPr>
        <w:sectPr w:rsidR="00D17D25" w:rsidRPr="00546048" w:rsidSect="002D6E55">
          <w:type w:val="continuous"/>
          <w:pgSz w:w="12240" w:h="15840" w:code="1"/>
          <w:pgMar w:top="1440" w:right="1440" w:bottom="1440" w:left="1440" w:header="720" w:footer="720" w:gutter="0"/>
          <w:cols w:space="720"/>
          <w:docGrid w:linePitch="360"/>
        </w:sectPr>
      </w:pPr>
    </w:p>
    <w:p w14:paraId="64EB79B4" w14:textId="77777777" w:rsidR="00D17D25" w:rsidRPr="00546048" w:rsidRDefault="00D17D25" w:rsidP="00886C5E">
      <w:pPr>
        <w:tabs>
          <w:tab w:val="left" w:pos="720"/>
          <w:tab w:val="left" w:pos="1440"/>
        </w:tabs>
        <w:spacing w:after="80"/>
        <w:rPr>
          <w:rFonts w:cstheme="minorHAnsi"/>
          <w:bCs/>
          <w:szCs w:val="72"/>
          <w:lang w:val="sr-Cyrl-RS"/>
        </w:rPr>
      </w:pPr>
      <w:r w:rsidRPr="00546048">
        <w:rPr>
          <w:rFonts w:cstheme="minorHAnsi"/>
          <w:bCs/>
          <w:szCs w:val="72"/>
          <w:lang w:val="sr-Cyrl-RS"/>
        </w:rPr>
        <w:t>Полазећи од текућих трендова у погледу кретања привредне активности, узимајући у обзир динамику високофреквентних индикатора, економске изгледе најважнијих спољнотрговинских партнера као и глобалне економске трендове, Министарство финансија задржава процену привредног раста у 2023. години од 2,5%, уз нешто измењену структуру извора раста у односу на иницијална очекивања и матрицу ризика коју оцењујемо као благо асиметричну наниже. Очекује се да попуштање инфлације доведе до убрзања реалног раста у другој половини године, нарочито у сектору услуга посматрано са производне стране, односно приватне потрошње становништва посматрано са расходне стране.</w:t>
      </w:r>
    </w:p>
    <w:p w14:paraId="38A8DCD6" w14:textId="77777777" w:rsidR="00D17D25" w:rsidRPr="00546048" w:rsidRDefault="00D17D25" w:rsidP="002D6E55">
      <w:pPr>
        <w:tabs>
          <w:tab w:val="left" w:pos="720"/>
          <w:tab w:val="left" w:pos="1440"/>
        </w:tabs>
        <w:spacing w:after="0"/>
        <w:jc w:val="center"/>
        <w:rPr>
          <w:rFonts w:cstheme="minorHAnsi"/>
          <w:b/>
          <w:color w:val="002060"/>
          <w:spacing w:val="-4"/>
          <w:lang w:val="sr-Cyrl-RS"/>
        </w:rPr>
      </w:pPr>
      <w:r w:rsidRPr="00546048">
        <w:rPr>
          <w:rFonts w:cstheme="minorHAnsi"/>
          <w:b/>
          <w:color w:val="002060"/>
          <w:spacing w:val="-4"/>
          <w:lang w:val="sr-Cyrl-RS"/>
        </w:rPr>
        <w:t>Квартална динамика раста потребна за достизање годишње пројекције раста БДП од 2,5%</w:t>
      </w:r>
    </w:p>
    <w:p w14:paraId="412CCD8B" w14:textId="77777777" w:rsidR="00D17D25" w:rsidRPr="00546048" w:rsidRDefault="00D17D25" w:rsidP="002D6E55">
      <w:pPr>
        <w:tabs>
          <w:tab w:val="left" w:pos="720"/>
          <w:tab w:val="left" w:pos="1440"/>
        </w:tabs>
        <w:spacing w:after="0"/>
        <w:rPr>
          <w:rFonts w:cstheme="minorHAnsi"/>
          <w:bCs/>
          <w:szCs w:val="72"/>
          <w:lang w:val="sr-Cyrl-RS"/>
        </w:rPr>
      </w:pPr>
      <w:r>
        <w:rPr>
          <w:noProof/>
        </w:rPr>
        <w:drawing>
          <wp:inline distT="0" distB="0" distL="0" distR="0" wp14:anchorId="7209682E" wp14:editId="6DEEB0E2">
            <wp:extent cx="2743200" cy="1907540"/>
            <wp:effectExtent l="0" t="0" r="0" b="0"/>
            <wp:docPr id="36" name="Chart 36">
              <a:extLst xmlns:a="http://schemas.openxmlformats.org/drawingml/2006/main">
                <a:ext uri="{FF2B5EF4-FFF2-40B4-BE49-F238E27FC236}">
                  <a16:creationId xmlns:a16="http://schemas.microsoft.com/office/drawing/2014/main" id="{00000000-0008-0000-0C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6ED61221" w14:textId="77777777" w:rsidR="00D17D25" w:rsidRPr="00546048" w:rsidRDefault="00D17D25" w:rsidP="002D6E55">
      <w:pPr>
        <w:tabs>
          <w:tab w:val="left" w:pos="720"/>
          <w:tab w:val="left" w:pos="1440"/>
        </w:tabs>
        <w:spacing w:after="0"/>
        <w:rPr>
          <w:rFonts w:cstheme="minorHAnsi"/>
          <w:bCs/>
          <w:sz w:val="16"/>
          <w:szCs w:val="16"/>
          <w:lang w:val="sr-Cyrl-RS"/>
        </w:rPr>
      </w:pPr>
      <w:r w:rsidRPr="00546048">
        <w:rPr>
          <w:rFonts w:cstheme="minorHAnsi"/>
          <w:bCs/>
          <w:sz w:val="16"/>
          <w:szCs w:val="16"/>
          <w:lang w:val="sr-Cyrl-RS"/>
        </w:rPr>
        <w:t>Извор: РЗС</w:t>
      </w:r>
    </w:p>
    <w:p w14:paraId="25826484" w14:textId="77777777" w:rsidR="00D17D25" w:rsidRPr="00546048" w:rsidRDefault="00D17D25" w:rsidP="002D6E55">
      <w:pPr>
        <w:tabs>
          <w:tab w:val="left" w:pos="720"/>
          <w:tab w:val="left" w:pos="1440"/>
        </w:tabs>
        <w:spacing w:after="0"/>
        <w:rPr>
          <w:rFonts w:cstheme="minorHAnsi"/>
          <w:bCs/>
          <w:sz w:val="16"/>
          <w:szCs w:val="16"/>
          <w:lang w:val="sr-Cyrl-RS"/>
        </w:rPr>
      </w:pPr>
      <w:r w:rsidRPr="00546048">
        <w:rPr>
          <w:rFonts w:cstheme="minorHAnsi"/>
          <w:bCs/>
          <w:sz w:val="16"/>
          <w:szCs w:val="16"/>
          <w:lang w:val="sr-Cyrl-RS"/>
        </w:rPr>
        <w:t>*Процене Министарства финансија</w:t>
      </w:r>
    </w:p>
    <w:p w14:paraId="1656DE6B" w14:textId="77777777" w:rsidR="00D17D25" w:rsidRPr="00546048" w:rsidRDefault="00D17D25" w:rsidP="00886C5E">
      <w:pPr>
        <w:tabs>
          <w:tab w:val="left" w:pos="720"/>
          <w:tab w:val="left" w:pos="1440"/>
        </w:tabs>
        <w:spacing w:after="80"/>
        <w:rPr>
          <w:rFonts w:cstheme="minorHAnsi"/>
          <w:bCs/>
          <w:szCs w:val="72"/>
          <w:lang w:val="sr-Cyrl-RS"/>
        </w:rPr>
      </w:pPr>
    </w:p>
    <w:p w14:paraId="1D9F66C5" w14:textId="19C9A57D" w:rsidR="00D17D25" w:rsidRPr="00546048" w:rsidRDefault="00D17D25" w:rsidP="00886C5E">
      <w:pPr>
        <w:tabs>
          <w:tab w:val="left" w:pos="720"/>
          <w:tab w:val="left" w:pos="1440"/>
        </w:tabs>
        <w:rPr>
          <w:rFonts w:cstheme="minorHAnsi"/>
          <w:bCs/>
          <w:szCs w:val="72"/>
          <w:lang w:val="sr-Cyrl-RS"/>
        </w:rPr>
      </w:pPr>
      <w:r w:rsidRPr="00546048">
        <w:rPr>
          <w:rFonts w:cstheme="minorHAnsi"/>
          <w:bCs/>
          <w:szCs w:val="72"/>
          <w:lang w:val="sr-Cyrl-RS"/>
        </w:rPr>
        <w:lastRenderedPageBreak/>
        <w:t>Посматрано по агрегатима употребе, раст БДП у 2023. години ће у потпуности бити вођен нето извозом, док ће домаћа тражња имати негативан допринос пре свега услед утицаја промена у залихама. Активирање нових производних капацитета резултираће реалним растом извозне активности од 3</w:t>
      </w:r>
      <w:r w:rsidR="00E86B4E">
        <w:rPr>
          <w:rFonts w:cstheme="minorHAnsi"/>
          <w:bCs/>
          <w:szCs w:val="72"/>
          <w:lang w:val="sr-Latn-RS"/>
        </w:rPr>
        <w:t>,0</w:t>
      </w:r>
      <w:r w:rsidRPr="00546048">
        <w:rPr>
          <w:rFonts w:cstheme="minorHAnsi"/>
          <w:bCs/>
          <w:szCs w:val="72"/>
          <w:lang w:val="sr-Cyrl-RS"/>
        </w:rPr>
        <w:t>% упркос смањеној спољној тражњи. С друге стране, пад увоза енергената и мањи увоз репроматеријала имаће за последицу пад реалне увозне активности од 1,4%. Очекивано повећање зарада, већа запосленост и стабилан раст пензија уз давања појединим категоријама становништва резултираће наставком раста реалне личне потрошње, мада споријим темпом од претходно очекиваног. Инвестициона активност ће забележити умерен раст као резултат повећања производних капацитета привреде, а биће додатно подржана наставком радова на реализацији инфраструктурних пројеката у области путне и железничке инфраструктуре, као и значајних улагања у енергетику.</w:t>
      </w:r>
    </w:p>
    <w:p w14:paraId="07365A61" w14:textId="77777777" w:rsidR="00D17D25" w:rsidRDefault="00D17D25" w:rsidP="00886C5E">
      <w:pPr>
        <w:tabs>
          <w:tab w:val="left" w:pos="720"/>
          <w:tab w:val="left" w:pos="1440"/>
        </w:tabs>
        <w:rPr>
          <w:rFonts w:cstheme="minorHAnsi"/>
          <w:bCs/>
          <w:szCs w:val="72"/>
          <w:lang w:val="sr-Cyrl-RS"/>
        </w:rPr>
      </w:pPr>
      <w:r w:rsidRPr="00546048">
        <w:rPr>
          <w:rFonts w:cstheme="minorHAnsi"/>
          <w:bCs/>
          <w:szCs w:val="72"/>
          <w:lang w:val="sr-Cyrl-RS"/>
        </w:rPr>
        <w:t>Посматрано са производне стране, повећање креиране БДВ очекује се код свих привредних сектора. Услужни сектор и у новој пројекцији задржава улогу доминантног извора економског раста, пре свега као резултат наставка добрих кретања у ИКТ сектору, туризму, финансијским и стручно-техничким услугама. Индустријска производња наставља са солидним кретањима упркос смањеној спољној тражњи и очекује са да оствари повећање од 2,0% у 2023. години. Раст у сектору грађевине је ревидиран навише услед бољих кретања у првој половини године и убрзања у реализацији инфраструктурних пројеката. Пољопривредна сезона ће захваљујући већем приносу пшенице и очекиваном роду кукуруза и индустријског биља бити боља од вишегодишњег просека, па је раст економске активности у овом сектору ревидиран са 6,9% на 10,1%. Нето порези ће због мање од очекиване реалне приватне потрошње расти спорије него што је претходно процењено.</w:t>
      </w:r>
    </w:p>
    <w:p w14:paraId="4B35E14D" w14:textId="77777777" w:rsidR="00D17D25" w:rsidRPr="00546048" w:rsidRDefault="00D17D25" w:rsidP="00886C5E">
      <w:pPr>
        <w:tabs>
          <w:tab w:val="left" w:pos="720"/>
          <w:tab w:val="left" w:pos="1440"/>
        </w:tabs>
        <w:rPr>
          <w:rFonts w:ascii="Calibri" w:eastAsia="Calibri" w:hAnsi="Calibri" w:cs="Calibri"/>
          <w:b/>
          <w:color w:val="002060"/>
          <w:lang w:val="sr-Cyrl-RS"/>
        </w:rPr>
        <w:sectPr w:rsidR="00D17D25" w:rsidRPr="00546048" w:rsidSect="002D6E55">
          <w:type w:val="continuous"/>
          <w:pgSz w:w="12240" w:h="15840" w:code="1"/>
          <w:pgMar w:top="1440" w:right="1440" w:bottom="1440" w:left="1440" w:header="720" w:footer="720" w:gutter="0"/>
          <w:cols w:num="2" w:space="720"/>
          <w:docGrid w:linePitch="360"/>
        </w:sectPr>
      </w:pPr>
    </w:p>
    <w:p w14:paraId="6D112B4D" w14:textId="77777777" w:rsidR="00D17D25" w:rsidRPr="00546048" w:rsidRDefault="00D17D25" w:rsidP="00254447">
      <w:pPr>
        <w:spacing w:after="40"/>
        <w:jc w:val="center"/>
        <w:rPr>
          <w:rFonts w:ascii="Calibri" w:eastAsia="Calibri" w:hAnsi="Calibri" w:cs="Calibri"/>
          <w:b/>
          <w:color w:val="002060"/>
          <w:lang w:val="sr-Cyrl-RS"/>
        </w:rPr>
      </w:pPr>
      <w:r w:rsidRPr="00546048">
        <w:rPr>
          <w:rFonts w:ascii="Calibri" w:eastAsia="Calibri" w:hAnsi="Calibri" w:cs="Calibri"/>
          <w:b/>
          <w:color w:val="002060"/>
          <w:lang w:val="sr-Cyrl-RS"/>
        </w:rPr>
        <w:t>Табела 3. БДП, стопе реалног раста, %</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44"/>
        <w:gridCol w:w="1302"/>
        <w:gridCol w:w="1302"/>
        <w:gridCol w:w="1302"/>
        <w:gridCol w:w="1302"/>
        <w:gridCol w:w="1302"/>
      </w:tblGrid>
      <w:tr w:rsidR="00D17D25" w:rsidRPr="00546048" w14:paraId="5FB62FCF" w14:textId="77777777" w:rsidTr="00886C5E">
        <w:trPr>
          <w:jc w:val="center"/>
        </w:trPr>
        <w:tc>
          <w:tcPr>
            <w:tcW w:w="1520" w:type="pct"/>
            <w:tcBorders>
              <w:top w:val="single" w:sz="4" w:space="0" w:color="002060"/>
              <w:left w:val="single" w:sz="2" w:space="0" w:color="FFFFFF"/>
              <w:bottom w:val="single" w:sz="2" w:space="0" w:color="FFFFFF"/>
              <w:right w:val="single" w:sz="2" w:space="0" w:color="FFFFFF"/>
            </w:tcBorders>
          </w:tcPr>
          <w:p w14:paraId="46B70B21" w14:textId="77777777" w:rsidR="00D17D25" w:rsidRPr="00546048" w:rsidRDefault="00D17D25" w:rsidP="00886C5E">
            <w:pPr>
              <w:rPr>
                <w:rFonts w:ascii="Calibri" w:eastAsia="Calibri" w:hAnsi="Calibri" w:cs="Calibri"/>
                <w:color w:val="002060"/>
                <w:sz w:val="18"/>
                <w:lang w:val="sr-Cyrl-RS"/>
              </w:rPr>
            </w:pPr>
          </w:p>
        </w:tc>
        <w:tc>
          <w:tcPr>
            <w:tcW w:w="696" w:type="pct"/>
            <w:tcBorders>
              <w:top w:val="single" w:sz="4" w:space="0" w:color="002060"/>
              <w:left w:val="single" w:sz="2" w:space="0" w:color="FFFFFF"/>
              <w:bottom w:val="single" w:sz="4" w:space="0" w:color="002060"/>
              <w:right w:val="single" w:sz="2" w:space="0" w:color="FFFFFF"/>
            </w:tcBorders>
            <w:vAlign w:val="center"/>
          </w:tcPr>
          <w:p w14:paraId="7732C907" w14:textId="77777777" w:rsidR="00D17D25" w:rsidRPr="00546048" w:rsidRDefault="00D17D25" w:rsidP="00886C5E">
            <w:pPr>
              <w:jc w:val="center"/>
              <w:rPr>
                <w:rFonts w:ascii="Calibri" w:eastAsia="Calibri" w:hAnsi="Calibri" w:cs="Calibri"/>
                <w:color w:val="002060"/>
                <w:sz w:val="18"/>
                <w:lang w:val="sr-Cyrl-RS"/>
              </w:rPr>
            </w:pPr>
            <w:r w:rsidRPr="00546048">
              <w:rPr>
                <w:rFonts w:ascii="Calibri" w:eastAsia="Calibri" w:hAnsi="Calibri" w:cs="Calibri"/>
                <w:color w:val="002060"/>
                <w:sz w:val="18"/>
                <w:lang w:val="sr-Cyrl-RS"/>
              </w:rPr>
              <w:t>2022</w:t>
            </w:r>
            <w:r>
              <w:rPr>
                <w:rFonts w:ascii="Calibri" w:eastAsia="Calibri" w:hAnsi="Calibri" w:cs="Calibri"/>
                <w:color w:val="002060"/>
                <w:sz w:val="18"/>
                <w:lang w:val="sr-Cyrl-RS"/>
              </w:rPr>
              <w:t>*</w:t>
            </w:r>
          </w:p>
        </w:tc>
        <w:tc>
          <w:tcPr>
            <w:tcW w:w="696" w:type="pct"/>
            <w:tcBorders>
              <w:top w:val="single" w:sz="4" w:space="0" w:color="002060"/>
              <w:left w:val="single" w:sz="2" w:space="0" w:color="FFFFFF"/>
              <w:bottom w:val="single" w:sz="4" w:space="0" w:color="002060"/>
              <w:right w:val="single" w:sz="2" w:space="0" w:color="FFFFFF"/>
            </w:tcBorders>
            <w:vAlign w:val="center"/>
          </w:tcPr>
          <w:p w14:paraId="7256FBCA" w14:textId="77777777" w:rsidR="00D17D25" w:rsidRPr="00546048" w:rsidRDefault="00D17D25" w:rsidP="00886C5E">
            <w:pPr>
              <w:jc w:val="center"/>
              <w:rPr>
                <w:rFonts w:ascii="Calibri" w:eastAsia="Calibri" w:hAnsi="Calibri" w:cs="Calibri"/>
                <w:color w:val="002060"/>
                <w:sz w:val="18"/>
                <w:lang w:val="sr-Cyrl-RS"/>
              </w:rPr>
            </w:pPr>
            <w:r w:rsidRPr="00546048">
              <w:rPr>
                <w:rFonts w:ascii="Calibri" w:eastAsia="Calibri" w:hAnsi="Calibri" w:cs="Calibri"/>
                <w:color w:val="002060"/>
                <w:sz w:val="18"/>
                <w:lang w:val="sr-Cyrl-RS"/>
              </w:rPr>
              <w:t>Q1 2023</w:t>
            </w:r>
          </w:p>
        </w:tc>
        <w:tc>
          <w:tcPr>
            <w:tcW w:w="696" w:type="pct"/>
            <w:tcBorders>
              <w:top w:val="single" w:sz="4" w:space="0" w:color="002060"/>
              <w:left w:val="single" w:sz="2" w:space="0" w:color="FFFFFF"/>
              <w:bottom w:val="single" w:sz="4" w:space="0" w:color="002060"/>
              <w:right w:val="single" w:sz="2" w:space="0" w:color="FFFFFF"/>
            </w:tcBorders>
            <w:vAlign w:val="center"/>
          </w:tcPr>
          <w:p w14:paraId="0E06641B" w14:textId="77777777" w:rsidR="00D17D25" w:rsidRPr="00546048" w:rsidRDefault="00D17D25" w:rsidP="00886C5E">
            <w:pPr>
              <w:jc w:val="center"/>
              <w:rPr>
                <w:rFonts w:ascii="Calibri" w:eastAsia="Calibri" w:hAnsi="Calibri" w:cs="Calibri"/>
                <w:color w:val="002060"/>
                <w:sz w:val="18"/>
                <w:lang w:val="sr-Cyrl-RS"/>
              </w:rPr>
            </w:pPr>
            <w:r w:rsidRPr="00546048">
              <w:rPr>
                <w:rFonts w:ascii="Calibri" w:eastAsia="Calibri" w:hAnsi="Calibri" w:cs="Calibri"/>
                <w:color w:val="002060"/>
                <w:sz w:val="18"/>
                <w:lang w:val="sr-Cyrl-RS"/>
              </w:rPr>
              <w:t>Q2 2023</w:t>
            </w:r>
          </w:p>
        </w:tc>
        <w:tc>
          <w:tcPr>
            <w:tcW w:w="696" w:type="pct"/>
            <w:tcBorders>
              <w:top w:val="single" w:sz="4" w:space="0" w:color="002060"/>
              <w:left w:val="single" w:sz="2" w:space="0" w:color="FFFFFF"/>
              <w:bottom w:val="single" w:sz="4" w:space="0" w:color="002060"/>
              <w:right w:val="single" w:sz="2" w:space="0" w:color="FFFFFF"/>
            </w:tcBorders>
            <w:vAlign w:val="center"/>
          </w:tcPr>
          <w:p w14:paraId="263B0CB1" w14:textId="77777777" w:rsidR="00D17D25" w:rsidRPr="00546048" w:rsidRDefault="00D17D25" w:rsidP="00886C5E">
            <w:pPr>
              <w:jc w:val="center"/>
              <w:rPr>
                <w:rFonts w:ascii="Calibri" w:eastAsia="Calibri" w:hAnsi="Calibri" w:cs="Calibri"/>
                <w:color w:val="002060"/>
                <w:sz w:val="18"/>
                <w:lang w:val="sr-Cyrl-RS"/>
              </w:rPr>
            </w:pPr>
            <w:r w:rsidRPr="00546048">
              <w:rPr>
                <w:rFonts w:ascii="Calibri" w:eastAsia="Calibri" w:hAnsi="Calibri" w:cs="Calibri"/>
                <w:color w:val="002060"/>
                <w:sz w:val="18"/>
                <w:lang w:val="sr-Cyrl-RS"/>
              </w:rPr>
              <w:t>2023*</w:t>
            </w:r>
            <w:r>
              <w:rPr>
                <w:rFonts w:ascii="Calibri" w:eastAsia="Calibri" w:hAnsi="Calibri" w:cs="Calibri"/>
                <w:color w:val="002060"/>
                <w:sz w:val="18"/>
                <w:lang w:val="sr-Cyrl-RS"/>
              </w:rPr>
              <w:t>*</w:t>
            </w:r>
            <w:r w:rsidRPr="00546048">
              <w:rPr>
                <w:rFonts w:ascii="Calibri" w:eastAsia="Calibri" w:hAnsi="Calibri" w:cs="Calibri"/>
                <w:color w:val="002060"/>
                <w:sz w:val="18"/>
                <w:lang w:val="sr-Cyrl-RS"/>
              </w:rPr>
              <w:t xml:space="preserve"> (процена из Фискалне стратегије)</w:t>
            </w:r>
          </w:p>
        </w:tc>
        <w:tc>
          <w:tcPr>
            <w:tcW w:w="696" w:type="pct"/>
            <w:tcBorders>
              <w:top w:val="single" w:sz="4" w:space="0" w:color="002060"/>
              <w:left w:val="single" w:sz="2" w:space="0" w:color="FFFFFF"/>
              <w:bottom w:val="single" w:sz="4" w:space="0" w:color="002060"/>
              <w:right w:val="single" w:sz="2" w:space="0" w:color="FFFFFF"/>
            </w:tcBorders>
            <w:vAlign w:val="center"/>
          </w:tcPr>
          <w:p w14:paraId="4262B492" w14:textId="77777777" w:rsidR="00D17D25" w:rsidRPr="00546048" w:rsidRDefault="00D17D25" w:rsidP="00886C5E">
            <w:pPr>
              <w:jc w:val="center"/>
              <w:rPr>
                <w:rFonts w:ascii="Calibri" w:eastAsia="Calibri" w:hAnsi="Calibri" w:cs="Calibri"/>
                <w:color w:val="002060"/>
                <w:sz w:val="18"/>
                <w:lang w:val="sr-Cyrl-RS"/>
              </w:rPr>
            </w:pPr>
            <w:r w:rsidRPr="00546048">
              <w:rPr>
                <w:rFonts w:ascii="Calibri" w:eastAsia="Calibri" w:hAnsi="Calibri" w:cs="Calibri"/>
                <w:color w:val="002060"/>
                <w:sz w:val="18"/>
                <w:lang w:val="sr-Cyrl-RS"/>
              </w:rPr>
              <w:t>2023*</w:t>
            </w:r>
            <w:r>
              <w:rPr>
                <w:rFonts w:ascii="Calibri" w:eastAsia="Calibri" w:hAnsi="Calibri" w:cs="Calibri"/>
                <w:color w:val="002060"/>
                <w:sz w:val="18"/>
                <w:lang w:val="sr-Cyrl-RS"/>
              </w:rPr>
              <w:t>*</w:t>
            </w:r>
            <w:r w:rsidRPr="00546048">
              <w:rPr>
                <w:rFonts w:ascii="Calibri" w:eastAsia="Calibri" w:hAnsi="Calibri" w:cs="Calibri"/>
                <w:color w:val="002060"/>
                <w:sz w:val="18"/>
                <w:lang w:val="sr-Cyrl-RS"/>
              </w:rPr>
              <w:t xml:space="preserve"> </w:t>
            </w:r>
            <w:r w:rsidRPr="00546048">
              <w:rPr>
                <w:rFonts w:ascii="Calibri" w:eastAsia="Calibri" w:hAnsi="Calibri" w:cs="Calibri"/>
                <w:color w:val="002060"/>
                <w:sz w:val="18"/>
                <w:lang w:val="sr-Cyrl-RS"/>
              </w:rPr>
              <w:br w:type="textWrapping" w:clear="all"/>
              <w:t>(ревидирана процена)</w:t>
            </w:r>
          </w:p>
        </w:tc>
      </w:tr>
      <w:tr w:rsidR="00D17D25" w:rsidRPr="00546048" w14:paraId="2B5FA4DB" w14:textId="77777777" w:rsidTr="00886C5E">
        <w:trPr>
          <w:jc w:val="center"/>
        </w:trPr>
        <w:tc>
          <w:tcPr>
            <w:tcW w:w="1520" w:type="pct"/>
            <w:tcBorders>
              <w:top w:val="single" w:sz="2" w:space="0" w:color="FFFFFF"/>
            </w:tcBorders>
          </w:tcPr>
          <w:p w14:paraId="6B55122E" w14:textId="77777777" w:rsidR="00D17D25" w:rsidRPr="00546048" w:rsidRDefault="00D17D25" w:rsidP="00886C5E">
            <w:pPr>
              <w:ind w:left="-15"/>
              <w:rPr>
                <w:rFonts w:ascii="Calibri" w:eastAsia="Calibri" w:hAnsi="Calibri" w:cs="Calibri"/>
                <w:color w:val="002060"/>
                <w:sz w:val="18"/>
                <w:lang w:val="sr-Cyrl-RS"/>
              </w:rPr>
            </w:pPr>
            <w:r w:rsidRPr="00546048">
              <w:rPr>
                <w:rFonts w:ascii="Calibri" w:eastAsia="Calibri" w:hAnsi="Calibri" w:cs="Calibri"/>
                <w:color w:val="002060"/>
                <w:sz w:val="18"/>
                <w:lang w:val="sr-Cyrl-RS"/>
              </w:rPr>
              <w:t>БДП</w:t>
            </w:r>
          </w:p>
        </w:tc>
        <w:tc>
          <w:tcPr>
            <w:tcW w:w="696" w:type="pct"/>
            <w:tcBorders>
              <w:top w:val="single" w:sz="4" w:space="0" w:color="002060"/>
            </w:tcBorders>
          </w:tcPr>
          <w:p w14:paraId="39A763D3"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2,3</w:t>
            </w:r>
          </w:p>
        </w:tc>
        <w:tc>
          <w:tcPr>
            <w:tcW w:w="696" w:type="pct"/>
            <w:tcBorders>
              <w:top w:val="nil"/>
              <w:left w:val="nil"/>
              <w:bottom w:val="nil"/>
              <w:right w:val="nil"/>
            </w:tcBorders>
            <w:shd w:val="clear" w:color="auto" w:fill="auto"/>
            <w:vAlign w:val="center"/>
          </w:tcPr>
          <w:p w14:paraId="65AD6BE5"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0,9</w:t>
            </w:r>
          </w:p>
        </w:tc>
        <w:tc>
          <w:tcPr>
            <w:tcW w:w="696" w:type="pct"/>
            <w:tcBorders>
              <w:top w:val="nil"/>
              <w:left w:val="nil"/>
              <w:bottom w:val="nil"/>
              <w:right w:val="nil"/>
            </w:tcBorders>
            <w:shd w:val="clear" w:color="auto" w:fill="auto"/>
            <w:vAlign w:val="center"/>
          </w:tcPr>
          <w:p w14:paraId="49110CA7"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1,7</w:t>
            </w:r>
          </w:p>
        </w:tc>
        <w:tc>
          <w:tcPr>
            <w:tcW w:w="696" w:type="pct"/>
            <w:tcBorders>
              <w:top w:val="single" w:sz="4" w:space="0" w:color="002060"/>
            </w:tcBorders>
          </w:tcPr>
          <w:p w14:paraId="2E1F420E"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2,5</w:t>
            </w:r>
          </w:p>
        </w:tc>
        <w:tc>
          <w:tcPr>
            <w:tcW w:w="696" w:type="pct"/>
            <w:tcBorders>
              <w:top w:val="nil"/>
              <w:left w:val="nil"/>
              <w:bottom w:val="nil"/>
              <w:right w:val="nil"/>
            </w:tcBorders>
            <w:shd w:val="clear" w:color="auto" w:fill="auto"/>
            <w:vAlign w:val="center"/>
          </w:tcPr>
          <w:p w14:paraId="0035CF55"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2,5</w:t>
            </w:r>
          </w:p>
        </w:tc>
      </w:tr>
      <w:tr w:rsidR="00D17D25" w:rsidRPr="00546048" w14:paraId="569D595E" w14:textId="77777777" w:rsidTr="00886C5E">
        <w:trPr>
          <w:jc w:val="center"/>
        </w:trPr>
        <w:tc>
          <w:tcPr>
            <w:tcW w:w="1520" w:type="pct"/>
            <w:tcBorders>
              <w:top w:val="single" w:sz="2" w:space="0" w:color="FFFFFF"/>
            </w:tcBorders>
            <w:shd w:val="clear" w:color="auto" w:fill="E7E6E6"/>
          </w:tcPr>
          <w:p w14:paraId="0F442926" w14:textId="77777777" w:rsidR="00D17D25" w:rsidRPr="00546048" w:rsidRDefault="00D17D25" w:rsidP="00886C5E">
            <w:pPr>
              <w:jc w:val="right"/>
              <w:rPr>
                <w:rFonts w:ascii="Calibri" w:eastAsia="Calibri" w:hAnsi="Calibri" w:cs="Calibri"/>
                <w:color w:val="002060"/>
                <w:sz w:val="18"/>
                <w:lang w:val="sr-Cyrl-RS"/>
              </w:rPr>
            </w:pPr>
          </w:p>
        </w:tc>
        <w:tc>
          <w:tcPr>
            <w:tcW w:w="696" w:type="pct"/>
            <w:tcBorders>
              <w:top w:val="single" w:sz="2" w:space="0" w:color="FFFFFF"/>
            </w:tcBorders>
            <w:shd w:val="clear" w:color="auto" w:fill="E7E6E6"/>
          </w:tcPr>
          <w:p w14:paraId="44EB5286" w14:textId="77777777" w:rsidR="00D17D25" w:rsidRPr="00546048" w:rsidRDefault="00D17D25" w:rsidP="00886C5E">
            <w:pPr>
              <w:ind w:right="397"/>
              <w:jc w:val="right"/>
              <w:rPr>
                <w:rFonts w:ascii="Calibri" w:eastAsia="Calibri" w:hAnsi="Calibri" w:cs="Calibri"/>
                <w:color w:val="002060"/>
                <w:sz w:val="18"/>
                <w:lang w:val="sr-Cyrl-RS"/>
              </w:rPr>
            </w:pPr>
          </w:p>
        </w:tc>
        <w:tc>
          <w:tcPr>
            <w:tcW w:w="696" w:type="pct"/>
            <w:tcBorders>
              <w:top w:val="single" w:sz="8" w:space="0" w:color="FFFFFF"/>
              <w:left w:val="nil"/>
              <w:bottom w:val="nil"/>
              <w:right w:val="nil"/>
            </w:tcBorders>
            <w:shd w:val="clear" w:color="000000" w:fill="E7E6E6"/>
            <w:vAlign w:val="center"/>
          </w:tcPr>
          <w:p w14:paraId="12C9AF9B"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 </w:t>
            </w:r>
          </w:p>
        </w:tc>
        <w:tc>
          <w:tcPr>
            <w:tcW w:w="696" w:type="pct"/>
            <w:tcBorders>
              <w:top w:val="single" w:sz="8" w:space="0" w:color="FFFFFF"/>
              <w:left w:val="nil"/>
              <w:bottom w:val="nil"/>
              <w:right w:val="nil"/>
            </w:tcBorders>
            <w:shd w:val="clear" w:color="000000" w:fill="E7E6E6"/>
            <w:vAlign w:val="center"/>
          </w:tcPr>
          <w:p w14:paraId="5E628760"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 </w:t>
            </w:r>
          </w:p>
        </w:tc>
        <w:tc>
          <w:tcPr>
            <w:tcW w:w="696" w:type="pct"/>
            <w:tcBorders>
              <w:top w:val="single" w:sz="2" w:space="0" w:color="FFFFFF"/>
            </w:tcBorders>
            <w:shd w:val="clear" w:color="auto" w:fill="E7E6E6"/>
          </w:tcPr>
          <w:p w14:paraId="04F06551" w14:textId="77777777" w:rsidR="00D17D25" w:rsidRPr="00546048" w:rsidRDefault="00D17D25" w:rsidP="00886C5E">
            <w:pPr>
              <w:ind w:right="397"/>
              <w:jc w:val="right"/>
              <w:rPr>
                <w:rFonts w:ascii="Calibri" w:eastAsia="Calibri" w:hAnsi="Calibri" w:cs="Calibri"/>
                <w:color w:val="002060"/>
                <w:sz w:val="18"/>
                <w:lang w:val="sr-Cyrl-RS"/>
              </w:rPr>
            </w:pPr>
          </w:p>
        </w:tc>
        <w:tc>
          <w:tcPr>
            <w:tcW w:w="696" w:type="pct"/>
            <w:tcBorders>
              <w:top w:val="single" w:sz="8" w:space="0" w:color="FFFFFF"/>
              <w:left w:val="nil"/>
              <w:bottom w:val="nil"/>
              <w:right w:val="nil"/>
            </w:tcBorders>
            <w:shd w:val="clear" w:color="000000" w:fill="E7E6E6"/>
            <w:vAlign w:val="center"/>
          </w:tcPr>
          <w:p w14:paraId="156B7612"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 </w:t>
            </w:r>
          </w:p>
        </w:tc>
      </w:tr>
      <w:tr w:rsidR="00D17D25" w:rsidRPr="00546048" w14:paraId="40892F8F" w14:textId="77777777" w:rsidTr="00886C5E">
        <w:trPr>
          <w:jc w:val="center"/>
        </w:trPr>
        <w:tc>
          <w:tcPr>
            <w:tcW w:w="1520" w:type="pct"/>
          </w:tcPr>
          <w:p w14:paraId="6D7A5A44" w14:textId="77777777" w:rsidR="00D17D25" w:rsidRPr="00546048" w:rsidRDefault="00D17D25" w:rsidP="00886C5E">
            <w:pPr>
              <w:ind w:left="-15"/>
              <w:rPr>
                <w:rFonts w:ascii="Calibri" w:eastAsia="Calibri" w:hAnsi="Calibri" w:cs="Calibri"/>
                <w:color w:val="002060"/>
                <w:sz w:val="18"/>
                <w:lang w:val="sr-Cyrl-RS"/>
              </w:rPr>
            </w:pPr>
            <w:r w:rsidRPr="00546048">
              <w:rPr>
                <w:rFonts w:ascii="Calibri" w:eastAsia="Calibri" w:hAnsi="Calibri" w:cs="Calibri"/>
                <w:color w:val="002060"/>
                <w:sz w:val="18"/>
                <w:lang w:val="sr-Cyrl-RS"/>
              </w:rPr>
              <w:t>Приватна потрошња</w:t>
            </w:r>
          </w:p>
        </w:tc>
        <w:tc>
          <w:tcPr>
            <w:tcW w:w="696" w:type="pct"/>
          </w:tcPr>
          <w:p w14:paraId="09E5CADB"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3,7</w:t>
            </w:r>
          </w:p>
        </w:tc>
        <w:tc>
          <w:tcPr>
            <w:tcW w:w="696" w:type="pct"/>
            <w:tcBorders>
              <w:top w:val="nil"/>
              <w:left w:val="nil"/>
              <w:bottom w:val="nil"/>
              <w:right w:val="nil"/>
            </w:tcBorders>
            <w:shd w:val="clear" w:color="auto" w:fill="auto"/>
            <w:vAlign w:val="center"/>
          </w:tcPr>
          <w:p w14:paraId="4FA3F99E"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-0,2</w:t>
            </w:r>
          </w:p>
        </w:tc>
        <w:tc>
          <w:tcPr>
            <w:tcW w:w="696" w:type="pct"/>
            <w:tcBorders>
              <w:top w:val="nil"/>
              <w:left w:val="nil"/>
              <w:bottom w:val="nil"/>
              <w:right w:val="nil"/>
            </w:tcBorders>
            <w:shd w:val="clear" w:color="auto" w:fill="auto"/>
            <w:vAlign w:val="center"/>
          </w:tcPr>
          <w:p w14:paraId="60ABF5DE"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-0,5</w:t>
            </w:r>
          </w:p>
        </w:tc>
        <w:tc>
          <w:tcPr>
            <w:tcW w:w="696" w:type="pct"/>
          </w:tcPr>
          <w:p w14:paraId="40042CD3"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2,2</w:t>
            </w:r>
          </w:p>
        </w:tc>
        <w:tc>
          <w:tcPr>
            <w:tcW w:w="696" w:type="pct"/>
            <w:tcBorders>
              <w:top w:val="nil"/>
              <w:left w:val="nil"/>
              <w:bottom w:val="nil"/>
              <w:right w:val="nil"/>
            </w:tcBorders>
            <w:shd w:val="clear" w:color="auto" w:fill="auto"/>
            <w:vAlign w:val="center"/>
          </w:tcPr>
          <w:p w14:paraId="7B38790F"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1,0</w:t>
            </w:r>
          </w:p>
        </w:tc>
      </w:tr>
      <w:tr w:rsidR="00D17D25" w:rsidRPr="00546048" w14:paraId="19DBD97E" w14:textId="77777777" w:rsidTr="00886C5E">
        <w:trPr>
          <w:jc w:val="center"/>
        </w:trPr>
        <w:tc>
          <w:tcPr>
            <w:tcW w:w="1520" w:type="pct"/>
          </w:tcPr>
          <w:p w14:paraId="69F24535" w14:textId="77777777" w:rsidR="00D17D25" w:rsidRPr="00546048" w:rsidRDefault="00D17D25" w:rsidP="00886C5E">
            <w:pPr>
              <w:ind w:left="-15"/>
              <w:rPr>
                <w:rFonts w:ascii="Calibri" w:eastAsia="Calibri" w:hAnsi="Calibri" w:cs="Calibri"/>
                <w:color w:val="002060"/>
                <w:sz w:val="18"/>
                <w:lang w:val="sr-Cyrl-RS"/>
              </w:rPr>
            </w:pPr>
            <w:r w:rsidRPr="00546048">
              <w:rPr>
                <w:rFonts w:ascii="Calibri" w:eastAsia="Calibri" w:hAnsi="Calibri" w:cs="Calibri"/>
                <w:color w:val="002060"/>
                <w:sz w:val="18"/>
                <w:lang w:val="sr-Cyrl-RS"/>
              </w:rPr>
              <w:t>Државна потрошња</w:t>
            </w:r>
          </w:p>
        </w:tc>
        <w:tc>
          <w:tcPr>
            <w:tcW w:w="696" w:type="pct"/>
          </w:tcPr>
          <w:p w14:paraId="0E55EE4E"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0,2</w:t>
            </w:r>
          </w:p>
        </w:tc>
        <w:tc>
          <w:tcPr>
            <w:tcW w:w="696" w:type="pct"/>
            <w:tcBorders>
              <w:top w:val="nil"/>
              <w:left w:val="nil"/>
              <w:bottom w:val="nil"/>
              <w:right w:val="nil"/>
            </w:tcBorders>
            <w:shd w:val="clear" w:color="auto" w:fill="auto"/>
            <w:vAlign w:val="center"/>
          </w:tcPr>
          <w:p w14:paraId="11A3D6F8"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-4,8</w:t>
            </w:r>
          </w:p>
        </w:tc>
        <w:tc>
          <w:tcPr>
            <w:tcW w:w="696" w:type="pct"/>
            <w:tcBorders>
              <w:top w:val="nil"/>
              <w:left w:val="nil"/>
              <w:bottom w:val="nil"/>
              <w:right w:val="nil"/>
            </w:tcBorders>
            <w:shd w:val="clear" w:color="auto" w:fill="auto"/>
            <w:vAlign w:val="center"/>
          </w:tcPr>
          <w:p w14:paraId="557A9726"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-1,1</w:t>
            </w:r>
          </w:p>
        </w:tc>
        <w:tc>
          <w:tcPr>
            <w:tcW w:w="696" w:type="pct"/>
          </w:tcPr>
          <w:p w14:paraId="5B056957"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-1,5</w:t>
            </w:r>
          </w:p>
        </w:tc>
        <w:tc>
          <w:tcPr>
            <w:tcW w:w="696" w:type="pct"/>
            <w:tcBorders>
              <w:top w:val="nil"/>
              <w:left w:val="nil"/>
              <w:bottom w:val="nil"/>
              <w:right w:val="nil"/>
            </w:tcBorders>
            <w:shd w:val="clear" w:color="auto" w:fill="auto"/>
            <w:vAlign w:val="center"/>
          </w:tcPr>
          <w:p w14:paraId="79A714F4"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-1,3</w:t>
            </w:r>
          </w:p>
        </w:tc>
      </w:tr>
      <w:tr w:rsidR="00D17D25" w:rsidRPr="00546048" w14:paraId="7C87EC82" w14:textId="77777777" w:rsidTr="00886C5E">
        <w:trPr>
          <w:jc w:val="center"/>
        </w:trPr>
        <w:tc>
          <w:tcPr>
            <w:tcW w:w="1520" w:type="pct"/>
          </w:tcPr>
          <w:p w14:paraId="22336C33" w14:textId="77777777" w:rsidR="00D17D25" w:rsidRPr="00546048" w:rsidRDefault="00D17D25" w:rsidP="00886C5E">
            <w:pPr>
              <w:ind w:left="-15"/>
              <w:rPr>
                <w:rFonts w:ascii="Calibri" w:eastAsia="Calibri" w:hAnsi="Calibri" w:cs="Calibri"/>
                <w:color w:val="002060"/>
                <w:sz w:val="18"/>
                <w:lang w:val="sr-Cyrl-RS"/>
              </w:rPr>
            </w:pPr>
            <w:r w:rsidRPr="00546048">
              <w:rPr>
                <w:rFonts w:ascii="Calibri" w:eastAsia="Calibri" w:hAnsi="Calibri" w:cs="Calibri"/>
                <w:color w:val="002060"/>
                <w:sz w:val="18"/>
                <w:lang w:val="sr-Cyrl-RS"/>
              </w:rPr>
              <w:t>Инвестиције у основна средства</w:t>
            </w:r>
          </w:p>
        </w:tc>
        <w:tc>
          <w:tcPr>
            <w:tcW w:w="696" w:type="pct"/>
          </w:tcPr>
          <w:p w14:paraId="29CAA790"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-0,6</w:t>
            </w:r>
          </w:p>
        </w:tc>
        <w:tc>
          <w:tcPr>
            <w:tcW w:w="696" w:type="pct"/>
            <w:tcBorders>
              <w:top w:val="nil"/>
              <w:left w:val="nil"/>
              <w:bottom w:val="nil"/>
              <w:right w:val="nil"/>
            </w:tcBorders>
            <w:shd w:val="clear" w:color="auto" w:fill="auto"/>
            <w:vAlign w:val="center"/>
          </w:tcPr>
          <w:p w14:paraId="5E8AFA48"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2,2</w:t>
            </w:r>
          </w:p>
        </w:tc>
        <w:tc>
          <w:tcPr>
            <w:tcW w:w="696" w:type="pct"/>
            <w:tcBorders>
              <w:top w:val="nil"/>
              <w:left w:val="nil"/>
              <w:bottom w:val="nil"/>
              <w:right w:val="nil"/>
            </w:tcBorders>
            <w:shd w:val="clear" w:color="auto" w:fill="auto"/>
            <w:vAlign w:val="center"/>
          </w:tcPr>
          <w:p w14:paraId="14B07420"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3,9</w:t>
            </w:r>
          </w:p>
        </w:tc>
        <w:tc>
          <w:tcPr>
            <w:tcW w:w="696" w:type="pct"/>
          </w:tcPr>
          <w:p w14:paraId="5063AC8B"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2,6</w:t>
            </w:r>
          </w:p>
        </w:tc>
        <w:tc>
          <w:tcPr>
            <w:tcW w:w="696" w:type="pct"/>
            <w:tcBorders>
              <w:top w:val="nil"/>
              <w:left w:val="nil"/>
              <w:bottom w:val="nil"/>
              <w:right w:val="nil"/>
            </w:tcBorders>
            <w:shd w:val="clear" w:color="auto" w:fill="auto"/>
            <w:vAlign w:val="center"/>
          </w:tcPr>
          <w:p w14:paraId="1ADF1DD3"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3,1</w:t>
            </w:r>
          </w:p>
        </w:tc>
      </w:tr>
      <w:tr w:rsidR="00D17D25" w:rsidRPr="00546048" w14:paraId="74CE327D" w14:textId="77777777" w:rsidTr="00886C5E">
        <w:trPr>
          <w:jc w:val="center"/>
        </w:trPr>
        <w:tc>
          <w:tcPr>
            <w:tcW w:w="1520" w:type="pct"/>
          </w:tcPr>
          <w:p w14:paraId="058934A9" w14:textId="77777777" w:rsidR="00D17D25" w:rsidRPr="00546048" w:rsidRDefault="00D17D25" w:rsidP="00886C5E">
            <w:pPr>
              <w:ind w:left="-15"/>
              <w:rPr>
                <w:rFonts w:ascii="Calibri" w:eastAsia="Calibri" w:hAnsi="Calibri" w:cs="Calibri"/>
                <w:color w:val="002060"/>
                <w:sz w:val="18"/>
                <w:lang w:val="sr-Cyrl-RS"/>
              </w:rPr>
            </w:pPr>
            <w:r w:rsidRPr="00546048">
              <w:rPr>
                <w:rFonts w:ascii="Calibri" w:eastAsia="Calibri" w:hAnsi="Calibri" w:cs="Calibri"/>
                <w:color w:val="002060"/>
                <w:sz w:val="18"/>
                <w:lang w:val="sr-Cyrl-RS"/>
              </w:rPr>
              <w:t>Извоз робе и услуга</w:t>
            </w:r>
          </w:p>
        </w:tc>
        <w:tc>
          <w:tcPr>
            <w:tcW w:w="696" w:type="pct"/>
          </w:tcPr>
          <w:p w14:paraId="7BB5ED90"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17,6</w:t>
            </w:r>
          </w:p>
        </w:tc>
        <w:tc>
          <w:tcPr>
            <w:tcW w:w="696" w:type="pct"/>
            <w:tcBorders>
              <w:top w:val="nil"/>
              <w:left w:val="nil"/>
              <w:bottom w:val="nil"/>
              <w:right w:val="nil"/>
            </w:tcBorders>
            <w:shd w:val="clear" w:color="auto" w:fill="auto"/>
            <w:vAlign w:val="center"/>
          </w:tcPr>
          <w:p w14:paraId="0D67BA08"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8,3</w:t>
            </w:r>
          </w:p>
        </w:tc>
        <w:tc>
          <w:tcPr>
            <w:tcW w:w="696" w:type="pct"/>
            <w:tcBorders>
              <w:top w:val="nil"/>
              <w:left w:val="nil"/>
              <w:bottom w:val="nil"/>
              <w:right w:val="nil"/>
            </w:tcBorders>
            <w:shd w:val="clear" w:color="auto" w:fill="auto"/>
            <w:vAlign w:val="center"/>
          </w:tcPr>
          <w:p w14:paraId="5F587D2D"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2,1</w:t>
            </w:r>
          </w:p>
        </w:tc>
        <w:tc>
          <w:tcPr>
            <w:tcW w:w="696" w:type="pct"/>
          </w:tcPr>
          <w:p w14:paraId="60C710FF"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5,1</w:t>
            </w:r>
          </w:p>
        </w:tc>
        <w:tc>
          <w:tcPr>
            <w:tcW w:w="696" w:type="pct"/>
            <w:tcBorders>
              <w:top w:val="nil"/>
              <w:left w:val="nil"/>
              <w:bottom w:val="nil"/>
              <w:right w:val="nil"/>
            </w:tcBorders>
            <w:shd w:val="clear" w:color="auto" w:fill="auto"/>
            <w:vAlign w:val="center"/>
          </w:tcPr>
          <w:p w14:paraId="4FE3E4D2"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3,0</w:t>
            </w:r>
          </w:p>
        </w:tc>
      </w:tr>
      <w:tr w:rsidR="00D17D25" w:rsidRPr="00546048" w14:paraId="0F9E3456" w14:textId="77777777" w:rsidTr="00886C5E">
        <w:trPr>
          <w:jc w:val="center"/>
        </w:trPr>
        <w:tc>
          <w:tcPr>
            <w:tcW w:w="1520" w:type="pct"/>
          </w:tcPr>
          <w:p w14:paraId="2573DC53" w14:textId="77777777" w:rsidR="00D17D25" w:rsidRPr="00546048" w:rsidRDefault="00D17D25" w:rsidP="00886C5E">
            <w:pPr>
              <w:ind w:left="-15"/>
              <w:rPr>
                <w:rFonts w:ascii="Calibri" w:eastAsia="Calibri" w:hAnsi="Calibri" w:cs="Calibri"/>
                <w:color w:val="002060"/>
                <w:sz w:val="18"/>
                <w:lang w:val="sr-Cyrl-RS"/>
              </w:rPr>
            </w:pPr>
            <w:r w:rsidRPr="00546048">
              <w:rPr>
                <w:rFonts w:ascii="Calibri" w:eastAsia="Calibri" w:hAnsi="Calibri" w:cs="Calibri"/>
                <w:color w:val="002060"/>
                <w:sz w:val="18"/>
                <w:lang w:val="sr-Cyrl-RS"/>
              </w:rPr>
              <w:t>Увоз робе и услуга</w:t>
            </w:r>
          </w:p>
        </w:tc>
        <w:tc>
          <w:tcPr>
            <w:tcW w:w="696" w:type="pct"/>
          </w:tcPr>
          <w:p w14:paraId="68D819D1"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17,8</w:t>
            </w:r>
          </w:p>
        </w:tc>
        <w:tc>
          <w:tcPr>
            <w:tcW w:w="696" w:type="pct"/>
            <w:tcBorders>
              <w:top w:val="nil"/>
              <w:left w:val="nil"/>
              <w:bottom w:val="nil"/>
              <w:right w:val="nil"/>
            </w:tcBorders>
            <w:shd w:val="clear" w:color="auto" w:fill="auto"/>
            <w:vAlign w:val="center"/>
          </w:tcPr>
          <w:p w14:paraId="45635392"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-1,6</w:t>
            </w:r>
          </w:p>
        </w:tc>
        <w:tc>
          <w:tcPr>
            <w:tcW w:w="696" w:type="pct"/>
            <w:tcBorders>
              <w:top w:val="nil"/>
              <w:left w:val="nil"/>
              <w:bottom w:val="nil"/>
              <w:right w:val="nil"/>
            </w:tcBorders>
            <w:shd w:val="clear" w:color="auto" w:fill="auto"/>
            <w:vAlign w:val="center"/>
          </w:tcPr>
          <w:p w14:paraId="0E89F06B"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-5,8</w:t>
            </w:r>
          </w:p>
        </w:tc>
        <w:tc>
          <w:tcPr>
            <w:tcW w:w="696" w:type="pct"/>
          </w:tcPr>
          <w:p w14:paraId="5CD8ED52"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3,8</w:t>
            </w:r>
          </w:p>
        </w:tc>
        <w:tc>
          <w:tcPr>
            <w:tcW w:w="696" w:type="pct"/>
            <w:tcBorders>
              <w:top w:val="nil"/>
              <w:left w:val="nil"/>
              <w:bottom w:val="nil"/>
              <w:right w:val="nil"/>
            </w:tcBorders>
            <w:shd w:val="clear" w:color="auto" w:fill="auto"/>
            <w:vAlign w:val="center"/>
          </w:tcPr>
          <w:p w14:paraId="09154254"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-1,4</w:t>
            </w:r>
          </w:p>
        </w:tc>
      </w:tr>
      <w:tr w:rsidR="00D17D25" w:rsidRPr="00546048" w14:paraId="5E1DD62F" w14:textId="77777777" w:rsidTr="00886C5E">
        <w:trPr>
          <w:trHeight w:val="144"/>
          <w:jc w:val="center"/>
        </w:trPr>
        <w:tc>
          <w:tcPr>
            <w:tcW w:w="1520" w:type="pct"/>
            <w:shd w:val="clear" w:color="auto" w:fill="E7E6E6"/>
          </w:tcPr>
          <w:p w14:paraId="434A73F9" w14:textId="77777777" w:rsidR="00D17D25" w:rsidRPr="00546048" w:rsidRDefault="00D17D25" w:rsidP="00886C5E">
            <w:pPr>
              <w:ind w:left="-15"/>
              <w:jc w:val="right"/>
              <w:rPr>
                <w:rFonts w:ascii="Calibri" w:eastAsia="Calibri" w:hAnsi="Calibri" w:cs="Calibri"/>
                <w:color w:val="002060"/>
                <w:sz w:val="18"/>
                <w:lang w:val="sr-Cyrl-RS"/>
              </w:rPr>
            </w:pPr>
          </w:p>
        </w:tc>
        <w:tc>
          <w:tcPr>
            <w:tcW w:w="696" w:type="pct"/>
            <w:shd w:val="clear" w:color="auto" w:fill="E7E6E6"/>
          </w:tcPr>
          <w:p w14:paraId="1A500228" w14:textId="77777777" w:rsidR="00D17D25" w:rsidRPr="00546048" w:rsidRDefault="00D17D25" w:rsidP="00886C5E">
            <w:pPr>
              <w:ind w:left="-15" w:right="397"/>
              <w:jc w:val="right"/>
              <w:rPr>
                <w:rFonts w:ascii="Calibri" w:eastAsia="Calibri" w:hAnsi="Calibri" w:cs="Calibri"/>
                <w:color w:val="002060"/>
                <w:sz w:val="18"/>
                <w:lang w:val="sr-Cyrl-RS"/>
              </w:rPr>
            </w:pPr>
          </w:p>
        </w:tc>
        <w:tc>
          <w:tcPr>
            <w:tcW w:w="696" w:type="pct"/>
            <w:tcBorders>
              <w:top w:val="nil"/>
              <w:left w:val="nil"/>
              <w:bottom w:val="nil"/>
              <w:right w:val="nil"/>
            </w:tcBorders>
            <w:shd w:val="clear" w:color="000000" w:fill="E7E6E6"/>
            <w:vAlign w:val="center"/>
          </w:tcPr>
          <w:p w14:paraId="0A6F8530" w14:textId="77777777" w:rsidR="00D17D25" w:rsidRPr="00546048" w:rsidRDefault="00D17D25" w:rsidP="00886C5E">
            <w:pPr>
              <w:ind w:left="-15"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 </w:t>
            </w:r>
          </w:p>
        </w:tc>
        <w:tc>
          <w:tcPr>
            <w:tcW w:w="696" w:type="pct"/>
            <w:tcBorders>
              <w:top w:val="nil"/>
              <w:left w:val="nil"/>
              <w:bottom w:val="nil"/>
              <w:right w:val="nil"/>
            </w:tcBorders>
            <w:shd w:val="clear" w:color="000000" w:fill="E7E6E6"/>
            <w:vAlign w:val="center"/>
          </w:tcPr>
          <w:p w14:paraId="73552EF1" w14:textId="77777777" w:rsidR="00D17D25" w:rsidRPr="00546048" w:rsidRDefault="00D17D25" w:rsidP="00886C5E">
            <w:pPr>
              <w:ind w:left="-15"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 </w:t>
            </w:r>
          </w:p>
        </w:tc>
        <w:tc>
          <w:tcPr>
            <w:tcW w:w="696" w:type="pct"/>
            <w:shd w:val="clear" w:color="auto" w:fill="E7E6E6"/>
          </w:tcPr>
          <w:p w14:paraId="25F6CFB5" w14:textId="77777777" w:rsidR="00D17D25" w:rsidRPr="00546048" w:rsidRDefault="00D17D25" w:rsidP="00886C5E">
            <w:pPr>
              <w:ind w:left="-15" w:right="397"/>
              <w:jc w:val="right"/>
              <w:rPr>
                <w:rFonts w:ascii="Calibri" w:eastAsia="Calibri" w:hAnsi="Calibri" w:cs="Calibri"/>
                <w:color w:val="002060"/>
                <w:sz w:val="18"/>
                <w:lang w:val="sr-Cyrl-RS"/>
              </w:rPr>
            </w:pPr>
          </w:p>
        </w:tc>
        <w:tc>
          <w:tcPr>
            <w:tcW w:w="696" w:type="pct"/>
            <w:tcBorders>
              <w:top w:val="nil"/>
              <w:left w:val="nil"/>
              <w:bottom w:val="nil"/>
              <w:right w:val="nil"/>
            </w:tcBorders>
            <w:shd w:val="clear" w:color="000000" w:fill="E7E6E6"/>
            <w:vAlign w:val="center"/>
          </w:tcPr>
          <w:p w14:paraId="088B2BD9" w14:textId="77777777" w:rsidR="00D17D25" w:rsidRPr="00546048" w:rsidRDefault="00D17D25" w:rsidP="00886C5E">
            <w:pPr>
              <w:ind w:left="-15"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 </w:t>
            </w:r>
          </w:p>
        </w:tc>
      </w:tr>
      <w:tr w:rsidR="00D17D25" w:rsidRPr="00546048" w14:paraId="21FBD023" w14:textId="77777777" w:rsidTr="00886C5E">
        <w:trPr>
          <w:jc w:val="center"/>
        </w:trPr>
        <w:tc>
          <w:tcPr>
            <w:tcW w:w="1520" w:type="pct"/>
          </w:tcPr>
          <w:p w14:paraId="39AEA550" w14:textId="77777777" w:rsidR="00D17D25" w:rsidRPr="00546048" w:rsidRDefault="00D17D25" w:rsidP="00886C5E">
            <w:pPr>
              <w:ind w:left="-15"/>
              <w:rPr>
                <w:rFonts w:ascii="Calibri" w:eastAsia="Calibri" w:hAnsi="Calibri" w:cs="Calibri"/>
                <w:color w:val="002060"/>
                <w:sz w:val="18"/>
                <w:lang w:val="sr-Cyrl-RS"/>
              </w:rPr>
            </w:pPr>
            <w:r w:rsidRPr="00546048">
              <w:rPr>
                <w:rFonts w:ascii="Calibri" w:eastAsia="Calibri" w:hAnsi="Calibri" w:cs="Calibri"/>
                <w:color w:val="002060"/>
                <w:sz w:val="18"/>
                <w:lang w:val="sr-Cyrl-RS"/>
              </w:rPr>
              <w:t>Пољопривреда</w:t>
            </w:r>
          </w:p>
        </w:tc>
        <w:tc>
          <w:tcPr>
            <w:tcW w:w="696" w:type="pct"/>
          </w:tcPr>
          <w:p w14:paraId="7C08B88A"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-8,3</w:t>
            </w:r>
          </w:p>
        </w:tc>
        <w:tc>
          <w:tcPr>
            <w:tcW w:w="696" w:type="pct"/>
            <w:tcBorders>
              <w:top w:val="nil"/>
              <w:left w:val="nil"/>
              <w:bottom w:val="nil"/>
              <w:right w:val="nil"/>
            </w:tcBorders>
            <w:shd w:val="clear" w:color="auto" w:fill="auto"/>
            <w:vAlign w:val="center"/>
          </w:tcPr>
          <w:p w14:paraId="759C7519"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10,5</w:t>
            </w:r>
          </w:p>
        </w:tc>
        <w:tc>
          <w:tcPr>
            <w:tcW w:w="696" w:type="pct"/>
            <w:tcBorders>
              <w:top w:val="nil"/>
              <w:left w:val="nil"/>
              <w:bottom w:val="nil"/>
              <w:right w:val="nil"/>
            </w:tcBorders>
            <w:shd w:val="clear" w:color="auto" w:fill="auto"/>
            <w:vAlign w:val="center"/>
          </w:tcPr>
          <w:p w14:paraId="0E4540BD"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9,3</w:t>
            </w:r>
          </w:p>
        </w:tc>
        <w:tc>
          <w:tcPr>
            <w:tcW w:w="696" w:type="pct"/>
          </w:tcPr>
          <w:p w14:paraId="11D1417E"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6,9</w:t>
            </w:r>
          </w:p>
        </w:tc>
        <w:tc>
          <w:tcPr>
            <w:tcW w:w="696" w:type="pct"/>
            <w:tcBorders>
              <w:top w:val="nil"/>
              <w:left w:val="nil"/>
              <w:bottom w:val="nil"/>
              <w:right w:val="nil"/>
            </w:tcBorders>
            <w:shd w:val="clear" w:color="auto" w:fill="auto"/>
            <w:vAlign w:val="center"/>
          </w:tcPr>
          <w:p w14:paraId="23CA4668"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10,1</w:t>
            </w:r>
          </w:p>
        </w:tc>
      </w:tr>
      <w:tr w:rsidR="00D17D25" w:rsidRPr="00546048" w14:paraId="5C7D9608" w14:textId="77777777" w:rsidTr="00886C5E">
        <w:trPr>
          <w:jc w:val="center"/>
        </w:trPr>
        <w:tc>
          <w:tcPr>
            <w:tcW w:w="1520" w:type="pct"/>
          </w:tcPr>
          <w:p w14:paraId="546C85B6" w14:textId="77777777" w:rsidR="00D17D25" w:rsidRPr="00546048" w:rsidRDefault="00D17D25" w:rsidP="00886C5E">
            <w:pPr>
              <w:ind w:left="-15"/>
              <w:rPr>
                <w:rFonts w:ascii="Calibri" w:eastAsia="Calibri" w:hAnsi="Calibri" w:cs="Calibri"/>
                <w:color w:val="002060"/>
                <w:sz w:val="18"/>
                <w:lang w:val="sr-Cyrl-RS"/>
              </w:rPr>
            </w:pPr>
            <w:r w:rsidRPr="00546048">
              <w:rPr>
                <w:rFonts w:ascii="Calibri" w:eastAsia="Calibri" w:hAnsi="Calibri" w:cs="Calibri"/>
                <w:color w:val="002060"/>
                <w:sz w:val="18"/>
                <w:lang w:val="sr-Cyrl-RS"/>
              </w:rPr>
              <w:t>Индустрија</w:t>
            </w:r>
          </w:p>
        </w:tc>
        <w:tc>
          <w:tcPr>
            <w:tcW w:w="696" w:type="pct"/>
          </w:tcPr>
          <w:p w14:paraId="62527D64"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1,8</w:t>
            </w:r>
          </w:p>
        </w:tc>
        <w:tc>
          <w:tcPr>
            <w:tcW w:w="696" w:type="pct"/>
            <w:tcBorders>
              <w:top w:val="nil"/>
              <w:left w:val="nil"/>
              <w:bottom w:val="nil"/>
              <w:right w:val="nil"/>
            </w:tcBorders>
            <w:shd w:val="clear" w:color="auto" w:fill="auto"/>
            <w:vAlign w:val="center"/>
          </w:tcPr>
          <w:p w14:paraId="11A16336"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2,5</w:t>
            </w:r>
          </w:p>
        </w:tc>
        <w:tc>
          <w:tcPr>
            <w:tcW w:w="696" w:type="pct"/>
            <w:tcBorders>
              <w:top w:val="nil"/>
              <w:left w:val="nil"/>
              <w:bottom w:val="nil"/>
              <w:right w:val="nil"/>
            </w:tcBorders>
            <w:shd w:val="clear" w:color="auto" w:fill="auto"/>
            <w:vAlign w:val="center"/>
          </w:tcPr>
          <w:p w14:paraId="7767C816"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0,8</w:t>
            </w:r>
          </w:p>
        </w:tc>
        <w:tc>
          <w:tcPr>
            <w:tcW w:w="696" w:type="pct"/>
          </w:tcPr>
          <w:p w14:paraId="6373DA0B"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2,2</w:t>
            </w:r>
          </w:p>
        </w:tc>
        <w:tc>
          <w:tcPr>
            <w:tcW w:w="696" w:type="pct"/>
            <w:tcBorders>
              <w:top w:val="nil"/>
              <w:left w:val="nil"/>
              <w:bottom w:val="nil"/>
              <w:right w:val="nil"/>
            </w:tcBorders>
            <w:shd w:val="clear" w:color="auto" w:fill="auto"/>
            <w:vAlign w:val="center"/>
          </w:tcPr>
          <w:p w14:paraId="6E80C11E"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2,0</w:t>
            </w:r>
          </w:p>
        </w:tc>
      </w:tr>
      <w:tr w:rsidR="00D17D25" w:rsidRPr="00546048" w14:paraId="209DCB14" w14:textId="77777777" w:rsidTr="00886C5E">
        <w:trPr>
          <w:jc w:val="center"/>
        </w:trPr>
        <w:tc>
          <w:tcPr>
            <w:tcW w:w="1520" w:type="pct"/>
          </w:tcPr>
          <w:p w14:paraId="58F18DBE" w14:textId="77777777" w:rsidR="00D17D25" w:rsidRPr="00546048" w:rsidRDefault="00D17D25" w:rsidP="00886C5E">
            <w:pPr>
              <w:ind w:left="-15"/>
              <w:rPr>
                <w:rFonts w:ascii="Calibri" w:eastAsia="Calibri" w:hAnsi="Calibri" w:cs="Calibri"/>
                <w:color w:val="002060"/>
                <w:sz w:val="18"/>
                <w:lang w:val="sr-Cyrl-RS"/>
              </w:rPr>
            </w:pPr>
            <w:r w:rsidRPr="00546048">
              <w:rPr>
                <w:rFonts w:ascii="Calibri" w:eastAsia="Calibri" w:hAnsi="Calibri" w:cs="Calibri"/>
                <w:color w:val="002060"/>
                <w:sz w:val="18"/>
                <w:lang w:val="sr-Cyrl-RS"/>
              </w:rPr>
              <w:t>Грађевинарство</w:t>
            </w:r>
          </w:p>
        </w:tc>
        <w:tc>
          <w:tcPr>
            <w:tcW w:w="696" w:type="pct"/>
          </w:tcPr>
          <w:p w14:paraId="45D78DE3"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-9,8</w:t>
            </w:r>
          </w:p>
        </w:tc>
        <w:tc>
          <w:tcPr>
            <w:tcW w:w="696" w:type="pct"/>
            <w:tcBorders>
              <w:top w:val="nil"/>
              <w:left w:val="nil"/>
              <w:bottom w:val="nil"/>
              <w:right w:val="nil"/>
            </w:tcBorders>
            <w:shd w:val="clear" w:color="auto" w:fill="auto"/>
            <w:vAlign w:val="center"/>
          </w:tcPr>
          <w:p w14:paraId="796B0B76"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-1,4</w:t>
            </w:r>
          </w:p>
        </w:tc>
        <w:tc>
          <w:tcPr>
            <w:tcW w:w="696" w:type="pct"/>
            <w:tcBorders>
              <w:top w:val="nil"/>
              <w:left w:val="nil"/>
              <w:bottom w:val="nil"/>
              <w:right w:val="nil"/>
            </w:tcBorders>
            <w:shd w:val="clear" w:color="auto" w:fill="auto"/>
            <w:vAlign w:val="center"/>
          </w:tcPr>
          <w:p w14:paraId="1AA3B172"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15,1</w:t>
            </w:r>
          </w:p>
        </w:tc>
        <w:tc>
          <w:tcPr>
            <w:tcW w:w="696" w:type="pct"/>
          </w:tcPr>
          <w:p w14:paraId="14DB1465"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1,1</w:t>
            </w:r>
          </w:p>
        </w:tc>
        <w:tc>
          <w:tcPr>
            <w:tcW w:w="696" w:type="pct"/>
            <w:tcBorders>
              <w:top w:val="nil"/>
              <w:left w:val="nil"/>
              <w:bottom w:val="nil"/>
              <w:right w:val="nil"/>
            </w:tcBorders>
            <w:shd w:val="clear" w:color="auto" w:fill="auto"/>
            <w:vAlign w:val="center"/>
          </w:tcPr>
          <w:p w14:paraId="33AA2016"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8,6</w:t>
            </w:r>
          </w:p>
        </w:tc>
      </w:tr>
      <w:tr w:rsidR="00D17D25" w:rsidRPr="00546048" w14:paraId="44B76B7F" w14:textId="77777777" w:rsidTr="00886C5E">
        <w:trPr>
          <w:trHeight w:val="163"/>
          <w:jc w:val="center"/>
        </w:trPr>
        <w:tc>
          <w:tcPr>
            <w:tcW w:w="1520" w:type="pct"/>
          </w:tcPr>
          <w:p w14:paraId="608484FF" w14:textId="77777777" w:rsidR="00D17D25" w:rsidRPr="00546048" w:rsidRDefault="00D17D25" w:rsidP="00886C5E">
            <w:pPr>
              <w:ind w:left="-15"/>
              <w:rPr>
                <w:rFonts w:ascii="Calibri" w:eastAsia="Calibri" w:hAnsi="Calibri" w:cs="Calibri"/>
                <w:color w:val="002060"/>
                <w:sz w:val="18"/>
                <w:lang w:val="sr-Cyrl-RS"/>
              </w:rPr>
            </w:pPr>
            <w:r w:rsidRPr="00546048">
              <w:rPr>
                <w:rFonts w:ascii="Calibri" w:eastAsia="Calibri" w:hAnsi="Calibri" w:cs="Calibri"/>
                <w:color w:val="002060"/>
                <w:sz w:val="18"/>
                <w:lang w:val="sr-Cyrl-RS"/>
              </w:rPr>
              <w:t>Услуге</w:t>
            </w:r>
          </w:p>
        </w:tc>
        <w:tc>
          <w:tcPr>
            <w:tcW w:w="696" w:type="pct"/>
          </w:tcPr>
          <w:p w14:paraId="56EF1675" w14:textId="77777777" w:rsidR="00D17D25" w:rsidRPr="00546048" w:rsidRDefault="00D17D25" w:rsidP="00886C5E">
            <w:pPr>
              <w:tabs>
                <w:tab w:val="left" w:pos="420"/>
                <w:tab w:val="center" w:pos="586"/>
              </w:tabs>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4,5</w:t>
            </w:r>
          </w:p>
        </w:tc>
        <w:tc>
          <w:tcPr>
            <w:tcW w:w="696" w:type="pct"/>
            <w:tcBorders>
              <w:top w:val="nil"/>
              <w:left w:val="nil"/>
              <w:bottom w:val="nil"/>
              <w:right w:val="nil"/>
            </w:tcBorders>
            <w:shd w:val="clear" w:color="auto" w:fill="auto"/>
            <w:vAlign w:val="center"/>
          </w:tcPr>
          <w:p w14:paraId="2D3D6EF5"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1,1</w:t>
            </w:r>
          </w:p>
        </w:tc>
        <w:tc>
          <w:tcPr>
            <w:tcW w:w="696" w:type="pct"/>
            <w:tcBorders>
              <w:top w:val="nil"/>
              <w:left w:val="nil"/>
              <w:bottom w:val="nil"/>
              <w:right w:val="nil"/>
            </w:tcBorders>
            <w:shd w:val="clear" w:color="auto" w:fill="auto"/>
            <w:vAlign w:val="center"/>
          </w:tcPr>
          <w:p w14:paraId="28D6686C"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1,2</w:t>
            </w:r>
          </w:p>
        </w:tc>
        <w:tc>
          <w:tcPr>
            <w:tcW w:w="696" w:type="pct"/>
          </w:tcPr>
          <w:p w14:paraId="4470D2A6"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2,3</w:t>
            </w:r>
          </w:p>
        </w:tc>
        <w:tc>
          <w:tcPr>
            <w:tcW w:w="696" w:type="pct"/>
            <w:tcBorders>
              <w:top w:val="nil"/>
              <w:left w:val="nil"/>
              <w:bottom w:val="nil"/>
              <w:right w:val="nil"/>
            </w:tcBorders>
            <w:shd w:val="clear" w:color="auto" w:fill="auto"/>
            <w:vAlign w:val="center"/>
          </w:tcPr>
          <w:p w14:paraId="374DF4DC"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2,0</w:t>
            </w:r>
          </w:p>
        </w:tc>
      </w:tr>
      <w:tr w:rsidR="00D17D25" w:rsidRPr="00546048" w14:paraId="67FD4CB7" w14:textId="77777777" w:rsidTr="00886C5E">
        <w:trPr>
          <w:trHeight w:val="163"/>
          <w:jc w:val="center"/>
        </w:trPr>
        <w:tc>
          <w:tcPr>
            <w:tcW w:w="1520" w:type="pct"/>
            <w:tcBorders>
              <w:bottom w:val="single" w:sz="4" w:space="0" w:color="002060"/>
            </w:tcBorders>
          </w:tcPr>
          <w:p w14:paraId="4BA3BD3B" w14:textId="77777777" w:rsidR="00D17D25" w:rsidRPr="00546048" w:rsidRDefault="00D17D25" w:rsidP="00886C5E">
            <w:pPr>
              <w:ind w:left="-15"/>
              <w:rPr>
                <w:rFonts w:ascii="Calibri" w:eastAsia="Calibri" w:hAnsi="Calibri" w:cs="Calibri"/>
                <w:color w:val="002060"/>
                <w:sz w:val="18"/>
                <w:lang w:val="sr-Cyrl-RS"/>
              </w:rPr>
            </w:pPr>
            <w:r w:rsidRPr="00546048">
              <w:rPr>
                <w:rFonts w:ascii="Calibri" w:eastAsia="Calibri" w:hAnsi="Calibri" w:cs="Calibri"/>
                <w:color w:val="002060"/>
                <w:sz w:val="18"/>
                <w:lang w:val="sr-Cyrl-RS"/>
              </w:rPr>
              <w:t>Нето порези</w:t>
            </w:r>
          </w:p>
        </w:tc>
        <w:tc>
          <w:tcPr>
            <w:tcW w:w="696" w:type="pct"/>
            <w:tcBorders>
              <w:bottom w:val="single" w:sz="4" w:space="0" w:color="002060"/>
            </w:tcBorders>
          </w:tcPr>
          <w:p w14:paraId="639F4EF5" w14:textId="77777777" w:rsidR="00D17D25" w:rsidRPr="00546048" w:rsidRDefault="00D17D25" w:rsidP="00886C5E">
            <w:pPr>
              <w:tabs>
                <w:tab w:val="left" w:pos="420"/>
                <w:tab w:val="center" w:pos="586"/>
              </w:tabs>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4,1</w:t>
            </w:r>
          </w:p>
        </w:tc>
        <w:tc>
          <w:tcPr>
            <w:tcW w:w="696" w:type="pct"/>
            <w:tcBorders>
              <w:top w:val="nil"/>
              <w:left w:val="nil"/>
              <w:bottom w:val="single" w:sz="8" w:space="0" w:color="002060"/>
              <w:right w:val="nil"/>
            </w:tcBorders>
            <w:shd w:val="clear" w:color="auto" w:fill="auto"/>
            <w:vAlign w:val="center"/>
          </w:tcPr>
          <w:p w14:paraId="71A4F4A1"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-1,3</w:t>
            </w:r>
          </w:p>
        </w:tc>
        <w:tc>
          <w:tcPr>
            <w:tcW w:w="696" w:type="pct"/>
            <w:tcBorders>
              <w:top w:val="nil"/>
              <w:left w:val="nil"/>
              <w:bottom w:val="single" w:sz="8" w:space="0" w:color="002060"/>
              <w:right w:val="nil"/>
            </w:tcBorders>
            <w:shd w:val="clear" w:color="auto" w:fill="auto"/>
            <w:vAlign w:val="center"/>
          </w:tcPr>
          <w:p w14:paraId="6049A658"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hAnsi="Calibri" w:cs="Calibri"/>
                <w:color w:val="002060"/>
                <w:sz w:val="18"/>
                <w:szCs w:val="18"/>
                <w:lang w:val="sr-Cyrl-RS"/>
              </w:rPr>
              <w:t>-1,2</w:t>
            </w:r>
          </w:p>
        </w:tc>
        <w:tc>
          <w:tcPr>
            <w:tcW w:w="696" w:type="pct"/>
            <w:tcBorders>
              <w:bottom w:val="single" w:sz="4" w:space="0" w:color="002060"/>
            </w:tcBorders>
          </w:tcPr>
          <w:p w14:paraId="047F6081"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2,0</w:t>
            </w:r>
          </w:p>
        </w:tc>
        <w:tc>
          <w:tcPr>
            <w:tcW w:w="696" w:type="pct"/>
            <w:tcBorders>
              <w:top w:val="nil"/>
              <w:left w:val="nil"/>
              <w:bottom w:val="single" w:sz="8" w:space="0" w:color="002060"/>
              <w:right w:val="nil"/>
            </w:tcBorders>
            <w:shd w:val="clear" w:color="auto" w:fill="auto"/>
            <w:vAlign w:val="center"/>
          </w:tcPr>
          <w:p w14:paraId="25A5E2DF" w14:textId="77777777" w:rsidR="00D17D25" w:rsidRPr="00546048" w:rsidRDefault="00D17D25" w:rsidP="00886C5E">
            <w:pPr>
              <w:ind w:right="397"/>
              <w:jc w:val="right"/>
              <w:rPr>
                <w:rFonts w:ascii="Calibri" w:eastAsia="Calibri" w:hAnsi="Calibri" w:cs="Calibri"/>
                <w:color w:val="002060"/>
                <w:sz w:val="18"/>
                <w:lang w:val="sr-Cyrl-RS"/>
              </w:rPr>
            </w:pPr>
            <w:r w:rsidRPr="00546048">
              <w:rPr>
                <w:rFonts w:ascii="Calibri" w:eastAsia="Calibri" w:hAnsi="Calibri" w:cs="Calibri"/>
                <w:color w:val="002060"/>
                <w:sz w:val="18"/>
                <w:lang w:val="sr-Cyrl-RS"/>
              </w:rPr>
              <w:t>0,4</w:t>
            </w:r>
          </w:p>
        </w:tc>
      </w:tr>
    </w:tbl>
    <w:p w14:paraId="7B750229" w14:textId="77777777" w:rsidR="00D17D25" w:rsidRDefault="00D17D25" w:rsidP="00886C5E">
      <w:pPr>
        <w:spacing w:before="40" w:after="0"/>
        <w:rPr>
          <w:rFonts w:ascii="Calibri" w:eastAsia="Calibri" w:hAnsi="Calibri" w:cs="Calibri"/>
          <w:bCs/>
          <w:sz w:val="16"/>
          <w:szCs w:val="72"/>
          <w:lang w:val="sr-Cyrl-RS"/>
        </w:rPr>
      </w:pPr>
      <w:r w:rsidRPr="00546048">
        <w:rPr>
          <w:rFonts w:ascii="Calibri" w:eastAsia="Calibri" w:hAnsi="Calibri" w:cs="Calibri"/>
          <w:bCs/>
          <w:sz w:val="16"/>
          <w:szCs w:val="72"/>
          <w:lang w:val="sr-Cyrl-RS"/>
        </w:rPr>
        <w:t>Извор: РЗС</w:t>
      </w:r>
    </w:p>
    <w:p w14:paraId="52E0DE7F" w14:textId="77777777" w:rsidR="00D17D25" w:rsidRPr="000979D4" w:rsidRDefault="00D17D25" w:rsidP="00910429">
      <w:pPr>
        <w:spacing w:before="40" w:after="40"/>
        <w:rPr>
          <w:rFonts w:ascii="Calibri" w:eastAsia="Calibri" w:hAnsi="Calibri" w:cs="Calibri"/>
          <w:bCs/>
          <w:sz w:val="16"/>
          <w:szCs w:val="72"/>
          <w:lang w:val="sr-Cyrl-RS"/>
        </w:rPr>
      </w:pPr>
      <w:r>
        <w:rPr>
          <w:rFonts w:ascii="Calibri" w:eastAsia="Calibri" w:hAnsi="Calibri" w:cs="Calibri"/>
          <w:bCs/>
          <w:sz w:val="16"/>
          <w:szCs w:val="72"/>
          <w:lang w:val="sr-Cyrl-RS"/>
        </w:rPr>
        <w:t>* Подаци о БДП за 2022. годину добијени су на бази кварталних обрачуна. РЗС ће прелиминарни податак за 2022. годину на бази годишњих обрачуна објавити 3.10.2023. године, те су могуће извесна одступања у односу на резултате кварталних обрачуна.</w:t>
      </w:r>
    </w:p>
    <w:p w14:paraId="17C494DE" w14:textId="77777777" w:rsidR="00D17D25" w:rsidRPr="00546048" w:rsidRDefault="00D17D25" w:rsidP="00886C5E">
      <w:pPr>
        <w:spacing w:after="60"/>
        <w:rPr>
          <w:lang w:val="sr-Cyrl-RS"/>
        </w:rPr>
      </w:pPr>
      <w:r>
        <w:rPr>
          <w:rFonts w:ascii="Calibri" w:eastAsia="Calibri" w:hAnsi="Calibri" w:cs="Calibri"/>
          <w:bCs/>
          <w:sz w:val="16"/>
          <w:szCs w:val="72"/>
          <w:lang w:val="sr-Cyrl-RS"/>
        </w:rPr>
        <w:t xml:space="preserve">** </w:t>
      </w:r>
      <w:r w:rsidRPr="00546048">
        <w:rPr>
          <w:rFonts w:ascii="Calibri" w:eastAsia="Calibri" w:hAnsi="Calibri" w:cs="Calibri"/>
          <w:bCs/>
          <w:sz w:val="16"/>
          <w:szCs w:val="72"/>
          <w:lang w:val="sr-Cyrl-RS"/>
        </w:rPr>
        <w:t>Министарство финансија</w:t>
      </w:r>
    </w:p>
    <w:p w14:paraId="6B8FBD3F" w14:textId="77777777" w:rsidR="00D17D25" w:rsidRPr="00546048" w:rsidRDefault="00D17D25" w:rsidP="00886C5E">
      <w:pPr>
        <w:spacing w:after="120"/>
        <w:jc w:val="left"/>
        <w:rPr>
          <w:rFonts w:cstheme="minorHAnsi"/>
          <w:b/>
          <w:color w:val="2F5496" w:themeColor="accent1" w:themeShade="BF"/>
          <w:sz w:val="22"/>
          <w:lang w:val="sr-Cyrl-RS"/>
        </w:rPr>
        <w:sectPr w:rsidR="00D17D25" w:rsidRPr="00546048" w:rsidSect="002D6E55">
          <w:type w:val="continuous"/>
          <w:pgSz w:w="12240" w:h="15840" w:code="1"/>
          <w:pgMar w:top="1440" w:right="1440" w:bottom="1440" w:left="1440" w:header="720" w:footer="720" w:gutter="0"/>
          <w:cols w:space="720"/>
          <w:docGrid w:linePitch="360"/>
        </w:sectPr>
      </w:pPr>
    </w:p>
    <w:p w14:paraId="5107DC59" w14:textId="77777777" w:rsidR="00AD7FBD" w:rsidRDefault="00AD7FBD" w:rsidP="00AD7FBD">
      <w:pPr>
        <w:rPr>
          <w:lang w:val="sr-Cyrl-RS"/>
        </w:rPr>
      </w:pPr>
      <w:r>
        <w:rPr>
          <w:lang w:val="sr-Cyrl-RS"/>
        </w:rPr>
        <w:br w:type="page"/>
      </w:r>
    </w:p>
    <w:p w14:paraId="5B544EA2" w14:textId="76A2724D" w:rsidR="00D17D25" w:rsidRPr="00916865" w:rsidRDefault="00D17D25" w:rsidP="00FA6BD0">
      <w:pPr>
        <w:spacing w:after="120"/>
        <w:jc w:val="left"/>
        <w:rPr>
          <w:color w:val="2F5496" w:themeColor="accent1" w:themeShade="BF"/>
          <w:lang w:val="sr-Cyrl-RS"/>
        </w:rPr>
      </w:pPr>
      <w:r w:rsidRPr="00916865">
        <w:rPr>
          <w:rFonts w:cstheme="minorHAnsi"/>
          <w:b/>
          <w:color w:val="2F5496" w:themeColor="accent1" w:themeShade="BF"/>
          <w:sz w:val="22"/>
          <w:lang w:val="sr-Cyrl-RS"/>
        </w:rPr>
        <w:lastRenderedPageBreak/>
        <w:t>Пројекције кретања реалног сектора у периоду 2024–2026. године</w:t>
      </w:r>
    </w:p>
    <w:p w14:paraId="4C598347" w14:textId="77777777" w:rsidR="00D17D25" w:rsidRPr="00916865" w:rsidRDefault="00D17D25" w:rsidP="008527D6">
      <w:pPr>
        <w:spacing w:after="120"/>
        <w:rPr>
          <w:rFonts w:cstheme="minorHAnsi"/>
          <w:bCs/>
          <w:spacing w:val="-2"/>
          <w:szCs w:val="72"/>
          <w:lang w:val="sr-Cyrl-RS"/>
        </w:rPr>
      </w:pPr>
      <w:r w:rsidRPr="00916865">
        <w:rPr>
          <w:rFonts w:cstheme="minorHAnsi"/>
          <w:bCs/>
          <w:spacing w:val="-6"/>
          <w:szCs w:val="72"/>
          <w:lang w:val="sr-Cyrl-RS"/>
        </w:rPr>
        <w:t xml:space="preserve">Очекивана средњорочна кретања реалног сектора узимају у обзир актуелне економске трендове и изгледе за Србију и међународно окружење. </w:t>
      </w:r>
      <w:r w:rsidRPr="00916865">
        <w:rPr>
          <w:rFonts w:cstheme="minorHAnsi"/>
          <w:bCs/>
          <w:spacing w:val="-2"/>
          <w:szCs w:val="72"/>
          <w:lang w:val="sr-Cyrl-RS"/>
        </w:rPr>
        <w:t>Влада ће и у наредном периоду водити одговорну и предвидиву фискалну политику, синхронизовану са монетарном политиком</w:t>
      </w:r>
      <w:r w:rsidRPr="00916865" w:rsidDel="000966AF">
        <w:rPr>
          <w:rFonts w:cstheme="minorHAnsi"/>
          <w:bCs/>
          <w:spacing w:val="-2"/>
          <w:szCs w:val="72"/>
          <w:lang w:val="sr-Cyrl-RS"/>
        </w:rPr>
        <w:t xml:space="preserve"> </w:t>
      </w:r>
      <w:r w:rsidRPr="00916865">
        <w:rPr>
          <w:rFonts w:cstheme="minorHAnsi"/>
          <w:bCs/>
          <w:spacing w:val="-2"/>
          <w:szCs w:val="72"/>
          <w:lang w:val="sr-Cyrl-RS"/>
        </w:rPr>
        <w:t>и фокусирану на минимизирање негативних економских последица повећаних геополитичких тензија, али и на лоцирању нових извора раста.</w:t>
      </w:r>
    </w:p>
    <w:p w14:paraId="210E2040" w14:textId="77777777" w:rsidR="00D17D25" w:rsidRPr="00916865" w:rsidRDefault="00D17D25" w:rsidP="008527D6">
      <w:pPr>
        <w:spacing w:after="120"/>
        <w:rPr>
          <w:rFonts w:cstheme="minorHAnsi"/>
          <w:bCs/>
          <w:szCs w:val="72"/>
          <w:lang w:val="sr-Cyrl-RS"/>
        </w:rPr>
      </w:pPr>
      <w:r w:rsidRPr="00916865">
        <w:rPr>
          <w:rFonts w:cstheme="minorHAnsi"/>
          <w:bCs/>
          <w:szCs w:val="72"/>
          <w:lang w:val="sr-Cyrl-RS"/>
        </w:rPr>
        <w:t xml:space="preserve">И у ревидираном макроекономском оквиру задржана је претпоставка да неће доћи до даље ескалације војних сукоба и додатног заоштравања међународних економских и политичких односа, </w:t>
      </w:r>
      <w:r w:rsidRPr="00916865">
        <w:rPr>
          <w:rFonts w:cstheme="minorHAnsi"/>
          <w:bCs/>
          <w:szCs w:val="72"/>
          <w:lang w:val="sr-Cyrl-RS"/>
        </w:rPr>
        <w:t>да ће цене енергената постепено опадати у средњем року уз очувану сигурност снабдевања домаћих произвођача и потрошача, као и да неће доћи до значајнијих поремећаја на страни спољне тражње, пре свега у погледу оштрог пада економије ЕУ као нашег најважнијег спољнотрговинског партнера. Такође, очекује се наставак стабилног прилива СДИ које ће обезбедити трансфер знања и технологија, као и нове продајне канале домаћим произвођачима. Неизвесност присутна код пројекција остаје због природе и обима шокова на глобалном нивоу. Канали преко којих они могу потенцијално деловати на домаћу привреду су бројни, често ланчано повезани, а сама јачина потенцијалних шокова је таква да у великој мери може утицати на средњорочна кретања.</w:t>
      </w:r>
    </w:p>
    <w:p w14:paraId="35F7E87B" w14:textId="77777777" w:rsidR="00D17D25" w:rsidRPr="00916865" w:rsidRDefault="00D17D25" w:rsidP="00FA6BD0">
      <w:pPr>
        <w:jc w:val="center"/>
        <w:rPr>
          <w:rFonts w:cstheme="minorHAnsi"/>
          <w:b/>
          <w:color w:val="002060"/>
          <w:lang w:val="sr-Cyrl-RS"/>
        </w:rPr>
        <w:sectPr w:rsidR="00D17D25" w:rsidRPr="00916865" w:rsidSect="00D17D25">
          <w:headerReference w:type="default" r:id="rId75"/>
          <w:footerReference w:type="default" r:id="rId76"/>
          <w:type w:val="continuous"/>
          <w:pgSz w:w="12240" w:h="15840" w:code="1"/>
          <w:pgMar w:top="1440" w:right="1440" w:bottom="1440" w:left="1440" w:header="720" w:footer="720" w:gutter="0"/>
          <w:cols w:num="2" w:space="720"/>
          <w:titlePg/>
          <w:docGrid w:linePitch="360"/>
        </w:sectPr>
      </w:pPr>
    </w:p>
    <w:tbl>
      <w:tblPr>
        <w:tblStyle w:val="TableGrid"/>
        <w:tblW w:w="4954" w:type="pct"/>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6"/>
        <w:gridCol w:w="924"/>
        <w:gridCol w:w="924"/>
        <w:gridCol w:w="939"/>
        <w:gridCol w:w="939"/>
        <w:gridCol w:w="942"/>
      </w:tblGrid>
      <w:tr w:rsidR="00D17D25" w:rsidRPr="004E7112" w14:paraId="144CC232" w14:textId="77777777" w:rsidTr="002D6E55">
        <w:trPr>
          <w:trHeight w:val="349"/>
        </w:trPr>
        <w:tc>
          <w:tcPr>
            <w:tcW w:w="5000" w:type="pct"/>
            <w:gridSpan w:val="6"/>
            <w:tcBorders>
              <w:bottom w:val="single" w:sz="4" w:space="0" w:color="002060"/>
            </w:tcBorders>
            <w:shd w:val="clear" w:color="auto" w:fill="auto"/>
            <w:vAlign w:val="center"/>
          </w:tcPr>
          <w:p w14:paraId="029E7720" w14:textId="77777777" w:rsidR="00D17D25" w:rsidRPr="00916865" w:rsidRDefault="00D17D25" w:rsidP="00FA6BD0">
            <w:pPr>
              <w:jc w:val="center"/>
              <w:rPr>
                <w:rFonts w:cstheme="minorHAnsi"/>
                <w:b/>
                <w:color w:val="002060"/>
                <w:sz w:val="16"/>
                <w:lang w:val="sr-Cyrl-RS"/>
              </w:rPr>
            </w:pPr>
            <w:r w:rsidRPr="00916865">
              <w:rPr>
                <w:rFonts w:cstheme="minorHAnsi"/>
                <w:b/>
                <w:color w:val="002060"/>
                <w:lang w:val="sr-Cyrl-RS"/>
              </w:rPr>
              <w:t>Табела 4. Пројекција основних макроекономских показатеља Републике Србије</w:t>
            </w:r>
          </w:p>
        </w:tc>
      </w:tr>
      <w:tr w:rsidR="00D17D25" w:rsidRPr="00916865" w14:paraId="1863BF39" w14:textId="77777777" w:rsidTr="002D6E55">
        <w:tc>
          <w:tcPr>
            <w:tcW w:w="2484" w:type="pct"/>
            <w:tcBorders>
              <w:top w:val="single" w:sz="4" w:space="0" w:color="002060"/>
              <w:bottom w:val="single" w:sz="2" w:space="0" w:color="FFFFFF" w:themeColor="background1"/>
            </w:tcBorders>
            <w:shd w:val="clear" w:color="auto" w:fill="auto"/>
          </w:tcPr>
          <w:p w14:paraId="5FC2BB27" w14:textId="77777777" w:rsidR="00D17D25" w:rsidRPr="00916865" w:rsidRDefault="00D17D25" w:rsidP="00C130D2">
            <w:pPr>
              <w:rPr>
                <w:rFonts w:cstheme="minorHAnsi"/>
                <w:color w:val="002060"/>
                <w:sz w:val="18"/>
                <w:lang w:val="sr-Cyrl-RS"/>
              </w:rPr>
            </w:pPr>
          </w:p>
        </w:tc>
        <w:tc>
          <w:tcPr>
            <w:tcW w:w="498" w:type="pct"/>
            <w:tcBorders>
              <w:top w:val="single" w:sz="4" w:space="0" w:color="002060"/>
              <w:bottom w:val="single" w:sz="4" w:space="0" w:color="FFFFFF" w:themeColor="background1"/>
            </w:tcBorders>
            <w:shd w:val="clear" w:color="auto" w:fill="auto"/>
          </w:tcPr>
          <w:p w14:paraId="4C92A07B" w14:textId="77777777" w:rsidR="00D17D25" w:rsidRPr="00916865" w:rsidRDefault="00D17D25" w:rsidP="00C130D2">
            <w:pPr>
              <w:jc w:val="center"/>
              <w:rPr>
                <w:rFonts w:cstheme="minorHAnsi"/>
                <w:color w:val="002060"/>
                <w:sz w:val="18"/>
                <w:lang w:val="sr-Cyrl-RS"/>
              </w:rPr>
            </w:pPr>
            <w:r w:rsidRPr="00916865">
              <w:rPr>
                <w:rFonts w:cstheme="minorHAnsi"/>
                <w:color w:val="002060"/>
                <w:sz w:val="18"/>
                <w:lang w:val="sr-Cyrl-RS"/>
              </w:rPr>
              <w:t>Процена</w:t>
            </w:r>
          </w:p>
        </w:tc>
        <w:tc>
          <w:tcPr>
            <w:tcW w:w="498" w:type="pct"/>
            <w:tcBorders>
              <w:top w:val="single" w:sz="4" w:space="0" w:color="002060"/>
              <w:bottom w:val="single" w:sz="2" w:space="0" w:color="FFFFFF" w:themeColor="background1"/>
            </w:tcBorders>
            <w:shd w:val="clear" w:color="auto" w:fill="auto"/>
          </w:tcPr>
          <w:p w14:paraId="30237C4E" w14:textId="77777777" w:rsidR="00D17D25" w:rsidRPr="00916865" w:rsidRDefault="00D17D25" w:rsidP="00C130D2">
            <w:pPr>
              <w:jc w:val="center"/>
              <w:rPr>
                <w:rFonts w:cstheme="minorHAnsi"/>
                <w:color w:val="002060"/>
                <w:sz w:val="18"/>
                <w:lang w:val="sr-Cyrl-RS"/>
              </w:rPr>
            </w:pPr>
          </w:p>
        </w:tc>
        <w:tc>
          <w:tcPr>
            <w:tcW w:w="1519" w:type="pct"/>
            <w:gridSpan w:val="3"/>
            <w:tcBorders>
              <w:top w:val="single" w:sz="4" w:space="0" w:color="002060"/>
              <w:bottom w:val="single" w:sz="4" w:space="0" w:color="FFFFFF" w:themeColor="background1"/>
            </w:tcBorders>
            <w:shd w:val="clear" w:color="auto" w:fill="auto"/>
          </w:tcPr>
          <w:p w14:paraId="5C648C35" w14:textId="77777777" w:rsidR="00D17D25" w:rsidRPr="00916865" w:rsidRDefault="00D17D25" w:rsidP="00C130D2">
            <w:pPr>
              <w:jc w:val="center"/>
              <w:rPr>
                <w:rFonts w:cstheme="minorHAnsi"/>
                <w:color w:val="002060"/>
                <w:sz w:val="18"/>
                <w:lang w:val="sr-Cyrl-RS"/>
              </w:rPr>
            </w:pPr>
            <w:r w:rsidRPr="00916865">
              <w:rPr>
                <w:rFonts w:cstheme="minorHAnsi"/>
                <w:color w:val="002060"/>
                <w:sz w:val="18"/>
                <w:lang w:val="sr-Cyrl-RS"/>
              </w:rPr>
              <w:t>Пројекције</w:t>
            </w:r>
          </w:p>
        </w:tc>
      </w:tr>
      <w:tr w:rsidR="00D17D25" w:rsidRPr="00916865" w14:paraId="6864CB9D" w14:textId="77777777" w:rsidTr="002D6E55">
        <w:tc>
          <w:tcPr>
            <w:tcW w:w="2484" w:type="pct"/>
            <w:tcBorders>
              <w:top w:val="single" w:sz="2" w:space="0" w:color="FFFFFF" w:themeColor="background1"/>
            </w:tcBorders>
            <w:shd w:val="clear" w:color="auto" w:fill="auto"/>
          </w:tcPr>
          <w:p w14:paraId="45ABABBF" w14:textId="77777777" w:rsidR="00D17D25" w:rsidRPr="00916865" w:rsidRDefault="00D17D25" w:rsidP="00C130D2">
            <w:pPr>
              <w:ind w:left="-15"/>
              <w:rPr>
                <w:rFonts w:cstheme="minorHAnsi"/>
                <w:color w:val="002060"/>
                <w:sz w:val="18"/>
                <w:szCs w:val="18"/>
                <w:lang w:val="sr-Cyrl-RS"/>
              </w:rPr>
            </w:pPr>
          </w:p>
        </w:tc>
        <w:tc>
          <w:tcPr>
            <w:tcW w:w="498" w:type="pct"/>
            <w:tcBorders>
              <w:top w:val="single" w:sz="4" w:space="0" w:color="FFFFFF" w:themeColor="background1"/>
              <w:bottom w:val="single" w:sz="4" w:space="0" w:color="auto"/>
            </w:tcBorders>
            <w:shd w:val="clear" w:color="auto" w:fill="auto"/>
          </w:tcPr>
          <w:p w14:paraId="65E8A782" w14:textId="77777777" w:rsidR="00D17D25" w:rsidRPr="00916865" w:rsidRDefault="00D17D25" w:rsidP="00C130D2">
            <w:pPr>
              <w:jc w:val="center"/>
              <w:rPr>
                <w:rFonts w:cstheme="minorHAnsi"/>
                <w:color w:val="002060"/>
                <w:sz w:val="18"/>
                <w:szCs w:val="18"/>
                <w:lang w:val="sr-Cyrl-RS"/>
              </w:rPr>
            </w:pPr>
            <w:r w:rsidRPr="00916865">
              <w:rPr>
                <w:rFonts w:cstheme="minorHAnsi"/>
                <w:color w:val="002060"/>
                <w:sz w:val="18"/>
                <w:lang w:val="sr-Cyrl-RS"/>
              </w:rPr>
              <w:t>2023</w:t>
            </w:r>
          </w:p>
        </w:tc>
        <w:tc>
          <w:tcPr>
            <w:tcW w:w="498" w:type="pct"/>
            <w:tcBorders>
              <w:top w:val="single" w:sz="2" w:space="0" w:color="FFFFFF" w:themeColor="background1"/>
            </w:tcBorders>
            <w:shd w:val="clear" w:color="auto" w:fill="auto"/>
          </w:tcPr>
          <w:p w14:paraId="296F205D" w14:textId="77777777" w:rsidR="00D17D25" w:rsidRPr="00916865" w:rsidRDefault="00D17D25" w:rsidP="00C130D2">
            <w:pPr>
              <w:jc w:val="center"/>
              <w:rPr>
                <w:rFonts w:cstheme="minorHAnsi"/>
                <w:color w:val="002060"/>
                <w:sz w:val="18"/>
                <w:szCs w:val="18"/>
                <w:lang w:val="sr-Cyrl-RS"/>
              </w:rPr>
            </w:pPr>
          </w:p>
        </w:tc>
        <w:tc>
          <w:tcPr>
            <w:tcW w:w="506" w:type="pct"/>
            <w:tcBorders>
              <w:top w:val="single" w:sz="4" w:space="0" w:color="FFFFFF" w:themeColor="background1"/>
              <w:bottom w:val="single" w:sz="4" w:space="0" w:color="auto"/>
            </w:tcBorders>
            <w:shd w:val="clear" w:color="auto" w:fill="auto"/>
          </w:tcPr>
          <w:p w14:paraId="2739461C" w14:textId="77777777" w:rsidR="00D17D25" w:rsidRPr="00916865" w:rsidRDefault="00D17D25" w:rsidP="00C130D2">
            <w:pPr>
              <w:jc w:val="center"/>
              <w:rPr>
                <w:rFonts w:cstheme="minorHAnsi"/>
                <w:color w:val="002060"/>
                <w:sz w:val="18"/>
                <w:szCs w:val="18"/>
                <w:lang w:val="sr-Cyrl-RS"/>
              </w:rPr>
            </w:pPr>
            <w:r w:rsidRPr="00916865">
              <w:rPr>
                <w:rFonts w:cstheme="minorHAnsi"/>
                <w:color w:val="002060"/>
                <w:sz w:val="18"/>
                <w:lang w:val="sr-Cyrl-RS"/>
              </w:rPr>
              <w:t>2024</w:t>
            </w:r>
          </w:p>
        </w:tc>
        <w:tc>
          <w:tcPr>
            <w:tcW w:w="506" w:type="pct"/>
            <w:tcBorders>
              <w:top w:val="single" w:sz="4" w:space="0" w:color="FFFFFF" w:themeColor="background1"/>
              <w:bottom w:val="single" w:sz="4" w:space="0" w:color="auto"/>
            </w:tcBorders>
            <w:shd w:val="clear" w:color="auto" w:fill="auto"/>
          </w:tcPr>
          <w:p w14:paraId="5B436E19" w14:textId="77777777" w:rsidR="00D17D25" w:rsidRPr="00916865" w:rsidRDefault="00D17D25" w:rsidP="00C130D2">
            <w:pPr>
              <w:jc w:val="center"/>
              <w:rPr>
                <w:rFonts w:cstheme="minorHAnsi"/>
                <w:color w:val="002060"/>
                <w:sz w:val="18"/>
                <w:szCs w:val="18"/>
                <w:lang w:val="sr-Cyrl-RS"/>
              </w:rPr>
            </w:pPr>
            <w:r w:rsidRPr="00916865">
              <w:rPr>
                <w:rFonts w:cstheme="minorHAnsi"/>
                <w:color w:val="002060"/>
                <w:sz w:val="18"/>
                <w:lang w:val="sr-Cyrl-RS"/>
              </w:rPr>
              <w:t>2025</w:t>
            </w:r>
          </w:p>
        </w:tc>
        <w:tc>
          <w:tcPr>
            <w:tcW w:w="507" w:type="pct"/>
            <w:tcBorders>
              <w:top w:val="single" w:sz="4" w:space="0" w:color="FFFFFF" w:themeColor="background1"/>
              <w:bottom w:val="single" w:sz="4" w:space="0" w:color="auto"/>
            </w:tcBorders>
            <w:shd w:val="clear" w:color="auto" w:fill="auto"/>
          </w:tcPr>
          <w:p w14:paraId="44E38B53" w14:textId="77777777" w:rsidR="00D17D25" w:rsidRPr="00916865" w:rsidRDefault="00D17D25" w:rsidP="00C130D2">
            <w:pPr>
              <w:jc w:val="center"/>
              <w:rPr>
                <w:rFonts w:cstheme="minorHAnsi"/>
                <w:color w:val="002060"/>
                <w:sz w:val="18"/>
                <w:szCs w:val="18"/>
                <w:lang w:val="sr-Cyrl-RS"/>
              </w:rPr>
            </w:pPr>
            <w:r w:rsidRPr="00916865">
              <w:rPr>
                <w:rFonts w:cstheme="minorHAnsi"/>
                <w:color w:val="002060"/>
                <w:sz w:val="18"/>
                <w:lang w:val="sr-Cyrl-RS"/>
              </w:rPr>
              <w:t>2026</w:t>
            </w:r>
          </w:p>
        </w:tc>
      </w:tr>
      <w:tr w:rsidR="00D17D25" w:rsidRPr="00916865" w14:paraId="745FB08C" w14:textId="77777777" w:rsidTr="002D6E55">
        <w:tc>
          <w:tcPr>
            <w:tcW w:w="2484" w:type="pct"/>
            <w:tcBorders>
              <w:top w:val="single" w:sz="2" w:space="0" w:color="FFFFFF" w:themeColor="background1"/>
            </w:tcBorders>
            <w:shd w:val="clear" w:color="auto" w:fill="auto"/>
          </w:tcPr>
          <w:p w14:paraId="7DE4256A" w14:textId="77777777" w:rsidR="00D17D25" w:rsidRPr="00916865" w:rsidRDefault="00D17D25" w:rsidP="008527D6">
            <w:pPr>
              <w:ind w:left="-15"/>
              <w:rPr>
                <w:rFonts w:cstheme="minorHAnsi"/>
                <w:color w:val="002060"/>
                <w:sz w:val="18"/>
                <w:szCs w:val="18"/>
                <w:lang w:val="sr-Cyrl-RS"/>
              </w:rPr>
            </w:pPr>
            <w:r w:rsidRPr="00916865">
              <w:rPr>
                <w:rFonts w:cstheme="minorHAnsi"/>
                <w:color w:val="002060"/>
                <w:sz w:val="18"/>
                <w:szCs w:val="18"/>
                <w:lang w:val="sr-Cyrl-RS"/>
              </w:rPr>
              <w:t>БДП, млрд динара (текуће цене)</w:t>
            </w:r>
          </w:p>
        </w:tc>
        <w:tc>
          <w:tcPr>
            <w:tcW w:w="498" w:type="pct"/>
            <w:tcBorders>
              <w:top w:val="single" w:sz="4" w:space="0" w:color="auto"/>
            </w:tcBorders>
            <w:shd w:val="clear" w:color="auto" w:fill="auto"/>
          </w:tcPr>
          <w:p w14:paraId="347C5C7A"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8.103,5</w:t>
            </w:r>
          </w:p>
        </w:tc>
        <w:tc>
          <w:tcPr>
            <w:tcW w:w="498" w:type="pct"/>
            <w:tcBorders>
              <w:top w:val="single" w:sz="2" w:space="0" w:color="FFFFFF" w:themeColor="background1"/>
            </w:tcBorders>
            <w:shd w:val="clear" w:color="auto" w:fill="auto"/>
          </w:tcPr>
          <w:p w14:paraId="21F48FA9" w14:textId="77777777" w:rsidR="00D17D25" w:rsidRPr="00916865" w:rsidRDefault="00D17D25" w:rsidP="008527D6">
            <w:pPr>
              <w:jc w:val="center"/>
              <w:rPr>
                <w:rFonts w:cstheme="minorHAnsi"/>
                <w:color w:val="002060"/>
                <w:sz w:val="18"/>
                <w:szCs w:val="18"/>
                <w:lang w:val="sr-Cyrl-RS"/>
              </w:rPr>
            </w:pPr>
          </w:p>
        </w:tc>
        <w:tc>
          <w:tcPr>
            <w:tcW w:w="506" w:type="pct"/>
            <w:shd w:val="clear" w:color="auto" w:fill="auto"/>
            <w:vAlign w:val="center"/>
          </w:tcPr>
          <w:p w14:paraId="3E3809FB" w14:textId="77777777" w:rsidR="00D17D25" w:rsidRPr="00916865" w:rsidRDefault="00D17D25" w:rsidP="002D6E55">
            <w:pPr>
              <w:jc w:val="center"/>
              <w:rPr>
                <w:rFonts w:cstheme="minorHAnsi"/>
                <w:color w:val="002060"/>
                <w:sz w:val="18"/>
                <w:szCs w:val="18"/>
                <w:lang w:val="sr-Cyrl-RS"/>
              </w:rPr>
            </w:pPr>
            <w:r w:rsidRPr="00916865">
              <w:rPr>
                <w:rFonts w:cstheme="minorHAnsi"/>
                <w:color w:val="002060"/>
                <w:sz w:val="18"/>
                <w:szCs w:val="18"/>
                <w:lang w:val="sr-Cyrl-RS"/>
              </w:rPr>
              <w:t>8.773,7</w:t>
            </w:r>
          </w:p>
        </w:tc>
        <w:tc>
          <w:tcPr>
            <w:tcW w:w="506" w:type="pct"/>
            <w:shd w:val="clear" w:color="auto" w:fill="auto"/>
            <w:vAlign w:val="center"/>
          </w:tcPr>
          <w:p w14:paraId="06E3B5E2"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9.461,1</w:t>
            </w:r>
          </w:p>
        </w:tc>
        <w:tc>
          <w:tcPr>
            <w:tcW w:w="507" w:type="pct"/>
            <w:shd w:val="clear" w:color="auto" w:fill="auto"/>
            <w:vAlign w:val="center"/>
          </w:tcPr>
          <w:p w14:paraId="68C54E74"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10.148,4</w:t>
            </w:r>
          </w:p>
        </w:tc>
      </w:tr>
      <w:tr w:rsidR="00D17D25" w:rsidRPr="00916865" w14:paraId="461BBA6F" w14:textId="77777777" w:rsidTr="002D6E55">
        <w:tc>
          <w:tcPr>
            <w:tcW w:w="2484" w:type="pct"/>
            <w:shd w:val="clear" w:color="auto" w:fill="auto"/>
          </w:tcPr>
          <w:p w14:paraId="1604E718" w14:textId="77777777" w:rsidR="00D17D25" w:rsidRPr="00916865" w:rsidRDefault="00D17D25" w:rsidP="008527D6">
            <w:pPr>
              <w:ind w:left="-15"/>
              <w:rPr>
                <w:rFonts w:cstheme="minorHAnsi"/>
                <w:color w:val="002060"/>
                <w:sz w:val="18"/>
                <w:szCs w:val="18"/>
                <w:lang w:val="sr-Cyrl-RS"/>
              </w:rPr>
            </w:pPr>
            <w:r w:rsidRPr="00916865">
              <w:rPr>
                <w:rFonts w:cstheme="minorHAnsi"/>
                <w:color w:val="002060"/>
                <w:sz w:val="18"/>
                <w:szCs w:val="18"/>
                <w:lang w:val="sr-Cyrl-RS"/>
              </w:rPr>
              <w:t>Реални раст БДП, %</w:t>
            </w:r>
          </w:p>
        </w:tc>
        <w:tc>
          <w:tcPr>
            <w:tcW w:w="498" w:type="pct"/>
            <w:shd w:val="clear" w:color="auto" w:fill="auto"/>
          </w:tcPr>
          <w:p w14:paraId="55223D7D"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2,5</w:t>
            </w:r>
          </w:p>
        </w:tc>
        <w:tc>
          <w:tcPr>
            <w:tcW w:w="498" w:type="pct"/>
            <w:shd w:val="clear" w:color="auto" w:fill="auto"/>
          </w:tcPr>
          <w:p w14:paraId="1D9DBFFA" w14:textId="77777777" w:rsidR="00D17D25" w:rsidRPr="00916865" w:rsidRDefault="00D17D25" w:rsidP="008527D6">
            <w:pPr>
              <w:jc w:val="center"/>
              <w:rPr>
                <w:rFonts w:cstheme="minorHAnsi"/>
                <w:color w:val="002060"/>
                <w:sz w:val="18"/>
                <w:szCs w:val="18"/>
                <w:lang w:val="sr-Cyrl-RS"/>
              </w:rPr>
            </w:pPr>
          </w:p>
        </w:tc>
        <w:tc>
          <w:tcPr>
            <w:tcW w:w="506" w:type="pct"/>
            <w:shd w:val="clear" w:color="auto" w:fill="auto"/>
            <w:vAlign w:val="center"/>
          </w:tcPr>
          <w:p w14:paraId="47DA8BF2"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3,5</w:t>
            </w:r>
          </w:p>
        </w:tc>
        <w:tc>
          <w:tcPr>
            <w:tcW w:w="506" w:type="pct"/>
            <w:shd w:val="clear" w:color="auto" w:fill="auto"/>
            <w:vAlign w:val="center"/>
          </w:tcPr>
          <w:p w14:paraId="2637B09C"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4,0</w:t>
            </w:r>
          </w:p>
        </w:tc>
        <w:tc>
          <w:tcPr>
            <w:tcW w:w="507" w:type="pct"/>
            <w:shd w:val="clear" w:color="auto" w:fill="auto"/>
            <w:vAlign w:val="center"/>
          </w:tcPr>
          <w:p w14:paraId="417F2784"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4,3</w:t>
            </w:r>
          </w:p>
        </w:tc>
      </w:tr>
      <w:tr w:rsidR="00D17D25" w:rsidRPr="00916865" w14:paraId="40EA20E6" w14:textId="77777777" w:rsidTr="002D6E55">
        <w:tc>
          <w:tcPr>
            <w:tcW w:w="2484" w:type="pct"/>
            <w:shd w:val="clear" w:color="auto" w:fill="auto"/>
          </w:tcPr>
          <w:p w14:paraId="30CC191B" w14:textId="77777777" w:rsidR="00D17D25" w:rsidRPr="00916865" w:rsidRDefault="00D17D25" w:rsidP="008527D6">
            <w:pPr>
              <w:ind w:left="-15"/>
              <w:rPr>
                <w:rFonts w:cstheme="minorHAnsi"/>
                <w:color w:val="002060"/>
                <w:sz w:val="18"/>
                <w:szCs w:val="18"/>
                <w:lang w:val="sr-Cyrl-RS"/>
              </w:rPr>
            </w:pPr>
            <w:r w:rsidRPr="00916865">
              <w:rPr>
                <w:rFonts w:cstheme="minorHAnsi"/>
                <w:color w:val="002060"/>
                <w:sz w:val="18"/>
                <w:szCs w:val="18"/>
                <w:lang w:val="sr-Cyrl-RS"/>
              </w:rPr>
              <w:t>Дефлатор БДП, %</w:t>
            </w:r>
          </w:p>
        </w:tc>
        <w:tc>
          <w:tcPr>
            <w:tcW w:w="498" w:type="pct"/>
            <w:shd w:val="clear" w:color="auto" w:fill="auto"/>
          </w:tcPr>
          <w:p w14:paraId="20EBE00D"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11,5</w:t>
            </w:r>
          </w:p>
        </w:tc>
        <w:tc>
          <w:tcPr>
            <w:tcW w:w="498" w:type="pct"/>
            <w:shd w:val="clear" w:color="auto" w:fill="auto"/>
          </w:tcPr>
          <w:p w14:paraId="13FF11E4" w14:textId="77777777" w:rsidR="00D17D25" w:rsidRPr="00916865" w:rsidRDefault="00D17D25" w:rsidP="008527D6">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bottom"/>
          </w:tcPr>
          <w:p w14:paraId="3B5E1006"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4,6</w:t>
            </w:r>
          </w:p>
        </w:tc>
        <w:tc>
          <w:tcPr>
            <w:tcW w:w="506" w:type="pct"/>
            <w:tcBorders>
              <w:top w:val="nil"/>
              <w:left w:val="nil"/>
              <w:bottom w:val="nil"/>
              <w:right w:val="nil"/>
            </w:tcBorders>
            <w:shd w:val="clear" w:color="auto" w:fill="auto"/>
            <w:vAlign w:val="bottom"/>
          </w:tcPr>
          <w:p w14:paraId="229998DD"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3,6</w:t>
            </w:r>
          </w:p>
        </w:tc>
        <w:tc>
          <w:tcPr>
            <w:tcW w:w="507" w:type="pct"/>
            <w:tcBorders>
              <w:top w:val="nil"/>
              <w:left w:val="nil"/>
              <w:bottom w:val="nil"/>
              <w:right w:val="nil"/>
            </w:tcBorders>
            <w:shd w:val="clear" w:color="auto" w:fill="auto"/>
            <w:vAlign w:val="bottom"/>
          </w:tcPr>
          <w:p w14:paraId="798A1239"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2,9</w:t>
            </w:r>
          </w:p>
        </w:tc>
      </w:tr>
      <w:tr w:rsidR="00D17D25" w:rsidRPr="00916865" w14:paraId="213A4E1C" w14:textId="77777777" w:rsidTr="002D6E55">
        <w:tc>
          <w:tcPr>
            <w:tcW w:w="2484" w:type="pct"/>
            <w:shd w:val="clear" w:color="auto" w:fill="E7E6E6" w:themeFill="background2"/>
          </w:tcPr>
          <w:p w14:paraId="70FCEBB2" w14:textId="77777777" w:rsidR="00D17D25" w:rsidRPr="00916865" w:rsidRDefault="00D17D25" w:rsidP="008527D6">
            <w:pPr>
              <w:jc w:val="center"/>
              <w:rPr>
                <w:rFonts w:cstheme="minorHAnsi"/>
                <w:color w:val="002060"/>
                <w:sz w:val="18"/>
                <w:szCs w:val="18"/>
                <w:lang w:val="sr-Cyrl-RS"/>
              </w:rPr>
            </w:pPr>
          </w:p>
        </w:tc>
        <w:tc>
          <w:tcPr>
            <w:tcW w:w="498" w:type="pct"/>
            <w:shd w:val="clear" w:color="auto" w:fill="E7E6E6" w:themeFill="background2"/>
          </w:tcPr>
          <w:p w14:paraId="31EB0B31" w14:textId="77777777" w:rsidR="00D17D25" w:rsidRPr="00916865" w:rsidRDefault="00D17D25" w:rsidP="008527D6">
            <w:pPr>
              <w:jc w:val="center"/>
              <w:rPr>
                <w:rFonts w:cstheme="minorHAnsi"/>
                <w:color w:val="002060"/>
                <w:sz w:val="18"/>
                <w:szCs w:val="18"/>
                <w:lang w:val="sr-Cyrl-RS"/>
              </w:rPr>
            </w:pPr>
          </w:p>
        </w:tc>
        <w:tc>
          <w:tcPr>
            <w:tcW w:w="498" w:type="pct"/>
            <w:shd w:val="clear" w:color="auto" w:fill="E7E6E6" w:themeFill="background2"/>
          </w:tcPr>
          <w:p w14:paraId="211936A3" w14:textId="77777777" w:rsidR="00D17D25" w:rsidRPr="00916865" w:rsidRDefault="00D17D25" w:rsidP="008527D6">
            <w:pPr>
              <w:jc w:val="center"/>
              <w:rPr>
                <w:rFonts w:cstheme="minorHAnsi"/>
                <w:color w:val="002060"/>
                <w:sz w:val="18"/>
                <w:szCs w:val="18"/>
                <w:lang w:val="sr-Cyrl-RS"/>
              </w:rPr>
            </w:pPr>
          </w:p>
        </w:tc>
        <w:tc>
          <w:tcPr>
            <w:tcW w:w="506" w:type="pct"/>
            <w:shd w:val="clear" w:color="auto" w:fill="E7E6E6" w:themeFill="background2"/>
          </w:tcPr>
          <w:p w14:paraId="5F51CAE7" w14:textId="77777777" w:rsidR="00D17D25" w:rsidRPr="00916865" w:rsidRDefault="00D17D25" w:rsidP="008527D6">
            <w:pPr>
              <w:jc w:val="center"/>
              <w:rPr>
                <w:rFonts w:cstheme="minorHAnsi"/>
                <w:color w:val="002060"/>
                <w:sz w:val="18"/>
                <w:szCs w:val="18"/>
                <w:lang w:val="sr-Cyrl-RS"/>
              </w:rPr>
            </w:pPr>
          </w:p>
        </w:tc>
        <w:tc>
          <w:tcPr>
            <w:tcW w:w="506" w:type="pct"/>
            <w:shd w:val="clear" w:color="auto" w:fill="E7E6E6" w:themeFill="background2"/>
          </w:tcPr>
          <w:p w14:paraId="5FE1E8E4" w14:textId="77777777" w:rsidR="00D17D25" w:rsidRPr="00916865" w:rsidRDefault="00D17D25" w:rsidP="008527D6">
            <w:pPr>
              <w:jc w:val="center"/>
              <w:rPr>
                <w:rFonts w:cstheme="minorHAnsi"/>
                <w:color w:val="002060"/>
                <w:sz w:val="18"/>
                <w:szCs w:val="18"/>
                <w:lang w:val="sr-Cyrl-RS"/>
              </w:rPr>
            </w:pPr>
          </w:p>
        </w:tc>
        <w:tc>
          <w:tcPr>
            <w:tcW w:w="507" w:type="pct"/>
            <w:shd w:val="clear" w:color="auto" w:fill="E7E6E6" w:themeFill="background2"/>
          </w:tcPr>
          <w:p w14:paraId="78B05F05" w14:textId="77777777" w:rsidR="00D17D25" w:rsidRPr="00916865" w:rsidRDefault="00D17D25" w:rsidP="008527D6">
            <w:pPr>
              <w:jc w:val="center"/>
              <w:rPr>
                <w:rFonts w:cstheme="minorHAnsi"/>
                <w:color w:val="002060"/>
                <w:sz w:val="18"/>
                <w:szCs w:val="18"/>
                <w:lang w:val="sr-Cyrl-RS"/>
              </w:rPr>
            </w:pPr>
          </w:p>
        </w:tc>
      </w:tr>
      <w:tr w:rsidR="00D17D25" w:rsidRPr="00916865" w14:paraId="3E0AF097" w14:textId="77777777" w:rsidTr="002D6E55">
        <w:tc>
          <w:tcPr>
            <w:tcW w:w="2484" w:type="pct"/>
            <w:shd w:val="clear" w:color="auto" w:fill="auto"/>
          </w:tcPr>
          <w:p w14:paraId="54D3556C" w14:textId="77777777" w:rsidR="00D17D25" w:rsidRPr="00916865" w:rsidRDefault="00D17D25" w:rsidP="008527D6">
            <w:pPr>
              <w:ind w:left="256"/>
              <w:rPr>
                <w:rFonts w:cstheme="minorHAnsi"/>
                <w:color w:val="002060"/>
                <w:sz w:val="18"/>
                <w:szCs w:val="18"/>
                <w:lang w:val="sr-Cyrl-RS"/>
              </w:rPr>
            </w:pPr>
            <w:r w:rsidRPr="00916865">
              <w:rPr>
                <w:rFonts w:cstheme="minorHAnsi"/>
                <w:color w:val="002060"/>
                <w:sz w:val="18"/>
                <w:szCs w:val="18"/>
                <w:lang w:val="sr-Cyrl-RS"/>
              </w:rPr>
              <w:t>Лична потрошња</w:t>
            </w:r>
          </w:p>
        </w:tc>
        <w:tc>
          <w:tcPr>
            <w:tcW w:w="498" w:type="pct"/>
            <w:shd w:val="clear" w:color="auto" w:fill="auto"/>
          </w:tcPr>
          <w:p w14:paraId="4A80F47D"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1,0</w:t>
            </w:r>
          </w:p>
        </w:tc>
        <w:tc>
          <w:tcPr>
            <w:tcW w:w="498" w:type="pct"/>
            <w:shd w:val="clear" w:color="auto" w:fill="auto"/>
          </w:tcPr>
          <w:p w14:paraId="50303A99" w14:textId="77777777" w:rsidR="00D17D25" w:rsidRPr="00916865" w:rsidRDefault="00D17D25" w:rsidP="008527D6">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bottom"/>
          </w:tcPr>
          <w:p w14:paraId="6544DB98" w14:textId="77777777" w:rsidR="00D17D25" w:rsidRPr="00916865" w:rsidRDefault="00D17D25" w:rsidP="002D6E55">
            <w:pPr>
              <w:jc w:val="center"/>
              <w:rPr>
                <w:rFonts w:cstheme="minorHAnsi"/>
                <w:color w:val="002060"/>
                <w:sz w:val="18"/>
                <w:szCs w:val="18"/>
                <w:lang w:val="sr-Cyrl-RS"/>
              </w:rPr>
            </w:pPr>
            <w:r w:rsidRPr="00916865">
              <w:rPr>
                <w:rFonts w:cstheme="minorHAnsi"/>
                <w:color w:val="002060"/>
                <w:sz w:val="18"/>
                <w:szCs w:val="18"/>
                <w:lang w:val="sr-Cyrl-RS"/>
              </w:rPr>
              <w:t>4,3</w:t>
            </w:r>
          </w:p>
        </w:tc>
        <w:tc>
          <w:tcPr>
            <w:tcW w:w="506" w:type="pct"/>
            <w:tcBorders>
              <w:top w:val="nil"/>
              <w:left w:val="nil"/>
              <w:bottom w:val="nil"/>
              <w:right w:val="nil"/>
            </w:tcBorders>
            <w:shd w:val="clear" w:color="auto" w:fill="auto"/>
            <w:vAlign w:val="bottom"/>
          </w:tcPr>
          <w:p w14:paraId="1DA93228"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3,4</w:t>
            </w:r>
          </w:p>
        </w:tc>
        <w:tc>
          <w:tcPr>
            <w:tcW w:w="507" w:type="pct"/>
            <w:tcBorders>
              <w:top w:val="nil"/>
              <w:left w:val="nil"/>
              <w:bottom w:val="nil"/>
              <w:right w:val="nil"/>
            </w:tcBorders>
            <w:shd w:val="clear" w:color="auto" w:fill="auto"/>
            <w:vAlign w:val="bottom"/>
          </w:tcPr>
          <w:p w14:paraId="7EF5FD7F"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3,3</w:t>
            </w:r>
          </w:p>
        </w:tc>
      </w:tr>
      <w:tr w:rsidR="00D17D25" w:rsidRPr="00916865" w14:paraId="784AB155" w14:textId="77777777" w:rsidTr="002D6E55">
        <w:tc>
          <w:tcPr>
            <w:tcW w:w="2484" w:type="pct"/>
            <w:shd w:val="clear" w:color="auto" w:fill="auto"/>
          </w:tcPr>
          <w:p w14:paraId="44BCA9A5" w14:textId="77777777" w:rsidR="00D17D25" w:rsidRPr="00916865" w:rsidRDefault="00D17D25" w:rsidP="008527D6">
            <w:pPr>
              <w:ind w:left="256"/>
              <w:rPr>
                <w:rFonts w:cstheme="minorHAnsi"/>
                <w:color w:val="002060"/>
                <w:sz w:val="18"/>
                <w:szCs w:val="18"/>
                <w:lang w:val="sr-Cyrl-RS"/>
              </w:rPr>
            </w:pPr>
            <w:r w:rsidRPr="00916865">
              <w:rPr>
                <w:rFonts w:cstheme="minorHAnsi"/>
                <w:color w:val="002060"/>
                <w:sz w:val="18"/>
                <w:szCs w:val="18"/>
                <w:lang w:val="sr-Cyrl-RS"/>
              </w:rPr>
              <w:t>Државна потрошња</w:t>
            </w:r>
          </w:p>
        </w:tc>
        <w:tc>
          <w:tcPr>
            <w:tcW w:w="498" w:type="pct"/>
            <w:shd w:val="clear" w:color="auto" w:fill="auto"/>
          </w:tcPr>
          <w:p w14:paraId="14C50226"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-1,3</w:t>
            </w:r>
          </w:p>
        </w:tc>
        <w:tc>
          <w:tcPr>
            <w:tcW w:w="498" w:type="pct"/>
            <w:shd w:val="clear" w:color="auto" w:fill="auto"/>
          </w:tcPr>
          <w:p w14:paraId="64F03229" w14:textId="77777777" w:rsidR="00D17D25" w:rsidRPr="00916865" w:rsidRDefault="00D17D25" w:rsidP="008527D6">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bottom"/>
          </w:tcPr>
          <w:p w14:paraId="6DC13E3C"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1,5</w:t>
            </w:r>
          </w:p>
        </w:tc>
        <w:tc>
          <w:tcPr>
            <w:tcW w:w="506" w:type="pct"/>
            <w:tcBorders>
              <w:top w:val="nil"/>
              <w:left w:val="nil"/>
              <w:bottom w:val="nil"/>
              <w:right w:val="nil"/>
            </w:tcBorders>
            <w:shd w:val="clear" w:color="auto" w:fill="auto"/>
            <w:vAlign w:val="bottom"/>
          </w:tcPr>
          <w:p w14:paraId="297D80DB"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1,1</w:t>
            </w:r>
          </w:p>
        </w:tc>
        <w:tc>
          <w:tcPr>
            <w:tcW w:w="507" w:type="pct"/>
            <w:tcBorders>
              <w:top w:val="nil"/>
              <w:left w:val="nil"/>
              <w:bottom w:val="nil"/>
              <w:right w:val="nil"/>
            </w:tcBorders>
            <w:shd w:val="clear" w:color="auto" w:fill="auto"/>
            <w:vAlign w:val="bottom"/>
          </w:tcPr>
          <w:p w14:paraId="4EC50B2E"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1,8</w:t>
            </w:r>
          </w:p>
        </w:tc>
      </w:tr>
      <w:tr w:rsidR="00D17D25" w:rsidRPr="00916865" w14:paraId="281405D2" w14:textId="77777777" w:rsidTr="002D6E55">
        <w:tc>
          <w:tcPr>
            <w:tcW w:w="2484" w:type="pct"/>
            <w:shd w:val="clear" w:color="auto" w:fill="auto"/>
          </w:tcPr>
          <w:p w14:paraId="648210F9" w14:textId="77777777" w:rsidR="00D17D25" w:rsidRPr="00916865" w:rsidRDefault="00D17D25" w:rsidP="008527D6">
            <w:pPr>
              <w:ind w:left="256"/>
              <w:rPr>
                <w:rFonts w:cstheme="minorHAnsi"/>
                <w:color w:val="002060"/>
                <w:sz w:val="18"/>
                <w:szCs w:val="18"/>
                <w:lang w:val="sr-Cyrl-RS"/>
              </w:rPr>
            </w:pPr>
            <w:r w:rsidRPr="00916865">
              <w:rPr>
                <w:rFonts w:cstheme="minorHAnsi"/>
                <w:color w:val="002060"/>
                <w:sz w:val="18"/>
                <w:szCs w:val="18"/>
                <w:lang w:val="sr-Cyrl-RS"/>
              </w:rPr>
              <w:t>Бруто инвестиције у основна средства</w:t>
            </w:r>
          </w:p>
        </w:tc>
        <w:tc>
          <w:tcPr>
            <w:tcW w:w="498" w:type="pct"/>
            <w:shd w:val="clear" w:color="auto" w:fill="auto"/>
          </w:tcPr>
          <w:p w14:paraId="6CD20D7A"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3,1</w:t>
            </w:r>
          </w:p>
        </w:tc>
        <w:tc>
          <w:tcPr>
            <w:tcW w:w="498" w:type="pct"/>
            <w:shd w:val="clear" w:color="auto" w:fill="auto"/>
          </w:tcPr>
          <w:p w14:paraId="515BE62C" w14:textId="77777777" w:rsidR="00D17D25" w:rsidRPr="00916865" w:rsidRDefault="00D17D25" w:rsidP="008527D6">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bottom"/>
          </w:tcPr>
          <w:p w14:paraId="4D9A12B4"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5,2</w:t>
            </w:r>
          </w:p>
        </w:tc>
        <w:tc>
          <w:tcPr>
            <w:tcW w:w="506" w:type="pct"/>
            <w:tcBorders>
              <w:top w:val="nil"/>
              <w:left w:val="nil"/>
              <w:bottom w:val="nil"/>
              <w:right w:val="nil"/>
            </w:tcBorders>
            <w:shd w:val="clear" w:color="auto" w:fill="auto"/>
            <w:vAlign w:val="bottom"/>
          </w:tcPr>
          <w:p w14:paraId="2ACC72BC"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6,0</w:t>
            </w:r>
          </w:p>
        </w:tc>
        <w:tc>
          <w:tcPr>
            <w:tcW w:w="507" w:type="pct"/>
            <w:tcBorders>
              <w:top w:val="nil"/>
              <w:left w:val="nil"/>
              <w:bottom w:val="nil"/>
              <w:right w:val="nil"/>
            </w:tcBorders>
            <w:shd w:val="clear" w:color="auto" w:fill="auto"/>
            <w:vAlign w:val="bottom"/>
          </w:tcPr>
          <w:p w14:paraId="005A6CFE"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6,9</w:t>
            </w:r>
          </w:p>
        </w:tc>
      </w:tr>
      <w:tr w:rsidR="00D17D25" w:rsidRPr="00916865" w14:paraId="7C284CF6" w14:textId="77777777" w:rsidTr="002D6E55">
        <w:tc>
          <w:tcPr>
            <w:tcW w:w="2484" w:type="pct"/>
            <w:shd w:val="clear" w:color="auto" w:fill="auto"/>
          </w:tcPr>
          <w:p w14:paraId="23300FF3" w14:textId="77777777" w:rsidR="00D17D25" w:rsidRPr="00916865" w:rsidRDefault="00D17D25" w:rsidP="008527D6">
            <w:pPr>
              <w:ind w:left="256"/>
              <w:rPr>
                <w:rFonts w:cstheme="minorHAnsi"/>
                <w:color w:val="002060"/>
                <w:sz w:val="18"/>
                <w:szCs w:val="18"/>
                <w:lang w:val="sr-Cyrl-RS"/>
              </w:rPr>
            </w:pPr>
            <w:r w:rsidRPr="00916865">
              <w:rPr>
                <w:rFonts w:cstheme="minorHAnsi"/>
                <w:color w:val="002060"/>
                <w:sz w:val="18"/>
                <w:szCs w:val="18"/>
                <w:lang w:val="sr-Cyrl-RS"/>
              </w:rPr>
              <w:t>Извоз робе и услуга</w:t>
            </w:r>
          </w:p>
        </w:tc>
        <w:tc>
          <w:tcPr>
            <w:tcW w:w="498" w:type="pct"/>
            <w:shd w:val="clear" w:color="auto" w:fill="auto"/>
          </w:tcPr>
          <w:p w14:paraId="05E0AA28" w14:textId="77777777" w:rsidR="00D17D25" w:rsidRPr="00916865" w:rsidRDefault="00D17D25" w:rsidP="002D6E55">
            <w:pPr>
              <w:jc w:val="center"/>
              <w:rPr>
                <w:rFonts w:cstheme="minorHAnsi"/>
                <w:color w:val="002060"/>
                <w:sz w:val="18"/>
                <w:szCs w:val="18"/>
                <w:lang w:val="sr-Cyrl-RS"/>
              </w:rPr>
            </w:pPr>
            <w:r w:rsidRPr="00916865">
              <w:rPr>
                <w:rFonts w:cstheme="minorHAnsi"/>
                <w:color w:val="002060"/>
                <w:sz w:val="18"/>
                <w:szCs w:val="18"/>
                <w:lang w:val="sr-Cyrl-RS"/>
              </w:rPr>
              <w:t>3,0</w:t>
            </w:r>
          </w:p>
        </w:tc>
        <w:tc>
          <w:tcPr>
            <w:tcW w:w="498" w:type="pct"/>
            <w:shd w:val="clear" w:color="auto" w:fill="auto"/>
          </w:tcPr>
          <w:p w14:paraId="16EC81F2" w14:textId="77777777" w:rsidR="00D17D25" w:rsidRPr="00916865" w:rsidRDefault="00D17D25" w:rsidP="008527D6">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bottom"/>
          </w:tcPr>
          <w:p w14:paraId="0A41EA59"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8,1</w:t>
            </w:r>
          </w:p>
        </w:tc>
        <w:tc>
          <w:tcPr>
            <w:tcW w:w="506" w:type="pct"/>
            <w:tcBorders>
              <w:top w:val="nil"/>
              <w:left w:val="nil"/>
              <w:bottom w:val="nil"/>
              <w:right w:val="nil"/>
            </w:tcBorders>
            <w:shd w:val="clear" w:color="auto" w:fill="auto"/>
            <w:vAlign w:val="bottom"/>
          </w:tcPr>
          <w:p w14:paraId="1DC80C1C"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10,5</w:t>
            </w:r>
          </w:p>
        </w:tc>
        <w:tc>
          <w:tcPr>
            <w:tcW w:w="507" w:type="pct"/>
            <w:tcBorders>
              <w:top w:val="nil"/>
              <w:left w:val="nil"/>
              <w:bottom w:val="nil"/>
              <w:right w:val="nil"/>
            </w:tcBorders>
            <w:shd w:val="clear" w:color="auto" w:fill="auto"/>
            <w:vAlign w:val="bottom"/>
          </w:tcPr>
          <w:p w14:paraId="1E85555B"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11,5</w:t>
            </w:r>
          </w:p>
        </w:tc>
      </w:tr>
      <w:tr w:rsidR="00D17D25" w:rsidRPr="00916865" w14:paraId="036332A8" w14:textId="77777777" w:rsidTr="002D6E55">
        <w:tc>
          <w:tcPr>
            <w:tcW w:w="2484" w:type="pct"/>
            <w:shd w:val="clear" w:color="auto" w:fill="auto"/>
          </w:tcPr>
          <w:p w14:paraId="311D6F75" w14:textId="77777777" w:rsidR="00D17D25" w:rsidRPr="00916865" w:rsidRDefault="00D17D25" w:rsidP="008527D6">
            <w:pPr>
              <w:ind w:left="256"/>
              <w:rPr>
                <w:rFonts w:cstheme="minorHAnsi"/>
                <w:color w:val="002060"/>
                <w:sz w:val="18"/>
                <w:szCs w:val="18"/>
                <w:lang w:val="sr-Cyrl-RS"/>
              </w:rPr>
            </w:pPr>
            <w:r w:rsidRPr="00916865">
              <w:rPr>
                <w:rFonts w:cstheme="minorHAnsi"/>
                <w:color w:val="002060"/>
                <w:sz w:val="18"/>
                <w:szCs w:val="18"/>
                <w:lang w:val="sr-Cyrl-RS"/>
              </w:rPr>
              <w:t>Увоз робе и услуга</w:t>
            </w:r>
          </w:p>
        </w:tc>
        <w:tc>
          <w:tcPr>
            <w:tcW w:w="498" w:type="pct"/>
            <w:shd w:val="clear" w:color="auto" w:fill="auto"/>
          </w:tcPr>
          <w:p w14:paraId="5149992B" w14:textId="77777777" w:rsidR="00D17D25" w:rsidRPr="00916865" w:rsidRDefault="00D17D25" w:rsidP="002D6E55">
            <w:pPr>
              <w:jc w:val="center"/>
              <w:rPr>
                <w:rFonts w:cstheme="minorHAnsi"/>
                <w:color w:val="002060"/>
                <w:sz w:val="18"/>
                <w:szCs w:val="18"/>
                <w:lang w:val="sr-Cyrl-RS"/>
              </w:rPr>
            </w:pPr>
            <w:r w:rsidRPr="00916865">
              <w:rPr>
                <w:rFonts w:cstheme="minorHAnsi"/>
                <w:color w:val="002060"/>
                <w:sz w:val="18"/>
                <w:szCs w:val="18"/>
                <w:lang w:val="sr-Cyrl-RS"/>
              </w:rPr>
              <w:t>-1,4</w:t>
            </w:r>
          </w:p>
        </w:tc>
        <w:tc>
          <w:tcPr>
            <w:tcW w:w="498" w:type="pct"/>
            <w:shd w:val="clear" w:color="auto" w:fill="auto"/>
          </w:tcPr>
          <w:p w14:paraId="0F85F345" w14:textId="77777777" w:rsidR="00D17D25" w:rsidRPr="00916865" w:rsidRDefault="00D17D25" w:rsidP="008527D6">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bottom"/>
          </w:tcPr>
          <w:p w14:paraId="20D26015"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8,4</w:t>
            </w:r>
          </w:p>
        </w:tc>
        <w:tc>
          <w:tcPr>
            <w:tcW w:w="506" w:type="pct"/>
            <w:tcBorders>
              <w:top w:val="nil"/>
              <w:left w:val="nil"/>
              <w:bottom w:val="nil"/>
              <w:right w:val="nil"/>
            </w:tcBorders>
            <w:shd w:val="clear" w:color="auto" w:fill="auto"/>
            <w:vAlign w:val="bottom"/>
          </w:tcPr>
          <w:p w14:paraId="41BCBA14"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9,2</w:t>
            </w:r>
          </w:p>
        </w:tc>
        <w:tc>
          <w:tcPr>
            <w:tcW w:w="507" w:type="pct"/>
            <w:tcBorders>
              <w:top w:val="nil"/>
              <w:left w:val="nil"/>
              <w:bottom w:val="nil"/>
              <w:right w:val="nil"/>
            </w:tcBorders>
            <w:shd w:val="clear" w:color="auto" w:fill="auto"/>
            <w:vAlign w:val="bottom"/>
          </w:tcPr>
          <w:p w14:paraId="003B70CE"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10,2</w:t>
            </w:r>
          </w:p>
        </w:tc>
      </w:tr>
      <w:tr w:rsidR="00D17D25" w:rsidRPr="00916865" w14:paraId="4FD0CCD7" w14:textId="77777777" w:rsidTr="002D6E55">
        <w:tc>
          <w:tcPr>
            <w:tcW w:w="2484" w:type="pct"/>
            <w:shd w:val="clear" w:color="auto" w:fill="auto"/>
          </w:tcPr>
          <w:p w14:paraId="0F9B03C5" w14:textId="77777777" w:rsidR="00D17D25" w:rsidRPr="00916865" w:rsidRDefault="00D17D25" w:rsidP="008527D6">
            <w:pPr>
              <w:ind w:left="-15"/>
              <w:rPr>
                <w:rFonts w:cstheme="minorHAnsi"/>
                <w:color w:val="002060"/>
                <w:sz w:val="18"/>
                <w:szCs w:val="18"/>
                <w:lang w:val="sr-Cyrl-RS"/>
              </w:rPr>
            </w:pPr>
            <w:r w:rsidRPr="00916865">
              <w:rPr>
                <w:rFonts w:cstheme="minorHAnsi"/>
                <w:color w:val="002060"/>
                <w:sz w:val="18"/>
                <w:szCs w:val="18"/>
                <w:lang w:val="sr-Cyrl-RS"/>
              </w:rPr>
              <w:t>Салдо робе и услуга, у ЕУР, % БДП</w:t>
            </w:r>
          </w:p>
        </w:tc>
        <w:tc>
          <w:tcPr>
            <w:tcW w:w="498" w:type="pct"/>
            <w:shd w:val="clear" w:color="auto" w:fill="auto"/>
          </w:tcPr>
          <w:p w14:paraId="48EC48E9"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-6,3</w:t>
            </w:r>
          </w:p>
        </w:tc>
        <w:tc>
          <w:tcPr>
            <w:tcW w:w="498" w:type="pct"/>
            <w:shd w:val="clear" w:color="auto" w:fill="auto"/>
          </w:tcPr>
          <w:p w14:paraId="2BB5E9FA" w14:textId="77777777" w:rsidR="00D17D25" w:rsidRPr="00916865" w:rsidRDefault="00D17D25" w:rsidP="008527D6">
            <w:pPr>
              <w:jc w:val="center"/>
              <w:rPr>
                <w:rFonts w:cstheme="minorHAnsi"/>
                <w:color w:val="002060"/>
                <w:sz w:val="18"/>
                <w:szCs w:val="18"/>
                <w:lang w:val="sr-Cyrl-RS"/>
              </w:rPr>
            </w:pPr>
          </w:p>
        </w:tc>
        <w:tc>
          <w:tcPr>
            <w:tcW w:w="506" w:type="pct"/>
            <w:shd w:val="clear" w:color="auto" w:fill="auto"/>
          </w:tcPr>
          <w:p w14:paraId="7CDDD703" w14:textId="77777777" w:rsidR="00D17D25" w:rsidRPr="00916865" w:rsidRDefault="00D17D25" w:rsidP="008527D6">
            <w:pPr>
              <w:jc w:val="center"/>
              <w:rPr>
                <w:color w:val="002060"/>
                <w:sz w:val="18"/>
                <w:lang w:val="sr-Cyrl-RS"/>
              </w:rPr>
            </w:pPr>
            <w:r w:rsidRPr="00916865">
              <w:rPr>
                <w:color w:val="002060"/>
                <w:sz w:val="18"/>
                <w:lang w:val="sr-Cyrl-RS"/>
              </w:rPr>
              <w:t>-6,6</w:t>
            </w:r>
          </w:p>
        </w:tc>
        <w:tc>
          <w:tcPr>
            <w:tcW w:w="506" w:type="pct"/>
            <w:shd w:val="clear" w:color="auto" w:fill="auto"/>
          </w:tcPr>
          <w:p w14:paraId="658E7AF5" w14:textId="77777777" w:rsidR="00D17D25" w:rsidRPr="00916865" w:rsidRDefault="00D17D25" w:rsidP="008527D6">
            <w:pPr>
              <w:jc w:val="center"/>
              <w:rPr>
                <w:color w:val="002060"/>
                <w:sz w:val="18"/>
                <w:lang w:val="sr-Cyrl-RS"/>
              </w:rPr>
            </w:pPr>
            <w:r w:rsidRPr="00916865">
              <w:rPr>
                <w:color w:val="002060"/>
                <w:sz w:val="18"/>
                <w:lang w:val="sr-Cyrl-RS"/>
              </w:rPr>
              <w:t>-6,1</w:t>
            </w:r>
          </w:p>
        </w:tc>
        <w:tc>
          <w:tcPr>
            <w:tcW w:w="507" w:type="pct"/>
            <w:shd w:val="clear" w:color="auto" w:fill="auto"/>
          </w:tcPr>
          <w:p w14:paraId="2610065C" w14:textId="77777777" w:rsidR="00D17D25" w:rsidRPr="00916865" w:rsidRDefault="00D17D25" w:rsidP="008527D6">
            <w:pPr>
              <w:jc w:val="center"/>
              <w:rPr>
                <w:color w:val="002060"/>
                <w:sz w:val="18"/>
                <w:lang w:val="sr-Cyrl-RS"/>
              </w:rPr>
            </w:pPr>
            <w:r w:rsidRPr="00916865">
              <w:rPr>
                <w:color w:val="002060"/>
                <w:sz w:val="18"/>
                <w:lang w:val="sr-Cyrl-RS"/>
              </w:rPr>
              <w:t>-5,6</w:t>
            </w:r>
          </w:p>
        </w:tc>
      </w:tr>
      <w:tr w:rsidR="00D17D25" w:rsidRPr="00916865" w14:paraId="66882A70" w14:textId="77777777" w:rsidTr="002D6E55">
        <w:tc>
          <w:tcPr>
            <w:tcW w:w="2484" w:type="pct"/>
            <w:shd w:val="clear" w:color="auto" w:fill="auto"/>
          </w:tcPr>
          <w:p w14:paraId="184F30A5" w14:textId="77777777" w:rsidR="00D17D25" w:rsidRPr="00916865" w:rsidRDefault="00D17D25" w:rsidP="008527D6">
            <w:pPr>
              <w:ind w:left="-15"/>
              <w:rPr>
                <w:rFonts w:cstheme="minorHAnsi"/>
                <w:color w:val="002060"/>
                <w:sz w:val="18"/>
                <w:szCs w:val="18"/>
                <w:lang w:val="sr-Cyrl-RS"/>
              </w:rPr>
            </w:pPr>
            <w:r w:rsidRPr="00916865">
              <w:rPr>
                <w:rFonts w:cstheme="minorHAnsi"/>
                <w:color w:val="002060"/>
                <w:sz w:val="18"/>
                <w:szCs w:val="18"/>
                <w:lang w:val="sr-Cyrl-RS"/>
              </w:rPr>
              <w:t>Салдо текућег рачуна, у ЕУР, % БДП</w:t>
            </w:r>
          </w:p>
        </w:tc>
        <w:tc>
          <w:tcPr>
            <w:tcW w:w="498" w:type="pct"/>
            <w:shd w:val="clear" w:color="auto" w:fill="auto"/>
          </w:tcPr>
          <w:p w14:paraId="3109E9EE"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-2,9</w:t>
            </w:r>
          </w:p>
        </w:tc>
        <w:tc>
          <w:tcPr>
            <w:tcW w:w="498" w:type="pct"/>
            <w:shd w:val="clear" w:color="auto" w:fill="auto"/>
          </w:tcPr>
          <w:p w14:paraId="64602DF2" w14:textId="77777777" w:rsidR="00D17D25" w:rsidRPr="00916865" w:rsidRDefault="00D17D25" w:rsidP="008527D6">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bottom"/>
          </w:tcPr>
          <w:p w14:paraId="58CF78A0"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-4,0</w:t>
            </w:r>
          </w:p>
        </w:tc>
        <w:tc>
          <w:tcPr>
            <w:tcW w:w="506" w:type="pct"/>
            <w:tcBorders>
              <w:top w:val="nil"/>
              <w:left w:val="nil"/>
              <w:bottom w:val="nil"/>
              <w:right w:val="nil"/>
            </w:tcBorders>
            <w:shd w:val="clear" w:color="auto" w:fill="auto"/>
            <w:vAlign w:val="bottom"/>
          </w:tcPr>
          <w:p w14:paraId="2A53788E"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-4,1</w:t>
            </w:r>
          </w:p>
        </w:tc>
        <w:tc>
          <w:tcPr>
            <w:tcW w:w="507" w:type="pct"/>
            <w:tcBorders>
              <w:top w:val="nil"/>
              <w:left w:val="nil"/>
              <w:bottom w:val="nil"/>
              <w:right w:val="nil"/>
            </w:tcBorders>
            <w:shd w:val="clear" w:color="auto" w:fill="auto"/>
            <w:vAlign w:val="bottom"/>
          </w:tcPr>
          <w:p w14:paraId="5F449EAD"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-4,1</w:t>
            </w:r>
          </w:p>
        </w:tc>
      </w:tr>
      <w:tr w:rsidR="00D17D25" w:rsidRPr="00916865" w14:paraId="73564E0A" w14:textId="77777777" w:rsidTr="002D6E55">
        <w:trPr>
          <w:trHeight w:val="193"/>
        </w:trPr>
        <w:tc>
          <w:tcPr>
            <w:tcW w:w="2484" w:type="pct"/>
            <w:tcBorders>
              <w:bottom w:val="single" w:sz="4" w:space="0" w:color="002060"/>
            </w:tcBorders>
            <w:shd w:val="clear" w:color="auto" w:fill="auto"/>
          </w:tcPr>
          <w:p w14:paraId="10D0F17E" w14:textId="77777777" w:rsidR="00D17D25" w:rsidRPr="00916865" w:rsidRDefault="00D17D25" w:rsidP="008527D6">
            <w:pPr>
              <w:rPr>
                <w:rFonts w:cstheme="minorHAnsi"/>
                <w:color w:val="002060"/>
                <w:sz w:val="18"/>
                <w:szCs w:val="18"/>
                <w:lang w:val="sr-Cyrl-RS"/>
              </w:rPr>
            </w:pPr>
            <w:r w:rsidRPr="00916865">
              <w:rPr>
                <w:rFonts w:cstheme="minorHAnsi"/>
                <w:color w:val="002060"/>
                <w:sz w:val="18"/>
                <w:szCs w:val="18"/>
                <w:lang w:val="sr-Cyrl-RS"/>
              </w:rPr>
              <w:t>Инфлација, просек периода, %</w:t>
            </w:r>
          </w:p>
        </w:tc>
        <w:tc>
          <w:tcPr>
            <w:tcW w:w="498" w:type="pct"/>
            <w:tcBorders>
              <w:bottom w:val="single" w:sz="4" w:space="0" w:color="002060"/>
            </w:tcBorders>
            <w:shd w:val="clear" w:color="auto" w:fill="auto"/>
          </w:tcPr>
          <w:p w14:paraId="3ACD2A58" w14:textId="77777777" w:rsidR="00D17D25" w:rsidRPr="00916865" w:rsidRDefault="00D17D25" w:rsidP="008527D6">
            <w:pPr>
              <w:jc w:val="center"/>
              <w:rPr>
                <w:rFonts w:cstheme="minorHAnsi"/>
                <w:color w:val="002060"/>
                <w:sz w:val="18"/>
                <w:szCs w:val="18"/>
                <w:lang w:val="sr-Cyrl-RS"/>
              </w:rPr>
            </w:pPr>
            <w:r w:rsidRPr="00916865">
              <w:rPr>
                <w:rFonts w:cstheme="minorHAnsi"/>
                <w:color w:val="002060"/>
                <w:sz w:val="18"/>
                <w:szCs w:val="18"/>
                <w:lang w:val="sr-Cyrl-RS"/>
              </w:rPr>
              <w:t>12,5</w:t>
            </w:r>
          </w:p>
        </w:tc>
        <w:tc>
          <w:tcPr>
            <w:tcW w:w="498" w:type="pct"/>
            <w:tcBorders>
              <w:top w:val="nil"/>
              <w:left w:val="nil"/>
              <w:bottom w:val="nil"/>
              <w:right w:val="nil"/>
            </w:tcBorders>
            <w:shd w:val="clear" w:color="auto" w:fill="auto"/>
          </w:tcPr>
          <w:p w14:paraId="6BDE34F4" w14:textId="77777777" w:rsidR="00D17D25" w:rsidRPr="00916865" w:rsidRDefault="00D17D25" w:rsidP="008527D6">
            <w:pPr>
              <w:jc w:val="center"/>
              <w:rPr>
                <w:rFonts w:cstheme="minorHAnsi"/>
                <w:color w:val="002060"/>
                <w:sz w:val="18"/>
                <w:szCs w:val="18"/>
                <w:lang w:val="sr-Cyrl-RS"/>
              </w:rPr>
            </w:pPr>
          </w:p>
        </w:tc>
        <w:tc>
          <w:tcPr>
            <w:tcW w:w="506" w:type="pct"/>
            <w:tcBorders>
              <w:top w:val="nil"/>
              <w:left w:val="nil"/>
              <w:bottom w:val="nil"/>
              <w:right w:val="nil"/>
            </w:tcBorders>
            <w:shd w:val="clear" w:color="auto" w:fill="auto"/>
          </w:tcPr>
          <w:p w14:paraId="46A25D51" w14:textId="77777777" w:rsidR="00D17D25" w:rsidRPr="00916865" w:rsidRDefault="00D17D25" w:rsidP="008527D6">
            <w:pPr>
              <w:jc w:val="center"/>
              <w:rPr>
                <w:color w:val="002060"/>
                <w:sz w:val="18"/>
                <w:lang w:val="sr-Cyrl-RS"/>
              </w:rPr>
            </w:pPr>
            <w:r w:rsidRPr="00916865">
              <w:rPr>
                <w:color w:val="002060"/>
                <w:sz w:val="18"/>
                <w:lang w:val="sr-Cyrl-RS"/>
              </w:rPr>
              <w:t>4,9</w:t>
            </w:r>
          </w:p>
        </w:tc>
        <w:tc>
          <w:tcPr>
            <w:tcW w:w="506" w:type="pct"/>
            <w:tcBorders>
              <w:top w:val="nil"/>
              <w:left w:val="nil"/>
              <w:bottom w:val="nil"/>
              <w:right w:val="nil"/>
            </w:tcBorders>
            <w:shd w:val="clear" w:color="auto" w:fill="auto"/>
          </w:tcPr>
          <w:p w14:paraId="5DE2BCD3" w14:textId="77777777" w:rsidR="00D17D25" w:rsidRPr="00916865" w:rsidRDefault="00D17D25" w:rsidP="008527D6">
            <w:pPr>
              <w:jc w:val="center"/>
              <w:rPr>
                <w:color w:val="002060"/>
                <w:sz w:val="18"/>
                <w:lang w:val="sr-Cyrl-RS"/>
              </w:rPr>
            </w:pPr>
            <w:r w:rsidRPr="00916865">
              <w:rPr>
                <w:color w:val="002060"/>
                <w:sz w:val="18"/>
                <w:lang w:val="sr-Cyrl-RS"/>
              </w:rPr>
              <w:t>3,5</w:t>
            </w:r>
          </w:p>
        </w:tc>
        <w:tc>
          <w:tcPr>
            <w:tcW w:w="507" w:type="pct"/>
            <w:tcBorders>
              <w:top w:val="nil"/>
              <w:left w:val="nil"/>
              <w:bottom w:val="nil"/>
              <w:right w:val="nil"/>
            </w:tcBorders>
            <w:shd w:val="clear" w:color="auto" w:fill="auto"/>
          </w:tcPr>
          <w:p w14:paraId="5E72C0AB" w14:textId="77777777" w:rsidR="00D17D25" w:rsidRPr="00916865" w:rsidRDefault="00D17D25" w:rsidP="008527D6">
            <w:pPr>
              <w:jc w:val="center"/>
              <w:rPr>
                <w:color w:val="002060"/>
                <w:sz w:val="18"/>
                <w:lang w:val="sr-Cyrl-RS"/>
              </w:rPr>
            </w:pPr>
            <w:r w:rsidRPr="00916865">
              <w:rPr>
                <w:color w:val="002060"/>
                <w:sz w:val="18"/>
                <w:lang w:val="sr-Cyrl-RS"/>
              </w:rPr>
              <w:t>3,0</w:t>
            </w:r>
          </w:p>
        </w:tc>
      </w:tr>
      <w:tr w:rsidR="00D17D25" w:rsidRPr="00916865" w14:paraId="721B65CA" w14:textId="77777777" w:rsidTr="002D6E55">
        <w:tc>
          <w:tcPr>
            <w:tcW w:w="2484" w:type="pct"/>
            <w:tcBorders>
              <w:top w:val="single" w:sz="4" w:space="0" w:color="002060"/>
            </w:tcBorders>
            <w:shd w:val="clear" w:color="auto" w:fill="auto"/>
          </w:tcPr>
          <w:p w14:paraId="50FCC161" w14:textId="77777777" w:rsidR="00D17D25" w:rsidRPr="00916865" w:rsidRDefault="00D17D25" w:rsidP="00FA6BD0">
            <w:pPr>
              <w:rPr>
                <w:rFonts w:cstheme="minorHAnsi"/>
                <w:sz w:val="16"/>
                <w:lang w:val="sr-Cyrl-RS"/>
              </w:rPr>
            </w:pPr>
            <w:r w:rsidRPr="00916865">
              <w:rPr>
                <w:rFonts w:cstheme="minorHAnsi"/>
                <w:sz w:val="16"/>
                <w:lang w:val="sr-Cyrl-RS"/>
              </w:rPr>
              <w:t>Извор: Министарство финансија</w:t>
            </w:r>
          </w:p>
        </w:tc>
        <w:tc>
          <w:tcPr>
            <w:tcW w:w="498" w:type="pct"/>
            <w:tcBorders>
              <w:top w:val="single" w:sz="4" w:space="0" w:color="002060"/>
            </w:tcBorders>
            <w:shd w:val="clear" w:color="auto" w:fill="auto"/>
          </w:tcPr>
          <w:p w14:paraId="0B9387E0" w14:textId="77777777" w:rsidR="00D17D25" w:rsidRPr="00916865" w:rsidRDefault="00D17D25" w:rsidP="002D6E55">
            <w:pPr>
              <w:jc w:val="center"/>
              <w:rPr>
                <w:rFonts w:cstheme="minorHAnsi"/>
                <w:sz w:val="16"/>
                <w:lang w:val="sr-Cyrl-RS"/>
              </w:rPr>
            </w:pPr>
          </w:p>
        </w:tc>
        <w:tc>
          <w:tcPr>
            <w:tcW w:w="498" w:type="pct"/>
            <w:tcBorders>
              <w:top w:val="single" w:sz="4" w:space="0" w:color="002060"/>
            </w:tcBorders>
            <w:shd w:val="clear" w:color="auto" w:fill="auto"/>
          </w:tcPr>
          <w:p w14:paraId="35D0437D" w14:textId="77777777" w:rsidR="00D17D25" w:rsidRPr="00916865" w:rsidRDefault="00D17D25" w:rsidP="002D6E55">
            <w:pPr>
              <w:jc w:val="center"/>
              <w:rPr>
                <w:rFonts w:cstheme="minorHAnsi"/>
                <w:sz w:val="16"/>
                <w:lang w:val="sr-Cyrl-RS"/>
              </w:rPr>
            </w:pPr>
          </w:p>
        </w:tc>
        <w:tc>
          <w:tcPr>
            <w:tcW w:w="506" w:type="pct"/>
            <w:tcBorders>
              <w:top w:val="single" w:sz="4" w:space="0" w:color="002060"/>
            </w:tcBorders>
            <w:shd w:val="clear" w:color="auto" w:fill="auto"/>
          </w:tcPr>
          <w:p w14:paraId="11B9E536" w14:textId="77777777" w:rsidR="00D17D25" w:rsidRPr="00916865" w:rsidRDefault="00D17D25" w:rsidP="002D6E55">
            <w:pPr>
              <w:jc w:val="center"/>
              <w:rPr>
                <w:rFonts w:cstheme="minorHAnsi"/>
                <w:sz w:val="16"/>
                <w:lang w:val="sr-Cyrl-RS"/>
              </w:rPr>
            </w:pPr>
          </w:p>
        </w:tc>
        <w:tc>
          <w:tcPr>
            <w:tcW w:w="506" w:type="pct"/>
            <w:tcBorders>
              <w:top w:val="single" w:sz="4" w:space="0" w:color="002060"/>
            </w:tcBorders>
            <w:shd w:val="clear" w:color="auto" w:fill="auto"/>
          </w:tcPr>
          <w:p w14:paraId="239AF115" w14:textId="77777777" w:rsidR="00D17D25" w:rsidRPr="00916865" w:rsidRDefault="00D17D25" w:rsidP="002D6E55">
            <w:pPr>
              <w:jc w:val="center"/>
              <w:rPr>
                <w:rFonts w:cstheme="minorHAnsi"/>
                <w:sz w:val="16"/>
                <w:lang w:val="sr-Cyrl-RS"/>
              </w:rPr>
            </w:pPr>
          </w:p>
        </w:tc>
        <w:tc>
          <w:tcPr>
            <w:tcW w:w="507" w:type="pct"/>
            <w:tcBorders>
              <w:top w:val="single" w:sz="4" w:space="0" w:color="002060"/>
            </w:tcBorders>
            <w:shd w:val="clear" w:color="auto" w:fill="auto"/>
          </w:tcPr>
          <w:p w14:paraId="0A1F6968" w14:textId="77777777" w:rsidR="00D17D25" w:rsidRPr="00916865" w:rsidRDefault="00D17D25" w:rsidP="002D6E55">
            <w:pPr>
              <w:jc w:val="center"/>
              <w:rPr>
                <w:rFonts w:cstheme="minorHAnsi"/>
                <w:sz w:val="16"/>
                <w:lang w:val="sr-Cyrl-RS"/>
              </w:rPr>
            </w:pPr>
          </w:p>
        </w:tc>
      </w:tr>
    </w:tbl>
    <w:p w14:paraId="201CDA44" w14:textId="77777777" w:rsidR="00D17D25" w:rsidRPr="00916865" w:rsidRDefault="00D17D25" w:rsidP="002D6E55">
      <w:pPr>
        <w:spacing w:after="0"/>
        <w:rPr>
          <w:rFonts w:cstheme="minorHAnsi"/>
          <w:bCs/>
          <w:sz w:val="16"/>
          <w:szCs w:val="72"/>
          <w:lang w:val="sr-Cyrl-RS"/>
        </w:rPr>
        <w:sectPr w:rsidR="00D17D25" w:rsidRPr="00916865" w:rsidSect="002D6E55">
          <w:type w:val="continuous"/>
          <w:pgSz w:w="12240" w:h="15840" w:code="1"/>
          <w:pgMar w:top="1440" w:right="1440" w:bottom="1440" w:left="1440" w:header="720" w:footer="720" w:gutter="0"/>
          <w:cols w:space="720"/>
          <w:docGrid w:linePitch="360"/>
        </w:sectPr>
      </w:pPr>
    </w:p>
    <w:p w14:paraId="0DEE1B21" w14:textId="6D8BBB7D" w:rsidR="00D17D25" w:rsidRPr="00916865" w:rsidRDefault="00D17D25" w:rsidP="008527D6">
      <w:pPr>
        <w:rPr>
          <w:rFonts w:cstheme="minorHAnsi"/>
          <w:bCs/>
          <w:szCs w:val="72"/>
          <w:lang w:val="sr-Cyrl-RS"/>
        </w:rPr>
      </w:pPr>
      <w:r w:rsidRPr="00916865">
        <w:rPr>
          <w:rFonts w:cstheme="minorHAnsi"/>
          <w:bCs/>
          <w:szCs w:val="72"/>
          <w:lang w:val="sr-Cyrl-RS"/>
        </w:rPr>
        <w:t xml:space="preserve">Посматрано по агрегатима употребе раст БДП у 2024. години биће у потпуности опредељен домаћом тражњом. Очекивано повећање зарада, како у приватном тако и у јавном сектору уз раст минималне зараде од 17,8%, већа запосленост и даљи раст пензија резултираће растом реалне личне потрошње од 4,3%, што је блага ревизија навише, за 0,8 п.п. у односу на иницијалну пројекцију. Благи позитиван допринос расту БДП у 2024. години доћи ће од државне потрошње, за коју се након пада у 2023. години од 1,3% очекује раст од 1,5% у 2024. години. Висока профитабилност домаће привреде, наставак стабилног прилива </w:t>
      </w:r>
      <w:r w:rsidR="00A064C8">
        <w:rPr>
          <w:rFonts w:cstheme="minorHAnsi"/>
          <w:bCs/>
          <w:szCs w:val="72"/>
          <w:lang w:val="sr-Cyrl-RS"/>
        </w:rPr>
        <w:t>СДИ</w:t>
      </w:r>
      <w:r w:rsidRPr="00916865">
        <w:rPr>
          <w:rFonts w:cstheme="minorHAnsi"/>
          <w:bCs/>
          <w:szCs w:val="72"/>
          <w:lang w:val="sr-Cyrl-RS"/>
        </w:rPr>
        <w:t xml:space="preserve"> уз очекивани опоравак спољне тражње, додатно подржано убрзањем реализације капиталних инфраструктурних </w:t>
      </w:r>
      <w:r w:rsidRPr="00916865">
        <w:rPr>
          <w:rFonts w:cstheme="minorHAnsi"/>
          <w:bCs/>
          <w:szCs w:val="72"/>
          <w:lang w:val="sr-Cyrl-RS"/>
        </w:rPr>
        <w:t>пројеката резултираће већим растом инвестиција од претходно очекиваног за 2</w:t>
      </w:r>
      <w:r w:rsidR="00E86B4E">
        <w:rPr>
          <w:rFonts w:cstheme="minorHAnsi"/>
          <w:bCs/>
          <w:szCs w:val="72"/>
          <w:lang w:val="sr-Latn-RS"/>
        </w:rPr>
        <w:t>,0</w:t>
      </w:r>
      <w:r w:rsidRPr="00916865">
        <w:rPr>
          <w:rFonts w:cstheme="minorHAnsi"/>
          <w:bCs/>
          <w:szCs w:val="72"/>
          <w:lang w:val="sr-Cyrl-RS"/>
        </w:rPr>
        <w:t xml:space="preserve"> п.п</w:t>
      </w:r>
      <w:r w:rsidRPr="000979D4">
        <w:rPr>
          <w:rFonts w:cstheme="minorHAnsi"/>
          <w:bCs/>
          <w:szCs w:val="72"/>
          <w:lang w:val="sr-Cyrl-RS"/>
        </w:rPr>
        <w:t>.</w:t>
      </w:r>
      <w:r w:rsidRPr="00916865">
        <w:rPr>
          <w:rFonts w:cstheme="minorHAnsi"/>
          <w:bCs/>
          <w:szCs w:val="72"/>
          <w:lang w:val="sr-Cyrl-RS"/>
        </w:rPr>
        <w:t>, упркос ефектима заоштравања финансијских услова. Постепени опоравак спољне тражње уз активирање нових извозно оријентисаних капацитета као резултат ефектуирања СДИ, обезбедиће стабилан раст реалног извоза од 8,1%, што је готово непромењено у односу на оригиналну пројекцију. С друге стране, снажнији раст домаће тражње од претходно очекиваног, али и нижа база из претходне године условиће бржи раст увоза за 1,2 п.п</w:t>
      </w:r>
      <w:r w:rsidRPr="000979D4">
        <w:rPr>
          <w:rFonts w:cstheme="minorHAnsi"/>
          <w:bCs/>
          <w:szCs w:val="72"/>
          <w:lang w:val="sr-Cyrl-RS"/>
        </w:rPr>
        <w:t>.</w:t>
      </w:r>
      <w:r w:rsidRPr="00916865">
        <w:rPr>
          <w:rFonts w:cstheme="minorHAnsi"/>
          <w:bCs/>
          <w:szCs w:val="72"/>
          <w:lang w:val="sr-Cyrl-RS"/>
        </w:rPr>
        <w:t xml:space="preserve"> у односу на иницијалну пројекцију. Оваква кретања спољнотрговинских токова имаће за последицу негативан допринос нето извоза расту БДП од 1,0 п.п.</w:t>
      </w:r>
    </w:p>
    <w:p w14:paraId="02936BDA" w14:textId="77777777" w:rsidR="00D17D25" w:rsidRPr="00916865" w:rsidRDefault="00D17D25" w:rsidP="008527D6">
      <w:pPr>
        <w:rPr>
          <w:rFonts w:cstheme="minorHAnsi"/>
          <w:bCs/>
          <w:color w:val="FF0000"/>
          <w:szCs w:val="72"/>
          <w:lang w:val="sr-Cyrl-RS"/>
        </w:rPr>
        <w:sectPr w:rsidR="00D17D25" w:rsidRPr="00916865" w:rsidSect="002D6E55">
          <w:type w:val="continuous"/>
          <w:pgSz w:w="12240" w:h="15840" w:code="1"/>
          <w:pgMar w:top="1440" w:right="1440" w:bottom="1440" w:left="1440" w:header="720" w:footer="720" w:gutter="0"/>
          <w:cols w:num="2" w:space="720"/>
          <w:docGrid w:linePitch="360"/>
        </w:sectPr>
      </w:pPr>
    </w:p>
    <w:p w14:paraId="351A8FBB" w14:textId="77777777" w:rsidR="0025050D" w:rsidRDefault="0025050D" w:rsidP="0025050D">
      <w:pPr>
        <w:rPr>
          <w:lang w:val="sr-Cyrl-RS"/>
        </w:rPr>
      </w:pPr>
    </w:p>
    <w:p w14:paraId="66483AA4" w14:textId="77777777" w:rsidR="0025050D" w:rsidRDefault="0025050D" w:rsidP="0025050D">
      <w:pPr>
        <w:rPr>
          <w:lang w:val="sr-Cyrl-RS"/>
        </w:rPr>
      </w:pPr>
    </w:p>
    <w:p w14:paraId="28FA76B6" w14:textId="77777777" w:rsidR="0025050D" w:rsidRPr="00916865" w:rsidRDefault="0025050D" w:rsidP="0025050D">
      <w:pPr>
        <w:pStyle w:val="NoSpacing"/>
        <w:spacing w:after="40"/>
        <w:jc w:val="center"/>
        <w:rPr>
          <w:rFonts w:cstheme="minorHAnsi"/>
          <w:color w:val="002060"/>
          <w:lang w:val="sr-Cyrl-RS"/>
        </w:rPr>
      </w:pPr>
      <w:r w:rsidRPr="00916865">
        <w:rPr>
          <w:rFonts w:cstheme="minorHAnsi"/>
          <w:color w:val="002060"/>
          <w:lang w:val="sr-Cyrl-RS"/>
        </w:rPr>
        <w:lastRenderedPageBreak/>
        <w:t xml:space="preserve">Доприноси стопи реалног раста БДП, </w:t>
      </w:r>
      <w:r w:rsidRPr="00916865">
        <w:rPr>
          <w:rFonts w:cstheme="minorHAnsi"/>
          <w:color w:val="002060"/>
          <w:lang w:val="sr-Cyrl-RS"/>
        </w:rPr>
        <w:br/>
        <w:t>расходни приступ, п.п.</w:t>
      </w:r>
    </w:p>
    <w:p w14:paraId="2BA8DC04" w14:textId="77777777" w:rsidR="0025050D" w:rsidRPr="00916865" w:rsidRDefault="0025050D" w:rsidP="0025050D">
      <w:pPr>
        <w:pStyle w:val="NoSpacing"/>
        <w:spacing w:after="40"/>
        <w:jc w:val="center"/>
        <w:rPr>
          <w:rFonts w:cstheme="minorHAnsi"/>
          <w:color w:val="44546A" w:themeColor="text2"/>
          <w:sz w:val="16"/>
          <w:lang w:val="sr-Cyrl-RS"/>
        </w:rPr>
      </w:pPr>
      <w:r w:rsidRPr="00916865">
        <w:rPr>
          <w:noProof/>
        </w:rPr>
        <w:drawing>
          <wp:inline distT="0" distB="0" distL="0" distR="0" wp14:anchorId="013372C5" wp14:editId="2DC6AD89">
            <wp:extent cx="2743200" cy="1980000"/>
            <wp:effectExtent l="0" t="0" r="0" b="1270"/>
            <wp:docPr id="26" name="Chart 26">
              <a:extLst xmlns:a="http://schemas.openxmlformats.org/drawingml/2006/main">
                <a:ext uri="{FF2B5EF4-FFF2-40B4-BE49-F238E27FC236}">
                  <a16:creationId xmlns:a16="http://schemas.microsoft.com/office/drawing/2014/main" id="{00000000-0008-0000-0B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14:paraId="080D4C44" w14:textId="77777777" w:rsidR="0025050D" w:rsidRPr="00916865" w:rsidRDefault="0025050D" w:rsidP="0025050D">
      <w:pPr>
        <w:rPr>
          <w:rFonts w:cstheme="minorHAnsi"/>
          <w:sz w:val="16"/>
          <w:lang w:val="sr-Cyrl-RS"/>
        </w:rPr>
      </w:pPr>
      <w:r w:rsidRPr="00916865">
        <w:rPr>
          <w:rFonts w:cstheme="minorHAnsi"/>
          <w:sz w:val="16"/>
          <w:lang w:val="sr-Cyrl-RS"/>
        </w:rPr>
        <w:t>Извор: Министарство финансија</w:t>
      </w:r>
    </w:p>
    <w:p w14:paraId="3E2B448E" w14:textId="77777777" w:rsidR="00D17D25" w:rsidRPr="00916865" w:rsidRDefault="00D17D25" w:rsidP="002D6E55">
      <w:pPr>
        <w:spacing w:after="40"/>
        <w:rPr>
          <w:rFonts w:cstheme="minorHAnsi"/>
          <w:bCs/>
          <w:szCs w:val="72"/>
          <w:lang w:val="sr-Cyrl-RS"/>
        </w:rPr>
      </w:pPr>
      <w:r w:rsidRPr="00916865">
        <w:rPr>
          <w:rFonts w:cstheme="minorHAnsi"/>
          <w:bCs/>
          <w:szCs w:val="72"/>
          <w:lang w:val="sr-Cyrl-RS"/>
        </w:rPr>
        <w:t>Посматрано са производне стране, у 2024. години очекује се повећање креиране БДВ код свих привредних сектора, осим код пољопривреде. Услужни сектор ће у 2024. години и у ревидираној пројекцији имати улогу доминантног носиоца раста економске активности. Раст би требало да буде диверсификован и остварен у готово свим услужним делатностима, а посебно снажан у трговини и саобраћају, туризму и угоститељству, уз наставак добрих резултата у ИКТ сектору и стручно техничким услугама. Индустрија ће наставити са растом и током 2024. године уз повећање од 3,3%, пре свега услед активирања нових производних капацитета, али и очекиваног опоравка спољне тражње, уз очувану стабилност производње у електро-енергетском сектору. Процењује се да ће раст забележити и грађевинарство услед наставка извођења радова на изградњи путне и железничке инфраструктуре, као и већег обима приватних инвестиција. За сектор пољопривреде, имајући у виду већу производњу у 2023. години од очекиване</w:t>
      </w:r>
      <w:r w:rsidRPr="000979D4">
        <w:rPr>
          <w:rFonts w:cstheme="minorHAnsi"/>
          <w:bCs/>
          <w:szCs w:val="72"/>
          <w:lang w:val="sr-Cyrl-RS"/>
        </w:rPr>
        <w:t>,</w:t>
      </w:r>
      <w:r w:rsidRPr="00916865">
        <w:rPr>
          <w:rFonts w:cstheme="minorHAnsi"/>
          <w:bCs/>
          <w:szCs w:val="72"/>
          <w:lang w:val="sr-Cyrl-RS"/>
        </w:rPr>
        <w:t xml:space="preserve"> а под претпоставком просечних агрометеоролошких услова у 2024. години, пројектован је пад од 3,1%, што је ревизија наниже за око 4 п.п</w:t>
      </w:r>
      <w:r w:rsidRPr="000979D4">
        <w:rPr>
          <w:rFonts w:cstheme="minorHAnsi"/>
          <w:bCs/>
          <w:szCs w:val="72"/>
          <w:lang w:val="sr-Cyrl-RS"/>
        </w:rPr>
        <w:t>.</w:t>
      </w:r>
      <w:r w:rsidRPr="00916865">
        <w:rPr>
          <w:rFonts w:cstheme="minorHAnsi"/>
          <w:bCs/>
          <w:szCs w:val="72"/>
          <w:lang w:val="sr-Cyrl-RS"/>
        </w:rPr>
        <w:t xml:space="preserve"> у односу на иницијалну процену. Снажнији раст приватне потрошње од претходно очекиваног одразио се и на ревизију навише нето пореза за које се пројектује раст од 3,5%.</w:t>
      </w:r>
    </w:p>
    <w:p w14:paraId="1CF1E3AA" w14:textId="77777777" w:rsidR="00D17D25" w:rsidRPr="00916865" w:rsidRDefault="00D17D25" w:rsidP="00886C5E">
      <w:pPr>
        <w:rPr>
          <w:lang w:val="sr-Cyrl-RS"/>
        </w:rPr>
      </w:pPr>
    </w:p>
    <w:p w14:paraId="06B7AFB4" w14:textId="3C6053C1" w:rsidR="00D17D25" w:rsidRDefault="00D17D25" w:rsidP="00886C5E">
      <w:pPr>
        <w:rPr>
          <w:lang w:val="sr-Cyrl-RS"/>
        </w:rPr>
      </w:pPr>
    </w:p>
    <w:p w14:paraId="5679E1A3" w14:textId="77777777" w:rsidR="0025050D" w:rsidRPr="00916865" w:rsidRDefault="0025050D" w:rsidP="00886C5E">
      <w:pPr>
        <w:rPr>
          <w:lang w:val="sr-Cyrl-RS"/>
        </w:rPr>
      </w:pPr>
    </w:p>
    <w:p w14:paraId="17D4F1BB" w14:textId="77777777" w:rsidR="0025050D" w:rsidRPr="00916865" w:rsidRDefault="0025050D" w:rsidP="0025050D">
      <w:pPr>
        <w:pStyle w:val="NoSpacing"/>
        <w:spacing w:after="40"/>
        <w:jc w:val="center"/>
        <w:rPr>
          <w:rFonts w:cstheme="minorHAnsi"/>
          <w:color w:val="002060"/>
          <w:lang w:val="sr-Cyrl-RS"/>
        </w:rPr>
      </w:pPr>
      <w:r w:rsidRPr="00916865">
        <w:rPr>
          <w:rFonts w:cstheme="minorHAnsi"/>
          <w:color w:val="002060"/>
          <w:lang w:val="sr-Cyrl-RS"/>
        </w:rPr>
        <w:t>Доприноси стопи реалног раста БДП, производни приступ, п.п.</w:t>
      </w:r>
    </w:p>
    <w:p w14:paraId="5F4A5F36" w14:textId="77777777" w:rsidR="0025050D" w:rsidRPr="00916865" w:rsidRDefault="0025050D" w:rsidP="0025050D">
      <w:pPr>
        <w:spacing w:after="40"/>
        <w:rPr>
          <w:lang w:val="sr-Cyrl-RS"/>
        </w:rPr>
      </w:pPr>
      <w:r w:rsidRPr="00916865">
        <w:rPr>
          <w:noProof/>
        </w:rPr>
        <w:drawing>
          <wp:inline distT="0" distB="0" distL="0" distR="0" wp14:anchorId="27834420" wp14:editId="71D956C4">
            <wp:extent cx="2743200" cy="1981200"/>
            <wp:effectExtent l="0" t="0" r="0" b="0"/>
            <wp:docPr id="35" name="Chart 35">
              <a:extLst xmlns:a="http://schemas.openxmlformats.org/drawingml/2006/main">
                <a:ext uri="{FF2B5EF4-FFF2-40B4-BE49-F238E27FC236}">
                  <a16:creationId xmlns:a16="http://schemas.microsoft.com/office/drawing/2014/main" id="{00000000-0008-0000-0B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14:paraId="43337102" w14:textId="77777777" w:rsidR="0025050D" w:rsidRPr="00916865" w:rsidRDefault="0025050D" w:rsidP="0025050D">
      <w:pPr>
        <w:rPr>
          <w:rFonts w:cstheme="minorHAnsi"/>
          <w:sz w:val="16"/>
          <w:lang w:val="sr-Cyrl-RS"/>
        </w:rPr>
      </w:pPr>
      <w:r w:rsidRPr="00916865">
        <w:rPr>
          <w:rFonts w:cstheme="minorHAnsi"/>
          <w:sz w:val="16"/>
          <w:lang w:val="sr-Cyrl-RS"/>
        </w:rPr>
        <w:t>Извор: Министарство финансија</w:t>
      </w:r>
    </w:p>
    <w:p w14:paraId="13E10D3D" w14:textId="77777777" w:rsidR="00D17D25" w:rsidRPr="00916865" w:rsidRDefault="00D17D25" w:rsidP="002D6E55">
      <w:pPr>
        <w:rPr>
          <w:rFonts w:cstheme="minorHAnsi"/>
          <w:bCs/>
          <w:szCs w:val="72"/>
          <w:lang w:val="sr-Cyrl-RS"/>
        </w:rPr>
      </w:pPr>
      <w:r w:rsidRPr="00916865">
        <w:rPr>
          <w:rFonts w:cstheme="minorHAnsi"/>
          <w:bCs/>
          <w:szCs w:val="72"/>
          <w:lang w:val="sr-Cyrl-RS"/>
        </w:rPr>
        <w:t xml:space="preserve">Према средњорочној макроекономској пројекцији кумулативна стопа раста у периоду 2024–2026. године износиће 12,2% и биће опредељена растом домаће тражње, уз готово неутралан допринос нето извоза. Овај извор раста детерминисан је како перманентним повећањем инвестиција, тако и растом приватне потрошње домаћинстава услед раста реалног расположивог дохотка. Просечно годишње, српска привреда ће расти по стопи од 3,9%, што је непромењено у односу на претходна очекивања. Повећање реалне потрошње становништва ће пратити раст економске активности и у просеку ће износити 3,7%. Очекује се стабилан раст фиксних инвестиција који ће у просеку износити 6,1% годишње. Са активирањем нових производних капацитета и опоравком спољне тражње повећаваће се и обим спољнотрговинске размене. Поред тога, ефектуирање СДИ из претходног периода допринеће повећању конкуренције и утицати на ефикасност домаћих произвођача, док ће са друге стране бити активирани нови канали продаје и отворене нове тржишне нише. Извоз ће у просеку годишње расти по стопи од 10,0%, што је брже од очекиваног годишњег раста увоза који ће у просеку износити 9,3%. Посматрано на страни понуде, услужни сектор и индустрија ће задржати улогу доминантних извора раста и повећавати креирану БДВ са просечним годишњим растом од 4,1% и 4,3%, респективно. Позитиван допринос ће доћи и од повећања грађевинске активности који ће у просеку износити 6,3%. Достизање европских стандарда и подизање конкурентности у </w:t>
      </w:r>
      <w:r w:rsidRPr="00916865">
        <w:rPr>
          <w:rFonts w:cstheme="minorHAnsi"/>
          <w:bCs/>
          <w:szCs w:val="72"/>
          <w:lang w:val="sr-Cyrl-RS"/>
        </w:rPr>
        <w:lastRenderedPageBreak/>
        <w:t>пољопривреди, смањиће варијабилност производње овог сектора изазвану агрометеоролошким условима, али је и у ревидираној пројекцији задржана претпоставка просечне пољопривредне сезоне.</w:t>
      </w:r>
    </w:p>
    <w:p w14:paraId="3BC5A9BD" w14:textId="77777777" w:rsidR="00D17D25" w:rsidRPr="00916865" w:rsidRDefault="00D17D25" w:rsidP="008527D6">
      <w:pPr>
        <w:rPr>
          <w:rFonts w:cstheme="minorHAnsi"/>
          <w:bCs/>
          <w:szCs w:val="72"/>
          <w:lang w:val="sr-Cyrl-RS"/>
        </w:rPr>
      </w:pPr>
      <w:r w:rsidRPr="00916865">
        <w:rPr>
          <w:rFonts w:cstheme="minorHAnsi"/>
          <w:bCs/>
          <w:szCs w:val="72"/>
          <w:lang w:val="sr-Cyrl-RS"/>
        </w:rPr>
        <w:t>Влада и овим трогодишњим сценариом остаје посвећена очувању модела привредног раста који се заснива на инвестицијама и извозу, а који је подржан растом приватне потрошње. Убрзање свих административних процедура, пореско растерећење привреде са циљем подизања њене конкурентности, потписивање споразума којима се обезбеђује очување постојећих и отварање нових ино тржишта, интензивније и ефикасније извођење инфраструктурних радова, очување енергетске стабилности уз реализацију пројеката из зелене агенде само су неке од мера које треба да обезбеде здраве фундаменте за раст БДП у условима растућих геополитичких тензија. Дигитална трансформација и изградња дигиталног екосистема остаје стратешка оријентација Владе. Ефикаснији рад државне администрације, скраћивање процедура становништву и привреди са фокусом на дигитализацију убрзаће конвергенцију наше привреде ка развијеним земљама. Нови систем фискализације и измене царинских прописа, смањује учешће сиве економије у укупним привредним токовима обезбеђујући повољан привредни амбијент. Механизам подстицаја СДИ и даље ће имати за циљ њихову секторску и регионалну дисперзију како би биле обезбеђене претпоставке равномерног развоја и пуне искоришћености компаративних предности.</w:t>
      </w:r>
    </w:p>
    <w:p w14:paraId="290D8390" w14:textId="4A8DD110" w:rsidR="00D17D25" w:rsidRPr="00916865" w:rsidRDefault="00D17D25" w:rsidP="008527D6">
      <w:pPr>
        <w:rPr>
          <w:rFonts w:cstheme="minorHAnsi"/>
          <w:bCs/>
          <w:szCs w:val="72"/>
          <w:lang w:val="sr-Cyrl-RS"/>
        </w:rPr>
      </w:pPr>
      <w:r w:rsidRPr="00916865">
        <w:rPr>
          <w:rFonts w:cstheme="minorHAnsi"/>
          <w:bCs/>
          <w:szCs w:val="72"/>
          <w:lang w:val="sr-Cyrl-RS"/>
        </w:rPr>
        <w:t>Средњорочни сценарио кретања привредне</w:t>
      </w:r>
      <w:r w:rsidRPr="00916865">
        <w:rPr>
          <w:rFonts w:cstheme="minorHAnsi"/>
          <w:bCs/>
          <w:color w:val="FF0000"/>
          <w:szCs w:val="72"/>
          <w:lang w:val="sr-Cyrl-RS"/>
        </w:rPr>
        <w:t xml:space="preserve"> </w:t>
      </w:r>
      <w:r w:rsidRPr="00916865">
        <w:rPr>
          <w:rFonts w:cstheme="minorHAnsi"/>
          <w:bCs/>
          <w:szCs w:val="72"/>
          <w:lang w:val="sr-Cyrl-RS"/>
        </w:rPr>
        <w:t xml:space="preserve">активности Републике Србије је и даље под утицајем бројних ризика, пре свега из међународног окружења. Ризици макроекономског оквира у највећој мери потичу од неизвесности у погледу развоја међународних економских и политичких односа. Кретања цена енергената, глобална ограничења трговине, као и већа неизвесност у односу на тренутна очекивања могу имати значајно већи утицај на домаћу економију. Поред тога, смањење инфлације споријим темпом од оног предвиђеног у основном сценарију одразило би се негативно на агрегатну тражњу. У складу са тим креиран је и алтернативни </w:t>
      </w:r>
      <w:r w:rsidRPr="00916865">
        <w:rPr>
          <w:rFonts w:cstheme="minorHAnsi"/>
          <w:bCs/>
          <w:szCs w:val="72"/>
          <w:lang w:val="sr-Cyrl-RS"/>
        </w:rPr>
        <w:t>сценарио који подразумева материјализацију ових ризика и последично мање стопе привредног раста, посебно у 2024. години. У том сценарију пошло се од претпоставке споријег опоравка спољне тражње, услед мање производне активности као последице евентуално нових шокова на тржишту енергената нарочито у зимском периоду. Поред тога, геополитичке напетости биле би оштрије него у основном сценарију, што би довело до додатних финансијских поремећаја и продубљивања неизвесности. Такође, алтернативни сценарио узима у обзир и већу стопу инфлације од очекиване. Материјализација ових ризика имала би за последицу мању стопу раста БДП за 1,75 п.п. у 2024. години од оне у основном сценарију, будући да би се наведени фактори у највећој мери одразили на мању извозну активност и инвестиције, као и на спорији раст приватне потрошње. У 2025. и 2026. години разлике у односу на првобитна очекивања биле би ма</w:t>
      </w:r>
      <w:r w:rsidR="002E4DFA">
        <w:rPr>
          <w:rFonts w:cstheme="minorHAnsi"/>
          <w:bCs/>
          <w:szCs w:val="72"/>
          <w:lang w:val="sr-Cyrl-RS"/>
        </w:rPr>
        <w:t>ње због постепеног прилагођавања</w:t>
      </w:r>
      <w:r w:rsidRPr="00916865">
        <w:rPr>
          <w:rFonts w:cstheme="minorHAnsi"/>
          <w:bCs/>
          <w:szCs w:val="72"/>
          <w:lang w:val="sr-Cyrl-RS"/>
        </w:rPr>
        <w:t xml:space="preserve"> економске активности на нове околности и ниже базе.</w:t>
      </w:r>
    </w:p>
    <w:p w14:paraId="067D053B" w14:textId="77777777" w:rsidR="00D17D25" w:rsidRPr="00916865" w:rsidRDefault="00D17D25" w:rsidP="002D6E55">
      <w:pPr>
        <w:spacing w:after="0"/>
        <w:jc w:val="center"/>
        <w:rPr>
          <w:rFonts w:cstheme="minorHAnsi"/>
          <w:b/>
          <w:color w:val="002060"/>
          <w:lang w:val="sr-Cyrl-RS"/>
        </w:rPr>
      </w:pPr>
      <w:r w:rsidRPr="00916865">
        <w:rPr>
          <w:rFonts w:cstheme="minorHAnsi"/>
          <w:b/>
          <w:color w:val="002060"/>
          <w:lang w:val="sr-Cyrl-RS"/>
        </w:rPr>
        <w:t>Пројекција кретања БДП, стопе раста, %</w:t>
      </w:r>
    </w:p>
    <w:p w14:paraId="053E5AB7" w14:textId="77777777" w:rsidR="00D17D25" w:rsidRPr="00916865" w:rsidRDefault="00D17D25" w:rsidP="00A40733">
      <w:pPr>
        <w:spacing w:after="60"/>
        <w:rPr>
          <w:rFonts w:cstheme="minorHAnsi"/>
          <w:sz w:val="16"/>
          <w:lang w:val="sr-Cyrl-RS"/>
        </w:rPr>
      </w:pPr>
      <w:r w:rsidRPr="00916865">
        <w:rPr>
          <w:noProof/>
        </w:rPr>
        <w:drawing>
          <wp:inline distT="0" distB="0" distL="0" distR="0" wp14:anchorId="62979874" wp14:editId="6CC081B0">
            <wp:extent cx="2743200" cy="1697127"/>
            <wp:effectExtent l="0" t="0" r="0" b="0"/>
            <wp:docPr id="95" name="Chart 95">
              <a:extLst xmlns:a="http://schemas.openxmlformats.org/drawingml/2006/main">
                <a:ext uri="{FF2B5EF4-FFF2-40B4-BE49-F238E27FC236}">
                  <a16:creationId xmlns:a16="http://schemas.microsoft.com/office/drawing/2014/main" id="{00000000-0008-0000-09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14:paraId="442ACD63" w14:textId="77777777" w:rsidR="00D17D25" w:rsidRPr="00916865" w:rsidRDefault="00D17D25" w:rsidP="002D6E55">
      <w:pPr>
        <w:rPr>
          <w:rFonts w:cstheme="minorHAnsi"/>
          <w:sz w:val="16"/>
          <w:lang w:val="sr-Cyrl-RS"/>
        </w:rPr>
      </w:pPr>
      <w:r w:rsidRPr="00916865">
        <w:rPr>
          <w:rFonts w:cstheme="minorHAnsi"/>
          <w:sz w:val="16"/>
          <w:lang w:val="sr-Cyrl-RS"/>
        </w:rPr>
        <w:t>Извор: Министарство финансија</w:t>
      </w:r>
    </w:p>
    <w:p w14:paraId="39161D91" w14:textId="5837F9FE" w:rsidR="00D17D25" w:rsidRPr="00916865" w:rsidRDefault="00D17D25" w:rsidP="002D6E55">
      <w:pPr>
        <w:rPr>
          <w:rFonts w:cstheme="minorHAnsi"/>
          <w:bCs/>
          <w:szCs w:val="72"/>
          <w:lang w:val="sr-Cyrl-RS"/>
        </w:rPr>
      </w:pPr>
      <w:r w:rsidRPr="00916865">
        <w:rPr>
          <w:rFonts w:cstheme="minorHAnsi"/>
          <w:bCs/>
          <w:szCs w:val="72"/>
          <w:lang w:val="sr-Cyrl-RS"/>
        </w:rPr>
        <w:t xml:space="preserve">Према централном сценарију, у средњорочном периоду очекује се наставак раста потенцијалног БДП, а са постепеним ишчезавањем негативних ефеката међународних економских односа и повратак на путању раста од 4,0%. Потенцијални БДП у периоду 2024–2026. година ће се постепено повећавати по просечној стопи од 3,8%. Реализације капиталних пројеката и наставак започетог инвестиционог циклуса подржани, како стабилним приливом СДИ, тако и домаћим иновативним активностима, обезбедиће све снажнији допринос капитала и факторске </w:t>
      </w:r>
      <w:r w:rsidRPr="00916865">
        <w:rPr>
          <w:rFonts w:cstheme="minorHAnsi"/>
          <w:bCs/>
          <w:szCs w:val="72"/>
          <w:lang w:val="sr-Cyrl-RS"/>
        </w:rPr>
        <w:lastRenderedPageBreak/>
        <w:t xml:space="preserve">продуктивности расту потенцијалног БДП. Дигитализација ће значајно убрзати ове процесе и додатно подићи ефикасност искоришћености расположивих капацитета. Влада ће кроз значајна планирана улагања у енергетску инфраструктуру додатно утицати на подизање потенцијала привреде. </w:t>
      </w:r>
      <w:r w:rsidR="00774B4C" w:rsidRPr="00774B4C">
        <w:rPr>
          <w:rFonts w:cstheme="minorHAnsi"/>
          <w:bCs/>
          <w:szCs w:val="72"/>
          <w:lang w:val="sr-Cyrl-RS"/>
        </w:rPr>
        <w:t>Адекватна и кредибилна монетарна политика, уз даља унапређења финансијског система и повољнији инвестициони амбијент, трансфер знања и технологија из најразвијенијих земаља треба да обезбеде позитиван утицај на оба фактора производње</w:t>
      </w:r>
      <w:r w:rsidRPr="00916865">
        <w:rPr>
          <w:rFonts w:cstheme="minorHAnsi"/>
          <w:bCs/>
          <w:szCs w:val="72"/>
          <w:lang w:val="sr-Cyrl-RS"/>
        </w:rPr>
        <w:t>. Са друге стране, јачање владавине закона, реформа законодавства из области привреде и пословања, убрзање процедура и подизање ефикасности администрације треба да обезбеде максимизацију факторске продуктивности у средњем року. Повољна кретања на тржишту рада ће такође допринети расту потенцијалног БДП.</w:t>
      </w:r>
    </w:p>
    <w:p w14:paraId="20790BE9" w14:textId="77777777" w:rsidR="00D17D25" w:rsidRPr="00916865" w:rsidRDefault="00D17D25" w:rsidP="002D6E55">
      <w:pPr>
        <w:spacing w:after="40"/>
        <w:jc w:val="center"/>
        <w:rPr>
          <w:b/>
          <w:color w:val="002060"/>
          <w:lang w:val="sr-Cyrl-RS"/>
        </w:rPr>
      </w:pPr>
      <w:r w:rsidRPr="00916865">
        <w:rPr>
          <w:b/>
          <w:color w:val="002060"/>
          <w:lang w:val="sr-Cyrl-RS"/>
        </w:rPr>
        <w:t>Доприноси фактора производње потенцијалној стопи раста БДП, п.п.</w:t>
      </w:r>
    </w:p>
    <w:p w14:paraId="5ECAA104" w14:textId="77777777" w:rsidR="00D17D25" w:rsidRPr="00916865" w:rsidRDefault="00D17D25" w:rsidP="002D6E55">
      <w:pPr>
        <w:spacing w:after="0"/>
        <w:rPr>
          <w:rFonts w:cstheme="minorHAnsi"/>
          <w:sz w:val="16"/>
          <w:lang w:val="sr-Cyrl-RS"/>
        </w:rPr>
      </w:pPr>
      <w:r w:rsidRPr="00916865">
        <w:rPr>
          <w:noProof/>
        </w:rPr>
        <w:drawing>
          <wp:inline distT="0" distB="0" distL="0" distR="0" wp14:anchorId="303C3E31" wp14:editId="122A9E04">
            <wp:extent cx="2743200" cy="2127885"/>
            <wp:effectExtent l="0" t="0" r="0" b="5715"/>
            <wp:docPr id="96" name="Chart 96">
              <a:extLst xmlns:a="http://schemas.openxmlformats.org/drawingml/2006/main">
                <a:ext uri="{FF2B5EF4-FFF2-40B4-BE49-F238E27FC236}">
                  <a16:creationId xmlns:a16="http://schemas.microsoft.com/office/drawing/2014/main" id="{00000000-0008-0000-0E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14:paraId="1E8FF936" w14:textId="77777777" w:rsidR="00D17D25" w:rsidRPr="00916865" w:rsidRDefault="00D17D25" w:rsidP="002D6E55">
      <w:pPr>
        <w:spacing w:after="240"/>
        <w:rPr>
          <w:lang w:val="sr-Cyrl-RS"/>
        </w:rPr>
      </w:pPr>
      <w:r w:rsidRPr="00916865">
        <w:rPr>
          <w:rFonts w:cstheme="minorHAnsi"/>
          <w:sz w:val="16"/>
          <w:lang w:val="sr-Cyrl-RS"/>
        </w:rPr>
        <w:t>Извор: Министарство финансија</w:t>
      </w:r>
    </w:p>
    <w:p w14:paraId="7EF0AD53" w14:textId="77777777" w:rsidR="00D17D25" w:rsidRPr="00210A2F" w:rsidRDefault="00D17D25" w:rsidP="00161001">
      <w:pPr>
        <w:spacing w:before="40"/>
        <w:rPr>
          <w:rFonts w:cstheme="minorHAnsi"/>
          <w:bCs/>
          <w:color w:val="2F5496" w:themeColor="accent1" w:themeShade="BF"/>
          <w:szCs w:val="72"/>
          <w:lang w:val="sr-Cyrl-RS"/>
        </w:rPr>
      </w:pPr>
      <w:r w:rsidRPr="00210A2F">
        <w:rPr>
          <w:rFonts w:cstheme="minorHAnsi"/>
          <w:b/>
          <w:color w:val="2F5496" w:themeColor="accent1" w:themeShade="BF"/>
          <w:sz w:val="22"/>
          <w:lang w:val="sr-Cyrl-RS"/>
        </w:rPr>
        <w:t>Тржиште рада</w:t>
      </w:r>
    </w:p>
    <w:p w14:paraId="72363E7D" w14:textId="77777777" w:rsidR="00D17D25" w:rsidRPr="00210A2F" w:rsidRDefault="00D17D25" w:rsidP="008527D6">
      <w:pPr>
        <w:rPr>
          <w:rFonts w:cstheme="minorHAnsi"/>
          <w:bCs/>
          <w:szCs w:val="72"/>
          <w:lang w:val="sr-Cyrl-RS"/>
        </w:rPr>
      </w:pPr>
      <w:r w:rsidRPr="00210A2F">
        <w:rPr>
          <w:rFonts w:cstheme="minorHAnsi"/>
          <w:bCs/>
          <w:szCs w:val="72"/>
          <w:lang w:val="sr-Cyrl-RS"/>
        </w:rPr>
        <w:t>Захваљујући очуваној макроекономској стабилности, као и привредном расту, тржиште рада у великој мери остаје отпорно на изразито негативан утицај геополитичких догађања. Поред тога стабилна кретања на тржишту рада резултат су континуираног рада на побољшању услова рада, унапређивању институција тржишта рада, подстицању запошљавања и укључивања на тржиште рада теже запошљивих лица, као и подршке регионалној и локалној политици запошљавања.</w:t>
      </w:r>
    </w:p>
    <w:p w14:paraId="26082CA2" w14:textId="77777777" w:rsidR="00D17D25" w:rsidRPr="00210A2F" w:rsidRDefault="00D17D25" w:rsidP="00886C5E">
      <w:pPr>
        <w:rPr>
          <w:rFonts w:cstheme="minorHAnsi"/>
          <w:bCs/>
          <w:szCs w:val="72"/>
          <w:lang w:val="sr-Cyrl-RS"/>
        </w:rPr>
      </w:pPr>
      <w:r w:rsidRPr="00210A2F">
        <w:rPr>
          <w:rFonts w:cstheme="minorHAnsi"/>
          <w:bCs/>
          <w:szCs w:val="72"/>
          <w:lang w:val="sr-Cyrl-RS"/>
        </w:rPr>
        <w:t>У 2023. години настављена су позитивна кретања на тржишту рада која се пре свега одражавају кроз раст запослености и зарада у приватном сектору. Према подацима Централног регистра обавезног социјалног осигурања (ЦРОСО), у периоду јануар</w:t>
      </w:r>
      <w:r w:rsidRPr="000979D4">
        <w:rPr>
          <w:rFonts w:cstheme="minorHAnsi"/>
          <w:bCs/>
          <w:szCs w:val="72"/>
          <w:lang w:val="sr-Cyrl-RS"/>
        </w:rPr>
        <w:t>–</w:t>
      </w:r>
      <w:r w:rsidRPr="00210A2F">
        <w:rPr>
          <w:rFonts w:cstheme="minorHAnsi"/>
          <w:bCs/>
          <w:szCs w:val="72"/>
          <w:lang w:val="sr-Cyrl-RS"/>
        </w:rPr>
        <w:t>јул 2023. године просечан број запослених био је већи за 2,8% у поређењу са истим периодом претходне године, чему је пре свега допринео раст запослености у приватном сектору од 3,6%, односно за око 60 хиљада лица, док је у јавном сектору раст износио 0,7%, односно око 4 хиљаде лица. У овом периоду, најснажнији секторски допринос расту запослености долази од ИКТ, научно-техничких делатности и прерађивачке индустрије. Према подацима Националне службе за запошљавање, у истом периоду, број лица која активно траже запослење смањен је за 9,9%.</w:t>
      </w:r>
    </w:p>
    <w:p w14:paraId="22A519FF" w14:textId="77777777" w:rsidR="00D17D25" w:rsidRPr="00210A2F" w:rsidRDefault="00D17D25" w:rsidP="00886C5E">
      <w:pPr>
        <w:spacing w:after="0"/>
        <w:jc w:val="center"/>
        <w:rPr>
          <w:rFonts w:cstheme="minorHAnsi"/>
          <w:b/>
          <w:color w:val="002060"/>
          <w:lang w:val="sr-Cyrl-RS"/>
        </w:rPr>
      </w:pPr>
      <w:r w:rsidRPr="00210A2F">
        <w:rPr>
          <w:rFonts w:cstheme="minorHAnsi"/>
          <w:b/>
          <w:color w:val="002060"/>
          <w:lang w:val="sr-Cyrl-RS"/>
        </w:rPr>
        <w:t>Кретање формалне запослености</w:t>
      </w:r>
    </w:p>
    <w:p w14:paraId="32E308A1" w14:textId="77777777" w:rsidR="00D17D25" w:rsidRPr="00210A2F" w:rsidRDefault="00D17D25" w:rsidP="00886C5E">
      <w:pPr>
        <w:spacing w:after="0"/>
        <w:rPr>
          <w:rFonts w:cstheme="minorHAnsi"/>
          <w:bCs/>
          <w:szCs w:val="72"/>
          <w:lang w:val="sr-Cyrl-RS"/>
        </w:rPr>
      </w:pPr>
      <w:r w:rsidRPr="00210A2F">
        <w:rPr>
          <w:noProof/>
        </w:rPr>
        <w:drawing>
          <wp:inline distT="0" distB="0" distL="0" distR="0" wp14:anchorId="46D150D5" wp14:editId="6716CC99">
            <wp:extent cx="2743200" cy="2129155"/>
            <wp:effectExtent l="0" t="0" r="0" b="4445"/>
            <wp:docPr id="97" name="Chart 97"/>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4ACEDCC8" w14:textId="77777777" w:rsidR="00D17D25" w:rsidRPr="00210A2F" w:rsidRDefault="00D17D25" w:rsidP="00886C5E">
      <w:pPr>
        <w:rPr>
          <w:rFonts w:cstheme="minorHAnsi"/>
          <w:bCs/>
          <w:sz w:val="16"/>
          <w:szCs w:val="16"/>
          <w:lang w:val="sr-Cyrl-RS"/>
        </w:rPr>
      </w:pPr>
      <w:r w:rsidRPr="00210A2F">
        <w:rPr>
          <w:rFonts w:cstheme="minorHAnsi"/>
          <w:bCs/>
          <w:sz w:val="16"/>
          <w:szCs w:val="16"/>
          <w:lang w:val="sr-Cyrl-RS"/>
        </w:rPr>
        <w:t>Извор: ЦРОСО</w:t>
      </w:r>
    </w:p>
    <w:p w14:paraId="7CF8CBC1" w14:textId="77777777" w:rsidR="00D17D25" w:rsidRPr="00D17D25" w:rsidRDefault="00D17D25" w:rsidP="00886C5E">
      <w:pPr>
        <w:rPr>
          <w:rFonts w:cstheme="minorHAnsi"/>
          <w:bCs/>
          <w:spacing w:val="-2"/>
          <w:szCs w:val="72"/>
          <w:lang w:val="sr-Cyrl-RS"/>
        </w:rPr>
      </w:pPr>
      <w:r w:rsidRPr="00D17D25">
        <w:rPr>
          <w:rFonts w:cstheme="minorHAnsi"/>
          <w:bCs/>
          <w:spacing w:val="-2"/>
          <w:szCs w:val="72"/>
          <w:lang w:val="sr-Cyrl-RS"/>
        </w:rPr>
        <w:t xml:space="preserve">У првом полугодишту просечна нето зарада је износила 84.204 динара и била је благо реално већа за 0,1% у поређењу са истим периодом претходне године, упркос нешто вишој међугодишњој инфлацији у овом периоду. Раст зарада био је у потпуности опредељен реалним растом зарада у приватном сектору, који је износио 1,4% вођен повећањем зарада у прерађивачкој индустрији и трговини. Истовремено, упркос повећању зарада у јавном сектору од 12,5% одлуком Владе с почетка године, у реалним вредностима забележено је њихово смањење, што је пре свега последица обрачунског ефекта услед нешто више инфлације у овом периоду. Међутим, са успоравањем инфлације очекује се постепени реални раст током друге половине године, додатно подржан и </w:t>
      </w:r>
      <w:r w:rsidRPr="00D17D25">
        <w:rPr>
          <w:rFonts w:cstheme="minorHAnsi"/>
          <w:bCs/>
          <w:spacing w:val="-2"/>
          <w:szCs w:val="72"/>
          <w:lang w:val="sr-Cyrl-RS"/>
        </w:rPr>
        <w:lastRenderedPageBreak/>
        <w:t>повећањем зарада у просвети и делу здравственог сектора од септембра 2023. године. Оваква динамика реалних зарада у јавном сектору имаће за резултат да се посматрано на нивоу целе 2023. године очекује њихов неутралан допринос реалном расту укупних зарада. Повољној динамици зарада допринело је и повећање минималне цене рада која је од 2023. године увећана за 14,3%, док ће у 2024. години бити већа за 17,8%.</w:t>
      </w:r>
    </w:p>
    <w:p w14:paraId="6FADA8EA" w14:textId="3791A6C2" w:rsidR="00D17D25" w:rsidRPr="00210A2F" w:rsidRDefault="00D17D25" w:rsidP="00886C5E">
      <w:pPr>
        <w:rPr>
          <w:rFonts w:cstheme="minorHAnsi"/>
          <w:bCs/>
          <w:szCs w:val="72"/>
          <w:lang w:val="sr-Cyrl-RS"/>
        </w:rPr>
      </w:pPr>
      <w:r w:rsidRPr="00210A2F">
        <w:rPr>
          <w:rFonts w:cstheme="minorHAnsi"/>
          <w:bCs/>
          <w:szCs w:val="72"/>
          <w:lang w:val="sr-Cyrl-RS"/>
        </w:rPr>
        <w:t>Позитивна кретања на тржишту рада потврђени су и подацима Анкете о радној снази. Након стопе незапослености од 10,1% у првом кварталу 2023. године, дошло је до њеног смањења на 9,6%, колико је износила у другом кварталу. У односу на други квартал 2022. године дошло је до повећања стопе запослености са 50,0% на 50,4%, као и смањења стопе становништва ван радне снаге за 1,0 п.п. Такође у том периоду забележено је и повећање броја активног становништва за 20 хиљада лица. У укупној запослености повећан је број формално запослених за 33,3 хиљаде и смањења броја неформално запослених за 38,8 хиљада. Поред наведеног, забележена су одређена структурна побољшања на тржишту рада. Тако је побољшан положај код женског дела становништва, односно повећан је број запослених жена за 20,7 хиљада. Такође, смањена је стопа неформалне запослености за 1,3 п.п</w:t>
      </w:r>
      <w:r>
        <w:rPr>
          <w:rFonts w:cstheme="minorHAnsi"/>
          <w:bCs/>
          <w:szCs w:val="72"/>
          <w:lang w:val="sr-Cyrl-RS"/>
        </w:rPr>
        <w:t>.</w:t>
      </w:r>
      <w:r w:rsidRPr="00210A2F">
        <w:rPr>
          <w:rFonts w:cstheme="minorHAnsi"/>
          <w:bCs/>
          <w:szCs w:val="72"/>
          <w:lang w:val="sr-Cyrl-RS"/>
        </w:rPr>
        <w:t xml:space="preserve"> и износила је 12,3%. У истом периоду дошло је и до благог пораста стопе дугорочне незапослености за 0,3</w:t>
      </w:r>
      <w:r w:rsidR="00065870">
        <w:rPr>
          <w:rFonts w:cstheme="minorHAnsi"/>
          <w:bCs/>
          <w:szCs w:val="72"/>
          <w:lang w:val="sr-Cyrl-RS"/>
        </w:rPr>
        <w:t xml:space="preserve"> п.п.</w:t>
      </w:r>
      <w:r w:rsidRPr="00210A2F">
        <w:rPr>
          <w:rFonts w:cstheme="minorHAnsi"/>
          <w:bCs/>
          <w:szCs w:val="72"/>
          <w:lang w:val="sr-Cyrl-RS"/>
        </w:rPr>
        <w:t xml:space="preserve"> на 4,8%.</w:t>
      </w:r>
    </w:p>
    <w:p w14:paraId="7436184F" w14:textId="77777777" w:rsidR="00D17D25" w:rsidRPr="00210A2F" w:rsidRDefault="00D17D25" w:rsidP="00D17D25">
      <w:pPr>
        <w:pStyle w:val="Caption"/>
        <w:keepNext/>
        <w:spacing w:after="40"/>
        <w:rPr>
          <w:rFonts w:cstheme="minorHAnsi"/>
          <w:b w:val="0"/>
          <w:iCs w:val="0"/>
          <w:szCs w:val="22"/>
          <w:lang w:val="sr-Cyrl-RS"/>
        </w:rPr>
      </w:pPr>
      <w:r w:rsidRPr="00210A2F">
        <w:rPr>
          <w:rFonts w:cstheme="minorHAnsi"/>
          <w:iCs w:val="0"/>
          <w:szCs w:val="22"/>
          <w:lang w:val="sr-Cyrl-RS"/>
        </w:rPr>
        <w:t>Кретање основних показатеља тржишта рада</w:t>
      </w:r>
    </w:p>
    <w:p w14:paraId="5A4F7FEA" w14:textId="77777777" w:rsidR="00D17D25" w:rsidRPr="00210A2F" w:rsidRDefault="00D17D25" w:rsidP="00886C5E">
      <w:pPr>
        <w:spacing w:after="0"/>
        <w:rPr>
          <w:rFonts w:cstheme="minorHAnsi"/>
          <w:bCs/>
          <w:szCs w:val="72"/>
          <w:lang w:val="sr-Cyrl-RS"/>
        </w:rPr>
      </w:pPr>
      <w:r w:rsidRPr="00210A2F">
        <w:rPr>
          <w:noProof/>
        </w:rPr>
        <w:drawing>
          <wp:inline distT="0" distB="0" distL="0" distR="0" wp14:anchorId="70B405E3" wp14:editId="72748C0A">
            <wp:extent cx="2743200" cy="1760400"/>
            <wp:effectExtent l="0" t="0" r="0" b="0"/>
            <wp:docPr id="98" name="Chart 98">
              <a:extLst xmlns:a="http://schemas.openxmlformats.org/drawingml/2006/main">
                <a:ext uri="{FF2B5EF4-FFF2-40B4-BE49-F238E27FC236}">
                  <a16:creationId xmlns:a16="http://schemas.microsoft.com/office/drawing/2014/main" id="{00000000-0008-0000-0F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14:paraId="36EB1F88" w14:textId="77777777" w:rsidR="00D17D25" w:rsidRPr="00210A2F" w:rsidRDefault="00D17D25" w:rsidP="00D17D25">
      <w:pPr>
        <w:spacing w:before="40" w:after="0"/>
        <w:rPr>
          <w:rFonts w:cstheme="minorHAnsi"/>
          <w:bCs/>
          <w:szCs w:val="72"/>
          <w:lang w:val="sr-Cyrl-RS"/>
        </w:rPr>
      </w:pPr>
      <w:r w:rsidRPr="00210A2F">
        <w:rPr>
          <w:rFonts w:cstheme="minorHAnsi"/>
          <w:bCs/>
          <w:sz w:val="16"/>
          <w:szCs w:val="72"/>
          <w:lang w:val="sr-Cyrl-RS"/>
        </w:rPr>
        <w:t>Извор: РЗС</w:t>
      </w:r>
    </w:p>
    <w:p w14:paraId="752570FB" w14:textId="77777777" w:rsidR="00D17D25" w:rsidRPr="00210A2F" w:rsidRDefault="00D17D25" w:rsidP="00C130D2">
      <w:pPr>
        <w:rPr>
          <w:lang w:val="sr-Cyrl-RS"/>
        </w:rPr>
      </w:pPr>
      <w:r w:rsidRPr="00210A2F">
        <w:rPr>
          <w:lang w:val="sr-Cyrl-RS"/>
        </w:rPr>
        <w:t xml:space="preserve">Очекује се да ће тржиште рада остати на позитивној путањи раста и у наредном периоду. Креатори јавних политика континуирано доносе мере усмерене на унапређивање радне снаге у </w:t>
      </w:r>
      <w:r w:rsidRPr="00210A2F">
        <w:rPr>
          <w:lang w:val="sr-Cyrl-RS"/>
        </w:rPr>
        <w:t>погледу квалитета, као и на улагање у људски капитал, све у циљу лакшег општег запошљавања, а нарочито у оном делу привреде који има већу додату вредност.</w:t>
      </w:r>
      <w:r w:rsidRPr="00210A2F">
        <w:rPr>
          <w:rFonts w:cstheme="minorHAnsi"/>
          <w:bCs/>
          <w:szCs w:val="72"/>
          <w:lang w:val="sr-Cyrl-RS"/>
        </w:rPr>
        <w:t xml:space="preserve"> Досадашњу успешност ових мера потврђују подаци о порасту броја запослених у периоду од 2014. до закључно са периодом јануар</w:t>
      </w:r>
      <w:r>
        <w:rPr>
          <w:rFonts w:cstheme="minorHAnsi"/>
          <w:bCs/>
          <w:szCs w:val="72"/>
          <w:lang w:val="sr-Cyrl-RS"/>
        </w:rPr>
        <w:t>–</w:t>
      </w:r>
      <w:r w:rsidRPr="00210A2F">
        <w:rPr>
          <w:rFonts w:cstheme="minorHAnsi"/>
          <w:bCs/>
          <w:szCs w:val="72"/>
          <w:lang w:val="sr-Cyrl-RS"/>
        </w:rPr>
        <w:t xml:space="preserve">јул 2023. године у сектору ИКТ за 54.748 и научно-техничким делатностима за 42.249 лица. </w:t>
      </w:r>
      <w:r w:rsidRPr="00210A2F">
        <w:rPr>
          <w:lang w:val="sr-Cyrl-RS"/>
        </w:rPr>
        <w:t>Наставиће се са политикама које имају за циљ смањивање броја запослених у сивој зони и њихово превођење у контингент формално запослених, чиме би њихови услови рада били побољшани, а позитиван ефекат би се одразио и на приходе буџета. У средњорочном периоду очекују се позитивни резултати спровођења мера активне политике запошљавања, преквалификација и подршке социјалном предузетништву, чиме ће се олакшати доступност радних места социјално рањивим категоријама друштва и тиме додатно обезбедити инклузивност привредног раста. Такође повољним кретањима на тржишту рада допринеће и наставак политике пореског растерећења зарада које је праћено и повећањем минималне цене рада у циљу унапређења животног стандарда лица са најнижим примањима. У складу с тим у средњем року пројектује се смањивање стопе незапослености и наставак реалног раста зарада. У приватном сектору очекује се да раст зарада прати раст продуктивности, док ће зараде у јавном сектору расти у складу са фискалним правилима.</w:t>
      </w:r>
    </w:p>
    <w:p w14:paraId="386C3F73" w14:textId="77777777" w:rsidR="00D17D25" w:rsidRPr="00210A2F" w:rsidRDefault="00D17D25" w:rsidP="008527D6">
      <w:pPr>
        <w:rPr>
          <w:rFonts w:cstheme="minorHAnsi"/>
          <w:b/>
          <w:color w:val="2F5496" w:themeColor="accent1" w:themeShade="BF"/>
          <w:sz w:val="22"/>
          <w:lang w:val="sr-Cyrl-RS"/>
        </w:rPr>
      </w:pPr>
      <w:r w:rsidRPr="00210A2F">
        <w:rPr>
          <w:rFonts w:cstheme="minorHAnsi"/>
          <w:b/>
          <w:color w:val="2F5496" w:themeColor="accent1" w:themeShade="BF"/>
          <w:sz w:val="22"/>
          <w:lang w:val="sr-Cyrl-RS"/>
        </w:rPr>
        <w:t>Монетарна кретања</w:t>
      </w:r>
    </w:p>
    <w:p w14:paraId="2BCAF8C5" w14:textId="77777777" w:rsidR="00D17D25" w:rsidRPr="00210A2F" w:rsidRDefault="00D17D25" w:rsidP="00886C5E">
      <w:pPr>
        <w:spacing w:after="120"/>
        <w:rPr>
          <w:lang w:val="sr-Cyrl-RS"/>
        </w:rPr>
      </w:pPr>
      <w:r w:rsidRPr="00210A2F">
        <w:rPr>
          <w:lang w:val="sr-Cyrl-RS"/>
        </w:rPr>
        <w:t xml:space="preserve">Услед наставка преноса високих трошковних притисака из претходног периода, међугодишња инфлација је током првог квартала 2023. године остала повишена и кретала се на нивоу од око 16%. Овакву динамику потрошачких цена определили су повећани доприноси цена хране и корекције регулисаних цена, док је у супротном смеру деловао нижи допринос цена нафтних деривата. Међутим, од априла 2023. године, у складу са очекивањима, међугодишња инфлација је на опадајућој путањи и у августу је износила 11,5%. Као и у претходном периоду, базна инфлација (мерена променом индекса потрошачких цена по искључењу хране, енергије, алкохола и цигарета), је истовремено износила 9,1% и била је испод </w:t>
      </w:r>
      <w:r w:rsidRPr="00210A2F">
        <w:rPr>
          <w:lang w:val="sr-Cyrl-RS"/>
        </w:rPr>
        <w:lastRenderedPageBreak/>
        <w:t>укупне инфлације, чему је наставила да доприноси очувана релативна стабилност курса динара према евру.</w:t>
      </w:r>
    </w:p>
    <w:p w14:paraId="24B656D0" w14:textId="77777777" w:rsidR="00D17D25" w:rsidRPr="00210A2F" w:rsidRDefault="00D17D25" w:rsidP="00886C5E">
      <w:pPr>
        <w:spacing w:after="120"/>
        <w:rPr>
          <w:lang w:val="sr-Cyrl-RS"/>
        </w:rPr>
      </w:pPr>
      <w:r w:rsidRPr="00210A2F">
        <w:rPr>
          <w:lang w:val="sr-Cyrl-RS"/>
        </w:rPr>
        <w:t xml:space="preserve">На постепено попуштање инфлаторних притисака указује и динамика месечне инфлације. Према подацима Републичког завода за статистику након просечног месечног раста од 1,0% у првој половини године, у јулу је изостао месечни раст цена, први пут од септембра 2020. године, пошто су потрошачке цене у просеку снижене за 0,1%, вођене нижим ценама поврћа и у мањој мери појединих основних животних намирница (уље, хлеб, месо). У августу 2023. године месечна инфлација износила је 0,4%, што је знатно мање </w:t>
      </w:r>
      <w:r>
        <w:rPr>
          <w:lang w:val="sr-Cyrl-RS"/>
        </w:rPr>
        <w:t>о</w:t>
      </w:r>
      <w:r w:rsidRPr="00210A2F">
        <w:rPr>
          <w:lang w:val="sr-Cyrl-RS"/>
        </w:rPr>
        <w:t>д просечне месечне инфлације у првој половини године, а благ месечни раст инфлације последица је пре свега виших цена нафтних деривата.</w:t>
      </w:r>
      <w:r w:rsidRPr="00210A2F">
        <w:rPr>
          <w:rFonts w:ascii="Trebuchet MS" w:hAnsi="Trebuchet MS"/>
          <w:color w:val="202020"/>
          <w:spacing w:val="3"/>
          <w:lang w:val="sr-Cyrl-RS"/>
        </w:rPr>
        <w:t xml:space="preserve"> </w:t>
      </w:r>
      <w:r w:rsidRPr="00210A2F">
        <w:rPr>
          <w:lang w:val="sr-Cyrl-RS"/>
        </w:rPr>
        <w:t>Цене хране и безалкохолних пића у паду су други месец заредом. У августу су, у односу на јул, цене хране и безалкохолних пића у просеку биле ниже за 0,5%. У оквиру тога, цене непрерађене хране, вођене пре свега нижим ценама свежег поврћа, забележиле су месечни пад од 1,9%. Раст цена прерађене хране у августу имао је исту динамику као и у јулу (0,2%), уз ниже цене млека и млечних прерађевина, као и уља и масти. Успоравање раста цена прерађене хране последња два месеца указује на чињеницу да су се смањили трошковни притисци на тржишту основних животних намирница. У прилог томе говори и кретање цена произвођача прехрамбених производа, које су од почетка године закључно са августом смањене за 1,4%.</w:t>
      </w:r>
      <w:r w:rsidRPr="00531D98">
        <w:rPr>
          <w:lang w:val="sr-Cyrl-RS"/>
        </w:rPr>
        <w:t xml:space="preserve"> </w:t>
      </w:r>
      <w:r w:rsidRPr="00210A2F">
        <w:rPr>
          <w:lang w:val="sr-Cyrl-RS"/>
        </w:rPr>
        <w:t>Цене енергената су, под утицајем поменутог поскупљења нафтних деривата, у просеку порасле за 2,3%. Међугодишње посматрано, раст цена енергената у августу нашао се на нивоу од 9,0%, при чему цене нафтних деривата и даље д</w:t>
      </w:r>
      <w:r>
        <w:rPr>
          <w:lang w:val="sr-Cyrl-RS"/>
        </w:rPr>
        <w:t>о</w:t>
      </w:r>
      <w:r w:rsidRPr="00210A2F">
        <w:rPr>
          <w:lang w:val="sr-Cyrl-RS"/>
        </w:rPr>
        <w:t>прин</w:t>
      </w:r>
      <w:r>
        <w:rPr>
          <w:lang w:val="sr-Cyrl-RS"/>
        </w:rPr>
        <w:t>о</w:t>
      </w:r>
      <w:r w:rsidRPr="00210A2F">
        <w:rPr>
          <w:lang w:val="sr-Cyrl-RS"/>
        </w:rPr>
        <w:t>се успоравању укупне међугодишње инфлације, али у мањој мери него претходних месеци.</w:t>
      </w:r>
    </w:p>
    <w:p w14:paraId="022D3AB7" w14:textId="77777777" w:rsidR="00D17D25" w:rsidRPr="00210A2F" w:rsidRDefault="00D17D25" w:rsidP="00886C5E">
      <w:pPr>
        <w:pStyle w:val="Caption"/>
        <w:keepNext/>
        <w:spacing w:after="40"/>
        <w:rPr>
          <w:rFonts w:cstheme="minorHAnsi"/>
          <w:iCs w:val="0"/>
          <w:szCs w:val="22"/>
          <w:lang w:val="sr-Cyrl-RS"/>
        </w:rPr>
      </w:pPr>
      <w:r w:rsidRPr="00210A2F">
        <w:rPr>
          <w:rFonts w:cstheme="minorHAnsi"/>
          <w:iCs w:val="0"/>
          <w:szCs w:val="22"/>
          <w:lang w:val="sr-Cyrl-RS"/>
        </w:rPr>
        <w:t>Месечна и међугодишња инфлација, %</w:t>
      </w:r>
    </w:p>
    <w:p w14:paraId="1C322718" w14:textId="77777777" w:rsidR="00D17D25" w:rsidRPr="00210A2F" w:rsidRDefault="00D17D25" w:rsidP="00886C5E">
      <w:pPr>
        <w:spacing w:after="40"/>
        <w:rPr>
          <w:lang w:val="sr-Cyrl-RS"/>
        </w:rPr>
      </w:pPr>
      <w:r w:rsidRPr="00210A2F">
        <w:rPr>
          <w:noProof/>
        </w:rPr>
        <w:drawing>
          <wp:inline distT="0" distB="0" distL="0" distR="0" wp14:anchorId="12131E87" wp14:editId="0286E9BA">
            <wp:extent cx="2743200" cy="2088000"/>
            <wp:effectExtent l="0" t="0" r="0" b="7620"/>
            <wp:docPr id="99" name="Chart 99"/>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14:paraId="4B12886E" w14:textId="77777777" w:rsidR="00D17D25" w:rsidRPr="00210A2F" w:rsidRDefault="00D17D25" w:rsidP="00886C5E">
      <w:pPr>
        <w:rPr>
          <w:rFonts w:cstheme="minorHAnsi"/>
          <w:bCs/>
          <w:szCs w:val="72"/>
          <w:lang w:val="sr-Cyrl-RS"/>
        </w:rPr>
      </w:pPr>
      <w:r w:rsidRPr="00210A2F">
        <w:rPr>
          <w:rFonts w:cstheme="minorHAnsi"/>
          <w:bCs/>
          <w:sz w:val="16"/>
          <w:szCs w:val="72"/>
          <w:lang w:val="sr-Cyrl-RS"/>
        </w:rPr>
        <w:t>Извор: РЗС и НБС</w:t>
      </w:r>
    </w:p>
    <w:p w14:paraId="6EA54AE8" w14:textId="1361E0C5" w:rsidR="00E314E9" w:rsidRDefault="00D17D25" w:rsidP="00D31E71">
      <w:pPr>
        <w:rPr>
          <w:lang w:val="sr-Cyrl-RS"/>
        </w:rPr>
      </w:pPr>
      <w:r w:rsidRPr="00210A2F">
        <w:rPr>
          <w:lang w:val="sr-Cyrl-RS"/>
        </w:rPr>
        <w:t xml:space="preserve">Како би се зауставио раст цена и смањила инфлациона </w:t>
      </w:r>
      <w:r w:rsidRPr="00A90876">
        <w:rPr>
          <w:lang w:val="sr-Cyrl-RS"/>
        </w:rPr>
        <w:t xml:space="preserve">очекивања </w:t>
      </w:r>
      <w:r w:rsidRPr="00210A2F">
        <w:rPr>
          <w:lang w:val="sr-Cyrl-RS"/>
        </w:rPr>
        <w:t>НБС је почев од октобра 2021. године постепено</w:t>
      </w:r>
      <w:r w:rsidRPr="00210A2F">
        <w:rPr>
          <w:b/>
          <w:bCs/>
          <w:lang w:val="sr-Cyrl-RS"/>
        </w:rPr>
        <w:t xml:space="preserve"> </w:t>
      </w:r>
      <w:r w:rsidRPr="00210A2F">
        <w:rPr>
          <w:lang w:val="sr-Cyrl-RS"/>
        </w:rPr>
        <w:t>повећавала просечне пондерисане каматне стопе на једнонедељним реверзним репо аукцијама на којима се повлаче вишкови динарске ликвидности из банкарског система, а</w:t>
      </w:r>
      <w:r w:rsidRPr="00210A2F">
        <w:rPr>
          <w:b/>
          <w:bCs/>
          <w:lang w:val="sr-Cyrl-RS"/>
        </w:rPr>
        <w:t xml:space="preserve"> </w:t>
      </w:r>
      <w:r w:rsidRPr="00210A2F">
        <w:rPr>
          <w:lang w:val="sr-Cyrl-RS"/>
        </w:rPr>
        <w:t xml:space="preserve">од априла 2022. године почела је да повећава и референтну каматну стопу. Референтна каматна стопа повећана је за укупно 5,5 процентних поена, са 1,0% на 6,50% колико је износила у јулу и на том нивоу је задржана и у септембру 2023. године. Значајан допринос ублажавању инфлаторних притисака имала је релативна стабилност курса динара према евру, која је очувана у периоду избијања сукоба у Украјини захваљујући правовременим девизним интервенцијама НБС и добро вођеном макроекономском политиком. </w:t>
      </w:r>
      <w:r w:rsidR="00252B2A" w:rsidRPr="00252B2A">
        <w:rPr>
          <w:lang w:val="sr-Cyrl-RS"/>
        </w:rPr>
        <w:t>Од маја 2022. године присутни су претежно апрецијацијски притисци на домаћем девизном тржишту, уз интервенције Народне банке Србије у највећој мери на страни куповине девиза ради очувања релативне стабилности девизног курса, што је допринело увећању девизних резерви земље које су достигле рекордно високе нивое</w:t>
      </w:r>
      <w:r w:rsidRPr="00210A2F">
        <w:rPr>
          <w:lang w:val="sr-Cyrl-RS"/>
        </w:rPr>
        <w:t>.</w:t>
      </w:r>
    </w:p>
    <w:p w14:paraId="1DD02233" w14:textId="77777777" w:rsidR="00E314E9" w:rsidRDefault="00E314E9" w:rsidP="00D31E71">
      <w:pPr>
        <w:rPr>
          <w:lang w:val="sr-Cyrl-RS"/>
        </w:rPr>
        <w:sectPr w:rsidR="00E314E9" w:rsidSect="00886C5E">
          <w:headerReference w:type="default" r:id="rId84"/>
          <w:footerReference w:type="default" r:id="rId85"/>
          <w:type w:val="continuous"/>
          <w:pgSz w:w="12240" w:h="15840" w:code="1"/>
          <w:pgMar w:top="1440" w:right="1440" w:bottom="1440" w:left="1440" w:header="720" w:footer="720" w:gutter="0"/>
          <w:cols w:num="2" w:space="720"/>
          <w:titlePg/>
          <w:docGrid w:linePitch="360"/>
          <w15:footnoteColumns w:val="1"/>
        </w:sectPr>
      </w:pPr>
    </w:p>
    <w:p w14:paraId="2108C419" w14:textId="07053A96" w:rsidR="00D17D25" w:rsidRPr="00210A2F" w:rsidRDefault="00D17D25" w:rsidP="00D31E71">
      <w:pPr>
        <w:rPr>
          <w:lang w:val="sr-Cyrl-RS"/>
        </w:rPr>
      </w:pPr>
    </w:p>
    <w:p w14:paraId="6857A847" w14:textId="77777777" w:rsidR="00D17D25" w:rsidRPr="00210A2F" w:rsidRDefault="00D17D25" w:rsidP="00886C5E">
      <w:pPr>
        <w:pStyle w:val="Caption"/>
        <w:keepNext/>
        <w:spacing w:after="80"/>
        <w:rPr>
          <w:rFonts w:cstheme="minorHAnsi"/>
          <w:iCs w:val="0"/>
          <w:szCs w:val="22"/>
          <w:lang w:val="sr-Cyrl-RS"/>
        </w:rPr>
      </w:pPr>
      <w:r w:rsidRPr="00210A2F">
        <w:rPr>
          <w:rFonts w:cstheme="minorHAnsi"/>
          <w:iCs w:val="0"/>
          <w:szCs w:val="22"/>
          <w:lang w:val="sr-Cyrl-RS"/>
        </w:rPr>
        <w:lastRenderedPageBreak/>
        <w:t>Инфлација и референтна каматна стопа, %</w:t>
      </w:r>
    </w:p>
    <w:p w14:paraId="05DFAAA7" w14:textId="77777777" w:rsidR="00D17D25" w:rsidRPr="00210A2F" w:rsidRDefault="00D17D25" w:rsidP="00871703">
      <w:pPr>
        <w:spacing w:after="40"/>
        <w:rPr>
          <w:rFonts w:cstheme="minorHAnsi"/>
          <w:bCs/>
          <w:szCs w:val="72"/>
          <w:highlight w:val="darkYellow"/>
          <w:lang w:val="sr-Cyrl-RS"/>
        </w:rPr>
      </w:pPr>
      <w:r w:rsidRPr="00210A2F">
        <w:rPr>
          <w:noProof/>
        </w:rPr>
        <w:drawing>
          <wp:inline distT="0" distB="0" distL="0" distR="0" wp14:anchorId="0CC13F64" wp14:editId="6CA9A95B">
            <wp:extent cx="2743200" cy="1791970"/>
            <wp:effectExtent l="0" t="0" r="0" b="0"/>
            <wp:docPr id="100" name="Chart 100">
              <a:extLst xmlns:a="http://schemas.openxmlformats.org/drawingml/2006/main">
                <a:ext uri="{FF2B5EF4-FFF2-40B4-BE49-F238E27FC236}">
                  <a16:creationId xmlns:a16="http://schemas.microsoft.com/office/drawing/2014/main" id="{00000000-0008-0000-10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14:paraId="70A269A2" w14:textId="77777777" w:rsidR="00D17D25" w:rsidRPr="00210A2F" w:rsidRDefault="00D17D25" w:rsidP="00871703">
      <w:pPr>
        <w:rPr>
          <w:rFonts w:cstheme="minorHAnsi"/>
          <w:bCs/>
          <w:szCs w:val="72"/>
          <w:lang w:val="sr-Cyrl-RS"/>
        </w:rPr>
      </w:pPr>
      <w:r w:rsidRPr="00210A2F">
        <w:rPr>
          <w:rFonts w:cstheme="minorHAnsi"/>
          <w:bCs/>
          <w:sz w:val="16"/>
          <w:szCs w:val="72"/>
          <w:lang w:val="sr-Cyrl-RS"/>
        </w:rPr>
        <w:t>Извор: РЗС и НБС</w:t>
      </w:r>
    </w:p>
    <w:p w14:paraId="21BB690F" w14:textId="77777777" w:rsidR="00D17D25" w:rsidRPr="00B71FA6" w:rsidRDefault="00D17D25" w:rsidP="00D651FB">
      <w:pPr>
        <w:rPr>
          <w:rFonts w:cstheme="minorHAnsi"/>
          <w:lang w:val="sr-Cyrl-RS"/>
        </w:rPr>
      </w:pPr>
      <w:r w:rsidRPr="00B71FA6">
        <w:rPr>
          <w:lang w:val="sr-Cyrl-RS"/>
        </w:rPr>
        <w:t>Са циљем смиривања инфлације и негативних социјалних и економских ефеката раста светских цена хране и енергената, Влада је предузела низ мера административног ограничавања цена. Ограничене су цене основних животних намирница (брашно тип 400 и 500, оба у паковањима до пет килограма, укључујући и пет килограма). Уредба је последњи пут продужена крајем августа 2023. године и важи 120 дана. Уредбом о привременој мери ограничења цена гаса утврђује се цена гаса за даљу продају и право на надокнаду разлике у цени гаса набављеног из увоза или произведеног у земљи.</w:t>
      </w:r>
      <w:r w:rsidRPr="00B71FA6">
        <w:rPr>
          <w:color w:val="1F4E79" w:themeColor="accent5" w:themeShade="80"/>
          <w:lang w:val="sr-Cyrl-RS"/>
        </w:rPr>
        <w:t xml:space="preserve"> </w:t>
      </w:r>
      <w:r w:rsidRPr="00B71FA6">
        <w:rPr>
          <w:lang w:val="sr-Cyrl-RS"/>
        </w:rPr>
        <w:t>Уредбом о ограничењу висине цена нафтних деривата прописује се начин обрачуна највиших цена нафтних деривата у малопродаји, евродизела и европремијума БМБ 95. Посебно је ограничена цена деривата за пољопривреднике.</w:t>
      </w:r>
      <w:r w:rsidRPr="00B71FA6">
        <w:rPr>
          <w:rFonts w:cstheme="minorHAnsi"/>
          <w:lang w:val="sr-Cyrl-RS"/>
        </w:rPr>
        <w:t xml:space="preserve"> Ова уредба је последњи пут продужена крајем августа и важи до 30 септембра 2023. године. Циљ ових мера је смањење инфлаторних притисака и инфлационих очекивања, као и редовно и несметано снабдевање тржишта храном и енергентима.</w:t>
      </w:r>
    </w:p>
    <w:p w14:paraId="2DBA2C02" w14:textId="11836A1D" w:rsidR="00D17D25" w:rsidRPr="00B7395E" w:rsidRDefault="00D17D25" w:rsidP="002D6E55">
      <w:pPr>
        <w:pStyle w:val="Caption"/>
        <w:jc w:val="both"/>
        <w:rPr>
          <w:rFonts w:cstheme="minorHAnsi"/>
          <w:b w:val="0"/>
          <w:iCs w:val="0"/>
          <w:color w:val="44546A" w:themeColor="text2"/>
          <w:szCs w:val="22"/>
          <w:lang w:val="sr-Cyrl-RS"/>
        </w:rPr>
      </w:pPr>
      <w:r w:rsidRPr="00B7395E">
        <w:rPr>
          <w:rFonts w:cstheme="minorHAnsi"/>
          <w:b w:val="0"/>
          <w:iCs w:val="0"/>
          <w:color w:val="44546A" w:themeColor="text2"/>
          <w:szCs w:val="22"/>
          <w:lang w:val="sr-Cyrl-RS"/>
        </w:rPr>
        <w:t xml:space="preserve">И поред постепеног раста каматних стопа, како на домаћем тако и на међународном тржишту, а које је последица заоштравања монетарне политике ЕЦБ и Народне банке Србије, кредитна активност наставља да бележи раст у 2023. години, али успореније него претходне године. На спорији раст кредитне активности поред раста каматних стопа, утицали су и ефекти високе базе и доспеће кредита из гарантне шеме. Позитиван допринос расту кредита на крају јула 2023. године долази од кредита становништву, док кредити привреди почев од другог квартала бележе пад. Код кредита </w:t>
      </w:r>
      <w:r w:rsidRPr="00B7395E">
        <w:rPr>
          <w:rFonts w:cstheme="minorHAnsi"/>
          <w:b w:val="0"/>
          <w:iCs w:val="0"/>
          <w:color w:val="44546A" w:themeColor="text2"/>
          <w:szCs w:val="22"/>
          <w:lang w:val="sr-Cyrl-RS"/>
        </w:rPr>
        <w:t xml:space="preserve">привреди најзначајнији раст бележе девизни и девизно индексирани кредити за обртна средства и инвестиције, али с обзиром на значајан негативан допринос динарских кредита за ликвидност у тоталу бележе пад. Код кредита становништву најзначајнији раст је код девизних и девизно индексираних стамбених кредита и динарских готовинских кредита. Крајем јула 2023. године регистрован је номинални раст укупних кредита за 0,2% мг., при чему су кредити привреди забележили смањење од 1,6%, док су кредити становништву били већи за 2,3%. Стабилност банкарског сектора је очувана и додатно ојачана и одржано је учешће проблематичних кредита на нивоу од око 3,00% крајем јула 2023. године. </w:t>
      </w:r>
      <w:r w:rsidR="00EC02EF" w:rsidRPr="00EC02EF">
        <w:rPr>
          <w:rFonts w:cstheme="minorHAnsi"/>
          <w:b w:val="0"/>
          <w:iCs w:val="0"/>
          <w:color w:val="44546A" w:themeColor="text2"/>
          <w:szCs w:val="22"/>
          <w:lang w:val="sr-Cyrl-RS"/>
        </w:rPr>
        <w:t>Ради очувања стабилности финансијског сектора, превенције настанка нових проблематичних кредита и заштите грађана у неизвесним околностима променљивих каматних стопа, НБС је у септембру донела одлуку о привременом ограничењу каматне стопе на стамбене кредите</w:t>
      </w:r>
      <w:r w:rsidRPr="00B7395E">
        <w:rPr>
          <w:rFonts w:cstheme="minorHAnsi"/>
          <w:b w:val="0"/>
          <w:iCs w:val="0"/>
          <w:color w:val="44546A" w:themeColor="text2"/>
          <w:szCs w:val="22"/>
          <w:lang w:val="sr-Cyrl-RS"/>
        </w:rPr>
        <w:t>. Евентуални наставак заоштравања монетарних услова утицао би на даљи раст каматних стопа, што би се могло одразити и на даље успоравање раста кредитне активности.</w:t>
      </w:r>
    </w:p>
    <w:p w14:paraId="5A370E1C" w14:textId="77777777" w:rsidR="00D17D25" w:rsidRPr="00210A2F" w:rsidRDefault="00D17D25" w:rsidP="008527D6">
      <w:pPr>
        <w:pStyle w:val="Caption"/>
        <w:keepNext/>
        <w:rPr>
          <w:rFonts w:cstheme="minorHAnsi"/>
          <w:b w:val="0"/>
          <w:i/>
          <w:iCs w:val="0"/>
          <w:szCs w:val="22"/>
          <w:lang w:val="sr-Cyrl-RS"/>
        </w:rPr>
      </w:pPr>
      <w:r w:rsidRPr="00210A2F">
        <w:rPr>
          <w:rFonts w:cstheme="minorHAnsi"/>
          <w:iCs w:val="0"/>
          <w:szCs w:val="22"/>
          <w:lang w:val="sr-Cyrl-RS"/>
        </w:rPr>
        <w:t>Проблематични кредити, млрд РСД</w:t>
      </w:r>
    </w:p>
    <w:p w14:paraId="0D2529A8" w14:textId="77777777" w:rsidR="00D17D25" w:rsidRPr="00210A2F" w:rsidRDefault="00D17D25" w:rsidP="0021538A">
      <w:pPr>
        <w:spacing w:after="40"/>
        <w:rPr>
          <w:rFonts w:cstheme="minorHAnsi"/>
          <w:bCs/>
          <w:szCs w:val="72"/>
          <w:highlight w:val="yellow"/>
          <w:lang w:val="sr-Cyrl-RS"/>
        </w:rPr>
      </w:pPr>
      <w:r w:rsidRPr="00210A2F">
        <w:rPr>
          <w:noProof/>
        </w:rPr>
        <w:drawing>
          <wp:inline distT="0" distB="0" distL="0" distR="0" wp14:anchorId="43D30A93" wp14:editId="12498425">
            <wp:extent cx="2743200" cy="1673860"/>
            <wp:effectExtent l="0" t="0" r="0" b="2540"/>
            <wp:docPr id="101" name="Chart 101">
              <a:extLst xmlns:a="http://schemas.openxmlformats.org/drawingml/2006/main">
                <a:ext uri="{FF2B5EF4-FFF2-40B4-BE49-F238E27FC236}">
                  <a16:creationId xmlns:a16="http://schemas.microsoft.com/office/drawing/2014/main" id="{00000000-0008-0000-14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14:paraId="65BBD192" w14:textId="77777777" w:rsidR="00D17D25" w:rsidRPr="00210A2F" w:rsidRDefault="00D17D25" w:rsidP="0021538A">
      <w:pPr>
        <w:spacing w:after="120"/>
        <w:rPr>
          <w:rFonts w:cstheme="minorHAnsi"/>
          <w:lang w:val="sr-Cyrl-RS"/>
        </w:rPr>
      </w:pPr>
      <w:r w:rsidRPr="00210A2F">
        <w:rPr>
          <w:rFonts w:cstheme="minorHAnsi"/>
          <w:bCs/>
          <w:sz w:val="16"/>
          <w:szCs w:val="72"/>
          <w:lang w:val="sr-Cyrl-RS"/>
        </w:rPr>
        <w:t>Извор: НБС</w:t>
      </w:r>
    </w:p>
    <w:p w14:paraId="7163A913" w14:textId="77777777" w:rsidR="00D17D25" w:rsidRPr="00210A2F" w:rsidRDefault="00D17D25" w:rsidP="00F762CA">
      <w:pPr>
        <w:rPr>
          <w:rFonts w:cstheme="minorHAnsi"/>
          <w:bCs/>
          <w:spacing w:val="-2"/>
          <w:szCs w:val="72"/>
          <w:lang w:val="sr-Cyrl-RS"/>
        </w:rPr>
      </w:pPr>
      <w:r w:rsidRPr="00210A2F">
        <w:rPr>
          <w:rFonts w:cstheme="minorHAnsi"/>
          <w:bCs/>
          <w:szCs w:val="72"/>
          <w:lang w:val="sr-Cyrl-RS"/>
        </w:rPr>
        <w:t>Период јануар</w:t>
      </w:r>
      <w:r>
        <w:rPr>
          <w:rFonts w:cstheme="minorHAnsi"/>
          <w:bCs/>
          <w:szCs w:val="72"/>
          <w:lang w:val="sr-Cyrl-RS"/>
        </w:rPr>
        <w:t>–</w:t>
      </w:r>
      <w:r w:rsidRPr="00210A2F">
        <w:rPr>
          <w:rFonts w:cstheme="minorHAnsi"/>
          <w:bCs/>
          <w:szCs w:val="72"/>
          <w:lang w:val="sr-Cyrl-RS"/>
        </w:rPr>
        <w:t xml:space="preserve">јул 2023. године обележила су релативно стабилна кретања на девизном тржишту. Почев од фебруара 2023. године било је присутно јачање апрецијацијских притисака. Ово је поред стабилности на домаћем девизном тржишту, резултат веће понуде од тражње за девизама на међубанкарском девизном тржишту, захваљујући пре свега минималном оствареном дефициту текућег рачуна платног биланса и високом приливу СДИ. С обзиром на већу понуду </w:t>
      </w:r>
      <w:r w:rsidRPr="00210A2F">
        <w:rPr>
          <w:rFonts w:cstheme="minorHAnsi"/>
          <w:bCs/>
          <w:szCs w:val="72"/>
          <w:lang w:val="sr-Cyrl-RS"/>
        </w:rPr>
        <w:lastRenderedPageBreak/>
        <w:t>девиза од тражње, НБС је у овом периоду била нето купац девиза у износу од 2,5 млрд евра. У јулу 2023. године динар је на међугодишњем нивоу у просеку забележио номиналну апрецијацију од 0,1%, док је реална апрецијација износила 7,0%.</w:t>
      </w:r>
    </w:p>
    <w:p w14:paraId="175A3258" w14:textId="77777777" w:rsidR="00D17D25" w:rsidRPr="00210A2F" w:rsidRDefault="00D17D25" w:rsidP="005516BC">
      <w:pPr>
        <w:pStyle w:val="Caption"/>
        <w:keepNext/>
        <w:spacing w:after="0"/>
        <w:rPr>
          <w:rFonts w:cstheme="minorHAnsi"/>
          <w:b w:val="0"/>
          <w:i/>
          <w:iCs w:val="0"/>
          <w:szCs w:val="22"/>
          <w:lang w:val="sr-Cyrl-RS"/>
        </w:rPr>
      </w:pPr>
      <w:r w:rsidRPr="00210A2F">
        <w:rPr>
          <w:rFonts w:cstheme="minorHAnsi"/>
          <w:iCs w:val="0"/>
          <w:szCs w:val="22"/>
          <w:lang w:val="sr-Cyrl-RS"/>
        </w:rPr>
        <w:t>Девизни курс и интервенције НБС на девизном тржишту</w:t>
      </w:r>
    </w:p>
    <w:p w14:paraId="7A4A17EE" w14:textId="77777777" w:rsidR="00D17D25" w:rsidRPr="00210A2F" w:rsidRDefault="00D17D25" w:rsidP="00F762CA">
      <w:pPr>
        <w:spacing w:after="20"/>
        <w:rPr>
          <w:rFonts w:cstheme="minorHAnsi"/>
          <w:bCs/>
          <w:szCs w:val="72"/>
          <w:highlight w:val="darkYellow"/>
          <w:lang w:val="sr-Cyrl-RS"/>
        </w:rPr>
      </w:pPr>
      <w:r w:rsidRPr="00210A2F">
        <w:rPr>
          <w:noProof/>
        </w:rPr>
        <w:drawing>
          <wp:inline distT="0" distB="0" distL="0" distR="0" wp14:anchorId="295F31A5" wp14:editId="4400553E">
            <wp:extent cx="2743200" cy="1698625"/>
            <wp:effectExtent l="0" t="0" r="0" b="0"/>
            <wp:docPr id="102" name="Chart 102">
              <a:extLst xmlns:a="http://schemas.openxmlformats.org/drawingml/2006/main">
                <a:ext uri="{FF2B5EF4-FFF2-40B4-BE49-F238E27FC236}">
                  <a16:creationId xmlns:a16="http://schemas.microsoft.com/office/drawing/2014/main" id="{00000000-0008-0000-13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07850DFC" w14:textId="77777777" w:rsidR="00D17D25" w:rsidRPr="00210A2F" w:rsidRDefault="00D17D25" w:rsidP="00852421">
      <w:pPr>
        <w:spacing w:after="120"/>
        <w:rPr>
          <w:rFonts w:cstheme="minorHAnsi"/>
          <w:bCs/>
          <w:szCs w:val="72"/>
          <w:lang w:val="sr-Cyrl-RS"/>
        </w:rPr>
      </w:pPr>
      <w:r w:rsidRPr="00210A2F">
        <w:rPr>
          <w:rFonts w:cstheme="minorHAnsi"/>
          <w:bCs/>
          <w:sz w:val="16"/>
          <w:szCs w:val="72"/>
          <w:lang w:val="sr-Cyrl-RS"/>
        </w:rPr>
        <w:t>Извор: НБС</w:t>
      </w:r>
    </w:p>
    <w:p w14:paraId="16762E3A" w14:textId="77777777" w:rsidR="00D17D25" w:rsidRPr="00210A2F" w:rsidRDefault="00D17D25" w:rsidP="00F762CA">
      <w:pPr>
        <w:rPr>
          <w:rFonts w:cstheme="minorHAnsi"/>
          <w:bCs/>
          <w:szCs w:val="72"/>
          <w:lang w:val="sr-Cyrl-RS"/>
        </w:rPr>
      </w:pPr>
      <w:r w:rsidRPr="00210A2F">
        <w:rPr>
          <w:rFonts w:cstheme="minorHAnsi"/>
          <w:bCs/>
          <w:szCs w:val="72"/>
          <w:lang w:val="sr-Cyrl-RS"/>
        </w:rPr>
        <w:t>Бруто</w:t>
      </w:r>
      <w:r w:rsidRPr="00210A2F">
        <w:rPr>
          <w:rFonts w:cstheme="minorHAnsi"/>
          <w:b/>
          <w:bCs/>
          <w:szCs w:val="72"/>
          <w:lang w:val="sr-Cyrl-RS"/>
        </w:rPr>
        <w:t xml:space="preserve"> </w:t>
      </w:r>
      <w:r w:rsidRPr="00210A2F">
        <w:rPr>
          <w:rFonts w:cstheme="minorHAnsi"/>
          <w:bCs/>
          <w:szCs w:val="72"/>
          <w:lang w:val="sr-Cyrl-RS"/>
        </w:rPr>
        <w:t>девизне резерве су задржане на високом нивоу и у августу 2023. године износиле су 23,6 млрд евра, што је највиши ниво од када се прате на овај начин (од 2000. године). То је било довољно за покривеност новчане масе М1 од 183,9% и 6,3 месеца увоза робе и услуга. Повећање девизних резерви у августу првенствено је резултат нето куповине девиза Народне банке Србије на домаћем девизном тржишту и коришћења кредита Републике Србије.</w:t>
      </w:r>
    </w:p>
    <w:p w14:paraId="4ED82AF4" w14:textId="77777777" w:rsidR="00D17D25" w:rsidRPr="00210A2F" w:rsidRDefault="00D17D25" w:rsidP="00F762CA">
      <w:pPr>
        <w:spacing w:after="40"/>
        <w:jc w:val="center"/>
        <w:rPr>
          <w:rFonts w:cstheme="minorHAnsi"/>
          <w:b/>
          <w:i/>
          <w:iCs/>
          <w:color w:val="002060"/>
          <w:lang w:val="sr-Cyrl-RS"/>
        </w:rPr>
      </w:pPr>
      <w:r w:rsidRPr="00210A2F">
        <w:rPr>
          <w:rFonts w:cstheme="minorHAnsi"/>
          <w:b/>
          <w:color w:val="002060"/>
          <w:lang w:val="sr-Cyrl-RS"/>
        </w:rPr>
        <w:t>Девизне резерве и девизна штедња, млрд евра</w:t>
      </w:r>
    </w:p>
    <w:p w14:paraId="55F4C235" w14:textId="77777777" w:rsidR="00D17D25" w:rsidRPr="00210A2F" w:rsidRDefault="00D17D25" w:rsidP="008A5B9A">
      <w:pPr>
        <w:spacing w:after="0"/>
        <w:rPr>
          <w:rFonts w:cstheme="minorHAnsi"/>
          <w:bCs/>
          <w:szCs w:val="72"/>
          <w:highlight w:val="darkYellow"/>
          <w:lang w:val="sr-Cyrl-RS"/>
        </w:rPr>
      </w:pPr>
      <w:r w:rsidRPr="00210A2F">
        <w:rPr>
          <w:noProof/>
        </w:rPr>
        <w:drawing>
          <wp:inline distT="0" distB="0" distL="0" distR="0" wp14:anchorId="5BD2FE3E" wp14:editId="48707EBE">
            <wp:extent cx="2743200" cy="1799590"/>
            <wp:effectExtent l="0" t="0" r="0" b="0"/>
            <wp:docPr id="103" name="Chart 103">
              <a:extLst xmlns:a="http://schemas.openxmlformats.org/drawingml/2006/main">
                <a:ext uri="{FF2B5EF4-FFF2-40B4-BE49-F238E27FC236}">
                  <a16:creationId xmlns:a16="http://schemas.microsoft.com/office/drawing/2014/main" id="{00000000-0008-0000-12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14:paraId="29CB56DA" w14:textId="77777777" w:rsidR="00D17D25" w:rsidRPr="00210A2F" w:rsidRDefault="00D17D25" w:rsidP="008A5B9A">
      <w:pPr>
        <w:spacing w:after="120"/>
        <w:rPr>
          <w:rFonts w:cstheme="minorHAnsi"/>
          <w:bCs/>
          <w:szCs w:val="72"/>
          <w:lang w:val="sr-Cyrl-RS"/>
        </w:rPr>
      </w:pPr>
      <w:r w:rsidRPr="00210A2F">
        <w:rPr>
          <w:rFonts w:cstheme="minorHAnsi"/>
          <w:bCs/>
          <w:sz w:val="16"/>
          <w:szCs w:val="72"/>
          <w:lang w:val="sr-Cyrl-RS"/>
        </w:rPr>
        <w:t>Извор: НБС</w:t>
      </w:r>
    </w:p>
    <w:p w14:paraId="78CFBCBD" w14:textId="77777777" w:rsidR="00D17D25" w:rsidRPr="00210A2F" w:rsidRDefault="00D17D25" w:rsidP="00886C5E">
      <w:pPr>
        <w:spacing w:after="120"/>
        <w:rPr>
          <w:lang w:val="sr-Cyrl-RS"/>
        </w:rPr>
      </w:pPr>
      <w:r w:rsidRPr="00210A2F">
        <w:rPr>
          <w:lang w:val="sr-Cyrl-RS"/>
        </w:rPr>
        <w:t xml:space="preserve">Према актуелној пројекцији међугодишња инфлација ће наставити да се креће опадајућом путањoм, смањујући се просечно месечно за око 1 процентни поен, тако да би крајем 2023. године требало да износи око 8%, што је непромењено у односу на претходна очекивања. На такво кретање </w:t>
      </w:r>
      <w:r w:rsidRPr="00210A2F">
        <w:rPr>
          <w:lang w:val="sr-Cyrl-RS"/>
        </w:rPr>
        <w:t>инфлације утицаће и слабљење глобалних трошковних притисака, као и излазак из међугодишњег обрачуна инфлације поскупљења хране и енергената из друге половине 2022. године. Опадајућој путањи инфлације у наредном периоду и њеном повратку у границе циља у другом тромесечју 2024. допринеће и ефекти заоштравања монетарних услова, успоравање увозне инфлације, као и очекивани даљи пад инфлационих очекивања.</w:t>
      </w:r>
    </w:p>
    <w:p w14:paraId="54888CCE" w14:textId="77777777" w:rsidR="00D17D25" w:rsidRPr="00210A2F" w:rsidRDefault="00D17D25" w:rsidP="00886C5E">
      <w:pPr>
        <w:pStyle w:val="Caption"/>
        <w:keepNext/>
        <w:spacing w:after="40"/>
        <w:rPr>
          <w:rFonts w:cstheme="minorHAnsi"/>
          <w:iCs w:val="0"/>
          <w:szCs w:val="22"/>
          <w:lang w:val="sr-Cyrl-RS"/>
        </w:rPr>
      </w:pPr>
      <w:r w:rsidRPr="00210A2F">
        <w:rPr>
          <w:rFonts w:cstheme="minorHAnsi"/>
          <w:iCs w:val="0"/>
          <w:szCs w:val="22"/>
          <w:lang w:val="sr-Cyrl-RS"/>
        </w:rPr>
        <w:t>Пројекција инфлације, %</w:t>
      </w:r>
    </w:p>
    <w:p w14:paraId="158E9547" w14:textId="77777777" w:rsidR="00D17D25" w:rsidRPr="00210A2F" w:rsidRDefault="00D17D25" w:rsidP="00886C5E">
      <w:pPr>
        <w:spacing w:after="40"/>
        <w:rPr>
          <w:rFonts w:cstheme="minorHAnsi"/>
          <w:sz w:val="16"/>
          <w:szCs w:val="16"/>
          <w:lang w:val="sr-Cyrl-RS"/>
        </w:rPr>
      </w:pPr>
      <w:r w:rsidRPr="00210A2F">
        <w:rPr>
          <w:noProof/>
        </w:rPr>
        <w:drawing>
          <wp:inline distT="0" distB="0" distL="0" distR="0" wp14:anchorId="1EBB2048" wp14:editId="0BD23B28">
            <wp:extent cx="2743200" cy="1637030"/>
            <wp:effectExtent l="0" t="0" r="0" b="1270"/>
            <wp:docPr id="990138498" name="Chart 990138498">
              <a:extLst xmlns:a="http://schemas.openxmlformats.org/drawingml/2006/main">
                <a:ext uri="{FF2B5EF4-FFF2-40B4-BE49-F238E27FC236}">
                  <a16:creationId xmlns:a16="http://schemas.microsoft.com/office/drawing/2014/main" id="{00000000-0008-0000-1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14:paraId="1A01817D" w14:textId="77777777" w:rsidR="00D17D25" w:rsidRPr="00210A2F" w:rsidRDefault="00D17D25" w:rsidP="00886C5E">
      <w:pPr>
        <w:spacing w:after="200"/>
        <w:rPr>
          <w:rFonts w:cstheme="minorHAnsi"/>
          <w:bCs/>
          <w:sz w:val="16"/>
          <w:szCs w:val="72"/>
          <w:lang w:val="sr-Cyrl-RS"/>
        </w:rPr>
      </w:pPr>
      <w:r w:rsidRPr="00210A2F">
        <w:rPr>
          <w:rFonts w:cstheme="minorHAnsi"/>
          <w:bCs/>
          <w:sz w:val="16"/>
          <w:szCs w:val="72"/>
          <w:lang w:val="sr-Cyrl-RS"/>
        </w:rPr>
        <w:t>Извор: Министарство финансија</w:t>
      </w:r>
    </w:p>
    <w:p w14:paraId="3CA24263" w14:textId="77777777" w:rsidR="00886C5E" w:rsidRPr="00B66645" w:rsidRDefault="00886C5E" w:rsidP="002D6E55">
      <w:pPr>
        <w:jc w:val="left"/>
        <w:rPr>
          <w:rFonts w:cstheme="minorHAnsi"/>
          <w:b/>
          <w:color w:val="2F5496" w:themeColor="accent1" w:themeShade="BF"/>
          <w:sz w:val="22"/>
          <w:lang w:val="sr-Cyrl-RS"/>
        </w:rPr>
      </w:pPr>
      <w:bookmarkStart w:id="12" w:name="_Toc530041993"/>
      <w:r w:rsidRPr="00B66645">
        <w:rPr>
          <w:rFonts w:cstheme="minorHAnsi"/>
          <w:b/>
          <w:color w:val="2F5496" w:themeColor="accent1" w:themeShade="BF"/>
          <w:sz w:val="22"/>
          <w:lang w:val="sr-Cyrl-RS"/>
        </w:rPr>
        <w:t>Екстерни сектор</w:t>
      </w:r>
    </w:p>
    <w:p w14:paraId="37D9AE9A" w14:textId="46DFC19B" w:rsidR="00886C5E" w:rsidRPr="00B66645" w:rsidRDefault="00886C5E" w:rsidP="002D6E55">
      <w:pPr>
        <w:rPr>
          <w:rFonts w:eastAsia="Times New Roman" w:cstheme="minorHAnsi"/>
          <w:szCs w:val="24"/>
          <w:lang w:val="sr-Cyrl-RS"/>
        </w:rPr>
      </w:pPr>
      <w:r w:rsidRPr="00B66645">
        <w:rPr>
          <w:rFonts w:eastAsia="Times New Roman" w:cstheme="minorHAnsi"/>
          <w:szCs w:val="24"/>
          <w:lang w:val="sr-Cyrl-RS"/>
        </w:rPr>
        <w:t>Након снажног раста спољнотрговинске робне размене у 2022. години услед оп</w:t>
      </w:r>
      <w:r w:rsidR="007335E1">
        <w:rPr>
          <w:rFonts w:eastAsia="Times New Roman" w:cstheme="minorHAnsi"/>
          <w:szCs w:val="24"/>
          <w:lang w:val="sr-Cyrl-RS"/>
        </w:rPr>
        <w:t>о</w:t>
      </w:r>
      <w:r w:rsidRPr="00B66645">
        <w:rPr>
          <w:rFonts w:eastAsia="Times New Roman" w:cstheme="minorHAnsi"/>
          <w:szCs w:val="24"/>
          <w:lang w:val="sr-Cyrl-RS"/>
        </w:rPr>
        <w:t>равка економија најзначајнијих трговинских партнера Србије и повећане екстерне тражње, укупан обим спољнотрговинске робне размене у првих седам месеци 2023. године повећан је за 0,3% захваљујући наставку раста извозне активности, упркос паду цена енергената и репроматеријала и мањем увозу.</w:t>
      </w:r>
    </w:p>
    <w:p w14:paraId="350C0D3B" w14:textId="6751DAC1" w:rsidR="00886C5E" w:rsidRPr="00932ABD" w:rsidRDefault="00886C5E" w:rsidP="002D6E55">
      <w:pPr>
        <w:rPr>
          <w:rFonts w:eastAsia="Times New Roman" w:cstheme="minorHAnsi"/>
          <w:szCs w:val="24"/>
          <w:lang w:val="sr-Cyrl-RS"/>
        </w:rPr>
      </w:pPr>
      <w:r w:rsidRPr="00B66645">
        <w:rPr>
          <w:rFonts w:eastAsia="Times New Roman" w:cstheme="minorHAnsi"/>
          <w:szCs w:val="24"/>
          <w:lang w:val="sr-Cyrl-RS"/>
        </w:rPr>
        <w:t>Током првих седам месеци текуће године, извезено је робе у укупној вредности од 16,9 млрд евра, што представља повећање у односу на исти период у претходне године од 8,2</w:t>
      </w:r>
      <w:r w:rsidRPr="00932ABD">
        <w:rPr>
          <w:rFonts w:eastAsia="Times New Roman" w:cstheme="minorHAnsi"/>
          <w:szCs w:val="24"/>
          <w:lang w:val="sr-Cyrl-RS"/>
        </w:rPr>
        <w:t xml:space="preserve">%. Висок </w:t>
      </w:r>
      <w:r w:rsidRPr="00B66645">
        <w:rPr>
          <w:rFonts w:eastAsia="Times New Roman" w:cstheme="minorHAnsi"/>
          <w:szCs w:val="24"/>
          <w:lang w:val="sr-Cyrl-RS"/>
        </w:rPr>
        <w:t xml:space="preserve">раст извоза </w:t>
      </w:r>
      <w:r w:rsidR="00733C2C">
        <w:rPr>
          <w:rFonts w:eastAsia="Times New Roman" w:cstheme="minorHAnsi"/>
          <w:szCs w:val="24"/>
          <w:lang w:val="sr-Cyrl-RS"/>
        </w:rPr>
        <w:t>резултат је пре свега</w:t>
      </w:r>
      <w:r w:rsidRPr="00B66645">
        <w:rPr>
          <w:rFonts w:eastAsia="Times New Roman" w:cstheme="minorHAnsi"/>
          <w:szCs w:val="24"/>
          <w:lang w:val="sr-Cyrl-RS"/>
        </w:rPr>
        <w:t xml:space="preserve"> активирањ</w:t>
      </w:r>
      <w:r w:rsidR="00733C2C">
        <w:rPr>
          <w:rFonts w:eastAsia="Times New Roman" w:cstheme="minorHAnsi"/>
          <w:szCs w:val="24"/>
          <w:lang w:val="sr-Cyrl-RS"/>
        </w:rPr>
        <w:t>а</w:t>
      </w:r>
      <w:r w:rsidRPr="00B66645">
        <w:rPr>
          <w:rFonts w:eastAsia="Times New Roman" w:cstheme="minorHAnsi"/>
          <w:szCs w:val="24"/>
          <w:lang w:val="sr-Cyrl-RS"/>
        </w:rPr>
        <w:t xml:space="preserve"> нових извозно оријентисаних капацитета, услед високог прилива СДИ из претходног периода, које су у значајном обиму биле усмерене у разменљиве секторе. Извоз прерађивачке индустрије, која је и главни генератор раста извоза, већи је за 1,2 млрд евра или 8,7% у односу на првих седам месеци 2022. године уз диверсификован раст који је остварен у 17 од 23 области.</w:t>
      </w:r>
      <w:r w:rsidRPr="00B66645">
        <w:rPr>
          <w:rFonts w:cstheme="minorHAnsi"/>
          <w:szCs w:val="20"/>
          <w:lang w:val="sr-Cyrl-RS"/>
        </w:rPr>
        <w:t xml:space="preserve"> </w:t>
      </w:r>
      <w:r w:rsidRPr="00B66645">
        <w:rPr>
          <w:rFonts w:eastAsia="Times New Roman" w:cstheme="minorHAnsi"/>
          <w:szCs w:val="24"/>
          <w:lang w:val="sr-Cyrl-RS"/>
        </w:rPr>
        <w:t xml:space="preserve">Већем извозу прерађивачке индустрије највише је допринео </w:t>
      </w:r>
      <w:r w:rsidRPr="00B66645">
        <w:rPr>
          <w:rFonts w:eastAsia="Times New Roman" w:cstheme="minorHAnsi"/>
          <w:szCs w:val="24"/>
          <w:lang w:val="sr-Cyrl-RS"/>
        </w:rPr>
        <w:lastRenderedPageBreak/>
        <w:t xml:space="preserve">раст извоза у електронској, аутомобилској и машинској </w:t>
      </w:r>
      <w:r w:rsidRPr="00932ABD">
        <w:rPr>
          <w:rFonts w:eastAsia="Times New Roman" w:cstheme="minorHAnsi"/>
          <w:szCs w:val="24"/>
          <w:lang w:val="sr-Cyrl-RS"/>
        </w:rPr>
        <w:t xml:space="preserve">индустрији. </w:t>
      </w:r>
      <w:r w:rsidRPr="00B66645">
        <w:rPr>
          <w:rFonts w:eastAsia="Times New Roman" w:cstheme="minorHAnsi"/>
          <w:szCs w:val="24"/>
          <w:lang w:val="sr-Cyrl-RS"/>
        </w:rPr>
        <w:t xml:space="preserve">Поред </w:t>
      </w:r>
      <w:r w:rsidRPr="00932ABD">
        <w:rPr>
          <w:rFonts w:eastAsia="Times New Roman" w:cstheme="minorHAnsi"/>
          <w:szCs w:val="24"/>
          <w:lang w:val="sr-Cyrl-RS"/>
        </w:rPr>
        <w:t>прерађивачке индустрије, значајан допринос расту извоза долази и од извоза електричне енергије чија је вредност 2,6 пута већа у односу на исти период претходне године. Пољопривреда је, са друге стране, забележила пад од 34,7%, услед слабије пољопривредне сезоне у претходној години и пада цена пољопривредних производа на светском тржишту.</w:t>
      </w:r>
    </w:p>
    <w:p w14:paraId="2A646E9F" w14:textId="2A66F4DE" w:rsidR="00886C5E" w:rsidRPr="00B66645" w:rsidRDefault="00886C5E" w:rsidP="00C57089">
      <w:pPr>
        <w:pStyle w:val="NoSpacing"/>
        <w:jc w:val="center"/>
        <w:rPr>
          <w:rFonts w:cstheme="minorHAnsi"/>
          <w:color w:val="002060"/>
          <w:lang w:val="sr-Cyrl-RS"/>
        </w:rPr>
      </w:pPr>
      <w:r w:rsidRPr="00B66645">
        <w:rPr>
          <w:rFonts w:cstheme="minorHAnsi"/>
          <w:color w:val="002060"/>
          <w:lang w:val="sr-Cyrl-RS"/>
        </w:rPr>
        <w:t>Доприноси стопи раста увоза, економска намена, п.п.</w:t>
      </w:r>
    </w:p>
    <w:p w14:paraId="69F48999" w14:textId="77777777" w:rsidR="00886C5E" w:rsidRPr="00B66645" w:rsidRDefault="00886C5E" w:rsidP="00C57089">
      <w:pPr>
        <w:pStyle w:val="NoSpacing"/>
        <w:jc w:val="center"/>
        <w:rPr>
          <w:rFonts w:cstheme="minorHAnsi"/>
          <w:color w:val="44546A" w:themeColor="text2"/>
          <w:lang w:val="sr-Cyrl-RS"/>
        </w:rPr>
      </w:pPr>
      <w:r w:rsidRPr="00B66645">
        <w:rPr>
          <w:noProof/>
        </w:rPr>
        <w:drawing>
          <wp:inline distT="0" distB="0" distL="0" distR="0" wp14:anchorId="58A35609" wp14:editId="0D286A12">
            <wp:extent cx="2741735" cy="1980000"/>
            <wp:effectExtent l="0" t="0" r="1905" b="1270"/>
            <wp:docPr id="104" name="Chart 104">
              <a:extLst xmlns:a="http://schemas.openxmlformats.org/drawingml/2006/main">
                <a:ext uri="{FF2B5EF4-FFF2-40B4-BE49-F238E27FC236}">
                  <a16:creationId xmlns:a16="http://schemas.microsoft.com/office/drawing/2014/main" id="{00000000-0008-0000-15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654FA97E" w14:textId="77777777" w:rsidR="00886C5E" w:rsidRPr="00B66645" w:rsidRDefault="00886C5E" w:rsidP="00C57089">
      <w:pPr>
        <w:spacing w:before="120"/>
        <w:rPr>
          <w:rFonts w:cstheme="minorHAnsi"/>
          <w:bCs/>
          <w:szCs w:val="72"/>
          <w:lang w:val="sr-Cyrl-RS"/>
        </w:rPr>
      </w:pPr>
      <w:r w:rsidRPr="00B66645">
        <w:rPr>
          <w:rFonts w:cstheme="minorHAnsi"/>
          <w:bCs/>
          <w:sz w:val="16"/>
          <w:szCs w:val="72"/>
          <w:lang w:val="sr-Cyrl-RS"/>
        </w:rPr>
        <w:t>Извор: РЗС</w:t>
      </w:r>
    </w:p>
    <w:p w14:paraId="3C262ABA" w14:textId="77777777" w:rsidR="00886C5E" w:rsidRPr="00B66645" w:rsidRDefault="00886C5E" w:rsidP="002D6E55">
      <w:pPr>
        <w:rPr>
          <w:rFonts w:eastAsia="Times New Roman" w:cstheme="minorHAnsi"/>
          <w:lang w:val="sr-Cyrl-RS"/>
        </w:rPr>
      </w:pPr>
      <w:r w:rsidRPr="00B66645">
        <w:rPr>
          <w:rFonts w:eastAsia="Times New Roman" w:cstheme="minorHAnsi"/>
          <w:szCs w:val="24"/>
          <w:lang w:val="sr-Cyrl-RS"/>
        </w:rPr>
        <w:t>У првих седам месеци 2023. године, увоз робе смањен је за 5,1% у односу на исти период претходне године и износио је 21,4 милијарде евра. Пад увоза изражен у еврима последица је пре свега мањег увоза најважнијих енергената, (нафте, електричне енергије и природног гаса) за скоро 1,2 милијарди евра, услед пада цена енергената на светском тржишту али и мањих увезених количина и високог базног ефекта. Посматрано по намени увоз репроматеријала и опреме забележио је пад од 11,2% и 10,6%, респективно (смањење од 1,5 млрд евра и 292,1 мил. евра). Са друге стране, раст увоза забележен је код потрошне робе која је забележила стопу раста од 7,8% мг. (прираст од 296,3 мил. евра).</w:t>
      </w:r>
    </w:p>
    <w:p w14:paraId="1F420740" w14:textId="77777777" w:rsidR="00886C5E" w:rsidRPr="00B66645" w:rsidRDefault="00886C5E" w:rsidP="002D6E55">
      <w:pPr>
        <w:rPr>
          <w:rFonts w:eastAsia="Times New Roman" w:cstheme="minorHAnsi"/>
          <w:szCs w:val="24"/>
          <w:lang w:val="sr-Cyrl-RS"/>
        </w:rPr>
      </w:pPr>
      <w:r w:rsidRPr="00B66645">
        <w:rPr>
          <w:rFonts w:eastAsia="Times New Roman" w:cstheme="minorHAnsi"/>
          <w:szCs w:val="24"/>
          <w:lang w:val="sr-Cyrl-RS"/>
        </w:rPr>
        <w:t xml:space="preserve">Оваква кретања у спољнотрговинској размени имала су за резултат смањење спољнотрговинског дефицита који је износио 4,6 млрд евра у посматраном периоду, и мањи је за 2,4 млрд евра у односу на исти период претходне године, од чега око 60% потиче од смањења дефицита у размени енергената. Истовремено, повећана је </w:t>
      </w:r>
      <w:r w:rsidRPr="00B66645">
        <w:rPr>
          <w:rFonts w:eastAsia="Times New Roman" w:cstheme="minorHAnsi"/>
          <w:szCs w:val="24"/>
          <w:lang w:val="sr-Cyrl-RS"/>
        </w:rPr>
        <w:t>покривеност увоза извозом која износи 78,7% у текућој, у односу на 69,1% у истом периоду у претходној години.</w:t>
      </w:r>
    </w:p>
    <w:p w14:paraId="470BD20A" w14:textId="77777777" w:rsidR="00886C5E" w:rsidRPr="00B66645" w:rsidRDefault="00886C5E" w:rsidP="002D6E55">
      <w:pPr>
        <w:pStyle w:val="NoSpacing"/>
        <w:jc w:val="center"/>
        <w:rPr>
          <w:rFonts w:cstheme="minorHAnsi"/>
          <w:color w:val="002060"/>
          <w:lang w:val="sr-Cyrl-RS"/>
        </w:rPr>
      </w:pPr>
      <w:r w:rsidRPr="00B66645">
        <w:rPr>
          <w:rFonts w:cstheme="minorHAnsi"/>
          <w:color w:val="002060"/>
          <w:lang w:val="sr-Cyrl-RS"/>
        </w:rPr>
        <w:t>Робна размена, мил. ЕУР</w:t>
      </w:r>
    </w:p>
    <w:p w14:paraId="2B85ACB1" w14:textId="77777777" w:rsidR="00886C5E" w:rsidRPr="00B66645" w:rsidRDefault="00886C5E" w:rsidP="002D6E55">
      <w:pPr>
        <w:pStyle w:val="NoSpacing"/>
        <w:jc w:val="center"/>
        <w:rPr>
          <w:rFonts w:cstheme="minorHAnsi"/>
          <w:b w:val="0"/>
          <w:color w:val="44546A" w:themeColor="text2"/>
          <w:lang w:val="sr-Cyrl-RS"/>
        </w:rPr>
      </w:pPr>
      <w:r w:rsidRPr="00B66645">
        <w:rPr>
          <w:noProof/>
        </w:rPr>
        <w:drawing>
          <wp:inline distT="0" distB="0" distL="0" distR="0" wp14:anchorId="6279DD00" wp14:editId="78202622">
            <wp:extent cx="2743200" cy="1659255"/>
            <wp:effectExtent l="0" t="0" r="0" b="0"/>
            <wp:docPr id="105" name="Chart 105">
              <a:extLst xmlns:a="http://schemas.openxmlformats.org/drawingml/2006/main">
                <a:ext uri="{FF2B5EF4-FFF2-40B4-BE49-F238E27FC236}">
                  <a16:creationId xmlns:a16="http://schemas.microsoft.com/office/drawing/2014/main" id="{00000000-0008-0000-16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14:paraId="423EBAB9" w14:textId="77777777" w:rsidR="00886C5E" w:rsidRPr="00B66645" w:rsidRDefault="00886C5E" w:rsidP="002D6E55">
      <w:pPr>
        <w:spacing w:before="40"/>
        <w:rPr>
          <w:rFonts w:cstheme="minorHAnsi"/>
          <w:sz w:val="16"/>
          <w:lang w:val="sr-Cyrl-RS"/>
        </w:rPr>
      </w:pPr>
      <w:r w:rsidRPr="00B66645">
        <w:rPr>
          <w:rFonts w:cstheme="minorHAnsi"/>
          <w:sz w:val="16"/>
          <w:lang w:val="sr-Cyrl-RS"/>
        </w:rPr>
        <w:t>Извор: РЗС</w:t>
      </w:r>
    </w:p>
    <w:p w14:paraId="7B8E1C6D" w14:textId="77777777" w:rsidR="00886C5E" w:rsidRPr="00B66645" w:rsidRDefault="00886C5E" w:rsidP="002D6E55">
      <w:pPr>
        <w:rPr>
          <w:rFonts w:eastAsia="Times New Roman" w:cstheme="minorHAnsi"/>
          <w:szCs w:val="24"/>
          <w:lang w:val="sr-Cyrl-RS"/>
        </w:rPr>
      </w:pPr>
      <w:r w:rsidRPr="00B66645">
        <w:rPr>
          <w:rFonts w:eastAsia="Times New Roman" w:cstheme="minorHAnsi"/>
          <w:szCs w:val="24"/>
          <w:lang w:val="sr-Cyrl-RS"/>
        </w:rPr>
        <w:t xml:space="preserve">Најважнији спољнотрговински партнери током првих седам месеци 2023. године су земље ЕУ, на које се односило 63,6% укупног извоза и 57,1% укупног увоза. Највећи део укупног извоза (38,9%) у том периоду био је усмерен на тржиште пет земаља: Немачка, БиХ, Италија, Мађарска и Румунија. Увоз из Немачке, Кине, Италије, Русије и Турске чинио је 42,2% укупног </w:t>
      </w:r>
      <w:r w:rsidRPr="00FD0543">
        <w:rPr>
          <w:rFonts w:eastAsia="Times New Roman" w:cstheme="minorHAnsi"/>
          <w:szCs w:val="24"/>
          <w:lang w:val="sr-Cyrl-RS"/>
        </w:rPr>
        <w:t xml:space="preserve">увоза. </w:t>
      </w:r>
      <w:r w:rsidRPr="00B66645">
        <w:rPr>
          <w:rFonts w:eastAsia="Times New Roman" w:cstheme="minorHAnsi"/>
          <w:szCs w:val="24"/>
          <w:lang w:val="sr-Cyrl-RS"/>
        </w:rPr>
        <w:t>Спољнотрговински суфицит у овом периоду остварен је са Црном Гором, БиХ, Северном Македонијом, Румунијом, Словачком, Хрватском, Шведском, Великом Британијом, Чешком, Бугарском, Мађарском и у нешто мањој мери са Молдавијом. Суфицит са овим земљама у посматраном периоду износио је 2,3 млрд евра. Највећи дефицит јавља се у трговини са Кином, Турском, Ираком, Италијом и Русијом.</w:t>
      </w:r>
    </w:p>
    <w:p w14:paraId="15E57DE8" w14:textId="149F40AC" w:rsidR="00886C5E" w:rsidRPr="00D215BA" w:rsidRDefault="00886C5E" w:rsidP="00886C5E">
      <w:pPr>
        <w:rPr>
          <w:rFonts w:eastAsia="Times New Roman" w:cstheme="minorHAnsi"/>
          <w:szCs w:val="24"/>
          <w:lang w:val="sr-Cyrl-RS"/>
        </w:rPr>
      </w:pPr>
      <w:r w:rsidRPr="00B66645">
        <w:rPr>
          <w:rFonts w:eastAsia="Times New Roman" w:cstheme="minorHAnsi"/>
          <w:szCs w:val="24"/>
          <w:lang w:val="sr-Cyrl-RS"/>
        </w:rPr>
        <w:t>Платнобилансна кретања током 2022. године карактерисао је продубљивање дефицита текућег рачуна платног биланса на 6,9% БДП, услед избијања сукоба у Украјини и енергетска кризе која је уследила, што је за последицу имало погоршање односа размене за земље нето увознице енергената међу којима је и Србија</w:t>
      </w:r>
      <w:r w:rsidRPr="005554B9">
        <w:rPr>
          <w:rFonts w:eastAsia="Times New Roman" w:cstheme="minorHAnsi"/>
          <w:szCs w:val="24"/>
          <w:lang w:val="sr-Cyrl-RS"/>
        </w:rPr>
        <w:t xml:space="preserve">. </w:t>
      </w:r>
      <w:r w:rsidRPr="00085B64">
        <w:rPr>
          <w:rFonts w:eastAsia="Times New Roman" w:cstheme="minorHAnsi"/>
          <w:szCs w:val="24"/>
          <w:lang w:val="sr-Cyrl-RS"/>
        </w:rPr>
        <w:t>На побољшање екстерне позиције Србије у 2023. години указује текући рачун платног биланса, где је дефицит у првих шест м</w:t>
      </w:r>
      <w:r w:rsidR="00935AF1">
        <w:rPr>
          <w:rFonts w:eastAsia="Times New Roman" w:cstheme="minorHAnsi"/>
          <w:szCs w:val="24"/>
          <w:lang w:val="sr-Cyrl-RS"/>
        </w:rPr>
        <w:t>есеци смањен на свега 1,7% БДП са 10,4% БДП</w:t>
      </w:r>
      <w:r w:rsidRPr="00085B64">
        <w:rPr>
          <w:rFonts w:eastAsia="Times New Roman" w:cstheme="minorHAnsi"/>
          <w:szCs w:val="24"/>
          <w:lang w:val="sr-Cyrl-RS"/>
        </w:rPr>
        <w:t xml:space="preserve"> у истом периоду 2022. године. Неколико фактора је допринело оваквом резултату </w:t>
      </w:r>
      <w:r w:rsidRPr="000979D4">
        <w:rPr>
          <w:rFonts w:eastAsia="Times New Roman" w:cstheme="minorHAnsi"/>
          <w:szCs w:val="24"/>
          <w:lang w:val="sr-Cyrl-RS"/>
        </w:rPr>
        <w:t>–</w:t>
      </w:r>
      <w:r w:rsidRPr="00085B64">
        <w:rPr>
          <w:rFonts w:eastAsia="Times New Roman" w:cstheme="minorHAnsi"/>
          <w:szCs w:val="24"/>
          <w:lang w:val="sr-Cyrl-RS"/>
        </w:rPr>
        <w:t xml:space="preserve"> нижи увоз енергената услед мање увезене количине енергената по значајно нижим ценама, затим наставак раста извоза робе, раст </w:t>
      </w:r>
      <w:r w:rsidRPr="00085B64">
        <w:rPr>
          <w:rFonts w:eastAsia="Times New Roman" w:cstheme="minorHAnsi"/>
          <w:szCs w:val="24"/>
          <w:lang w:val="sr-Cyrl-RS"/>
        </w:rPr>
        <w:lastRenderedPageBreak/>
        <w:t>суфицита у размени услуга, као и раст прилива дознака</w:t>
      </w:r>
      <w:r w:rsidRPr="00D215BA">
        <w:rPr>
          <w:rFonts w:eastAsia="Times New Roman" w:cstheme="minorHAnsi"/>
          <w:szCs w:val="24"/>
          <w:lang w:val="sr-Cyrl-RS"/>
        </w:rPr>
        <w:t xml:space="preserve">. У првих </w:t>
      </w:r>
      <w:r w:rsidR="00814A69" w:rsidRPr="00D215BA">
        <w:rPr>
          <w:rFonts w:eastAsia="Times New Roman" w:cstheme="minorHAnsi"/>
          <w:szCs w:val="24"/>
          <w:lang w:val="sr-Cyrl-RS"/>
        </w:rPr>
        <w:t>седам</w:t>
      </w:r>
      <w:r w:rsidRPr="00D215BA">
        <w:rPr>
          <w:rFonts w:eastAsia="Times New Roman" w:cstheme="minorHAnsi"/>
          <w:szCs w:val="24"/>
          <w:lang w:val="sr-Cyrl-RS"/>
        </w:rPr>
        <w:t xml:space="preserve"> месеци 2023. године на текућем рачуну платног биланса забележен ј</w:t>
      </w:r>
      <w:r w:rsidR="00814A69" w:rsidRPr="00D215BA">
        <w:rPr>
          <w:rFonts w:eastAsia="Times New Roman" w:cstheme="minorHAnsi"/>
          <w:szCs w:val="24"/>
          <w:lang w:val="sr-Cyrl-RS"/>
        </w:rPr>
        <w:t>е дефицит у износу од 597,6</w:t>
      </w:r>
      <w:r w:rsidRPr="00D215BA">
        <w:rPr>
          <w:rFonts w:eastAsia="Times New Roman" w:cstheme="minorHAnsi"/>
          <w:szCs w:val="24"/>
          <w:lang w:val="sr-Cyrl-RS"/>
        </w:rPr>
        <w:t xml:space="preserve"> мил.</w:t>
      </w:r>
      <w:r w:rsidR="00814A69" w:rsidRPr="00D215BA">
        <w:rPr>
          <w:rFonts w:eastAsia="Times New Roman" w:cstheme="minorHAnsi"/>
          <w:szCs w:val="24"/>
          <w:lang w:val="sr-Cyrl-RS"/>
        </w:rPr>
        <w:t xml:space="preserve"> евра, што је за 2,3</w:t>
      </w:r>
      <w:r w:rsidRPr="00D215BA">
        <w:rPr>
          <w:rFonts w:eastAsia="Times New Roman" w:cstheme="minorHAnsi"/>
          <w:szCs w:val="24"/>
          <w:lang w:val="sr-Cyrl-RS"/>
        </w:rPr>
        <w:t xml:space="preserve"> млрд евра мањи дефицит него у истом периоду претходне године. На рачуну ро</w:t>
      </w:r>
      <w:r w:rsidR="00E6075C" w:rsidRPr="00D215BA">
        <w:rPr>
          <w:rFonts w:eastAsia="Times New Roman" w:cstheme="minorHAnsi"/>
          <w:szCs w:val="24"/>
          <w:lang w:val="sr-Cyrl-RS"/>
        </w:rPr>
        <w:t>ба и услуга дефицит је износио 2,0</w:t>
      </w:r>
      <w:r w:rsidRPr="00D215BA">
        <w:rPr>
          <w:rFonts w:eastAsia="Times New Roman" w:cstheme="minorHAnsi"/>
          <w:szCs w:val="24"/>
          <w:lang w:val="sr-Cyrl-RS"/>
        </w:rPr>
        <w:t xml:space="preserve"> млрд евра и међугодишње је мањи з</w:t>
      </w:r>
      <w:r w:rsidR="00E6075C" w:rsidRPr="00D215BA">
        <w:rPr>
          <w:rFonts w:eastAsia="Times New Roman" w:cstheme="minorHAnsi"/>
          <w:szCs w:val="24"/>
          <w:lang w:val="sr-Cyrl-RS"/>
        </w:rPr>
        <w:t>а 2,8</w:t>
      </w:r>
      <w:r w:rsidRPr="00D215BA">
        <w:rPr>
          <w:rFonts w:eastAsia="Times New Roman" w:cstheme="minorHAnsi"/>
          <w:szCs w:val="24"/>
          <w:lang w:val="sr-Cyrl-RS"/>
        </w:rPr>
        <w:t xml:space="preserve"> милијарди</w:t>
      </w:r>
      <w:r w:rsidR="00D215BA" w:rsidRPr="00D215BA">
        <w:rPr>
          <w:rFonts w:eastAsia="Times New Roman" w:cstheme="minorHAnsi"/>
          <w:szCs w:val="24"/>
          <w:lang w:val="sr-Cyrl-RS"/>
        </w:rPr>
        <w:t xml:space="preserve"> евра</w:t>
      </w:r>
      <w:r w:rsidRPr="00D215BA">
        <w:rPr>
          <w:rFonts w:eastAsia="Times New Roman" w:cstheme="minorHAnsi"/>
          <w:szCs w:val="24"/>
          <w:lang w:val="sr-Cyrl-RS"/>
        </w:rPr>
        <w:t>, највећим делом услед смање</w:t>
      </w:r>
      <w:r w:rsidR="00E6075C" w:rsidRPr="00D215BA">
        <w:rPr>
          <w:rFonts w:eastAsia="Times New Roman" w:cstheme="minorHAnsi"/>
          <w:szCs w:val="24"/>
          <w:lang w:val="sr-Cyrl-RS"/>
        </w:rPr>
        <w:t>ња дефицита робне размене за 2,3</w:t>
      </w:r>
      <w:r w:rsidRPr="00D215BA">
        <w:rPr>
          <w:rFonts w:eastAsia="Times New Roman" w:cstheme="minorHAnsi"/>
          <w:szCs w:val="24"/>
          <w:lang w:val="sr-Cyrl-RS"/>
        </w:rPr>
        <w:t xml:space="preserve"> милијард</w:t>
      </w:r>
      <w:r w:rsidR="00D215BA" w:rsidRPr="00D215BA">
        <w:rPr>
          <w:rFonts w:eastAsia="Times New Roman" w:cstheme="minorHAnsi"/>
          <w:szCs w:val="24"/>
          <w:lang w:val="sr-Cyrl-RS"/>
        </w:rPr>
        <w:t>е</w:t>
      </w:r>
      <w:r w:rsidRPr="00D215BA">
        <w:rPr>
          <w:rFonts w:eastAsia="Times New Roman" w:cstheme="minorHAnsi"/>
          <w:szCs w:val="24"/>
          <w:lang w:val="sr-Cyrl-RS"/>
        </w:rPr>
        <w:t xml:space="preserve"> евра, док је суфицит на рачуну услуга већи за око </w:t>
      </w:r>
      <w:r w:rsidR="00E6075C" w:rsidRPr="00D215BA">
        <w:rPr>
          <w:rFonts w:eastAsia="Times New Roman" w:cstheme="minorHAnsi"/>
          <w:szCs w:val="24"/>
          <w:lang w:val="sr-Cyrl-RS"/>
        </w:rPr>
        <w:t>500</w:t>
      </w:r>
      <w:r w:rsidRPr="00D215BA">
        <w:rPr>
          <w:rFonts w:eastAsia="Times New Roman" w:cstheme="minorHAnsi"/>
          <w:szCs w:val="24"/>
          <w:lang w:val="sr-Cyrl-RS"/>
        </w:rPr>
        <w:t xml:space="preserve"> милиона евра. Након стабилизације светског тржишта после иницијалног високог раста цена енергената услед избијања сукоба у Украјини, значајно је смањен увоз енергената изражен у еврима. Такође, превазилажењем проблема у домаћој електро индустрији, у Србији је производња електричне енергије у првих седам месеци 2023. године на нивоу која превазилази сопствене потребе, што омогућава пласирање вишка на инострана тржишта. Позитиван нето извоз услуга у највећој мери резултат је већег извоза ИКТ у посматраном периоду. Нето прилив по ос</w:t>
      </w:r>
      <w:r w:rsidR="00E6075C" w:rsidRPr="00D215BA">
        <w:rPr>
          <w:rFonts w:eastAsia="Times New Roman" w:cstheme="minorHAnsi"/>
          <w:szCs w:val="24"/>
          <w:lang w:val="sr-Cyrl-RS"/>
        </w:rPr>
        <w:t>нову ИКТ услуга повећан је за 40,7% међугодишње и износио је 1,5</w:t>
      </w:r>
      <w:r w:rsidRPr="00D215BA">
        <w:rPr>
          <w:rFonts w:eastAsia="Times New Roman" w:cstheme="minorHAnsi"/>
          <w:szCs w:val="24"/>
          <w:lang w:val="sr-Cyrl-RS"/>
        </w:rPr>
        <w:t xml:space="preserve"> милијард</w:t>
      </w:r>
      <w:r w:rsidR="00D215BA" w:rsidRPr="00D215BA">
        <w:rPr>
          <w:rFonts w:eastAsia="Times New Roman" w:cstheme="minorHAnsi"/>
          <w:szCs w:val="24"/>
          <w:lang w:val="sr-Cyrl-RS"/>
        </w:rPr>
        <w:t>и</w:t>
      </w:r>
      <w:r w:rsidRPr="00D215BA">
        <w:rPr>
          <w:rFonts w:eastAsia="Times New Roman" w:cstheme="minorHAnsi"/>
          <w:szCs w:val="24"/>
          <w:lang w:val="sr-Cyrl-RS"/>
        </w:rPr>
        <w:t xml:space="preserve"> евра. Дефицит примарног дохотка повећан је за </w:t>
      </w:r>
      <w:r w:rsidR="00E6075C" w:rsidRPr="00D215BA">
        <w:rPr>
          <w:rFonts w:eastAsia="Times New Roman" w:cstheme="minorHAnsi"/>
          <w:szCs w:val="24"/>
          <w:lang w:val="sr-Cyrl-RS"/>
        </w:rPr>
        <w:t>606,9 мил. евра, односно за 44,2</w:t>
      </w:r>
      <w:r w:rsidRPr="00D215BA">
        <w:rPr>
          <w:rFonts w:eastAsia="Times New Roman" w:cstheme="minorHAnsi"/>
          <w:szCs w:val="24"/>
          <w:lang w:val="sr-Cyrl-RS"/>
        </w:rPr>
        <w:t>%, док је суфицит секундарног д</w:t>
      </w:r>
      <w:r w:rsidR="00E6075C" w:rsidRPr="00D215BA">
        <w:rPr>
          <w:rFonts w:eastAsia="Times New Roman" w:cstheme="minorHAnsi"/>
          <w:szCs w:val="24"/>
          <w:lang w:val="sr-Cyrl-RS"/>
        </w:rPr>
        <w:t>охотка био међугодишње виши за 3,5% и износио је 3,4</w:t>
      </w:r>
      <w:r w:rsidRPr="00D215BA">
        <w:rPr>
          <w:rFonts w:eastAsia="Times New Roman" w:cstheme="minorHAnsi"/>
          <w:szCs w:val="24"/>
          <w:lang w:val="sr-Cyrl-RS"/>
        </w:rPr>
        <w:t xml:space="preserve"> млрд евра, првенствено услед повећаног нето прилива доз</w:t>
      </w:r>
      <w:r w:rsidR="00E6075C" w:rsidRPr="00D215BA">
        <w:rPr>
          <w:rFonts w:eastAsia="Times New Roman" w:cstheme="minorHAnsi"/>
          <w:szCs w:val="24"/>
          <w:lang w:val="sr-Cyrl-RS"/>
        </w:rPr>
        <w:t>нака из иностранства (раст од 11</w:t>
      </w:r>
      <w:r w:rsidRPr="00D215BA">
        <w:rPr>
          <w:rFonts w:eastAsia="Times New Roman" w:cstheme="minorHAnsi"/>
          <w:szCs w:val="24"/>
          <w:lang w:val="sr-Cyrl-RS"/>
        </w:rPr>
        <w:t>,7%).</w:t>
      </w:r>
    </w:p>
    <w:p w14:paraId="201BEDF2" w14:textId="60E575F5" w:rsidR="00886C5E" w:rsidRPr="00B66645" w:rsidRDefault="00886C5E" w:rsidP="002D6E55">
      <w:pPr>
        <w:rPr>
          <w:rFonts w:eastAsia="Times New Roman" w:cstheme="minorHAnsi"/>
          <w:szCs w:val="24"/>
          <w:lang w:val="sr-Cyrl-RS"/>
        </w:rPr>
      </w:pPr>
      <w:r w:rsidRPr="00D215BA">
        <w:rPr>
          <w:rFonts w:eastAsia="Times New Roman" w:cstheme="minorHAnsi"/>
          <w:szCs w:val="24"/>
          <w:lang w:val="sr-Cyrl-RS"/>
        </w:rPr>
        <w:t>Нето прилив СДИ у прв</w:t>
      </w:r>
      <w:r w:rsidR="00E6075C" w:rsidRPr="00D215BA">
        <w:rPr>
          <w:rFonts w:eastAsia="Times New Roman" w:cstheme="minorHAnsi"/>
          <w:szCs w:val="24"/>
          <w:lang w:val="sr-Cyrl-RS"/>
        </w:rPr>
        <w:t>их седам месеци 2023. године износио је 2,3</w:t>
      </w:r>
      <w:r w:rsidRPr="00D215BA">
        <w:rPr>
          <w:rFonts w:eastAsia="Times New Roman" w:cstheme="minorHAnsi"/>
          <w:szCs w:val="24"/>
          <w:lang w:val="sr-Cyrl-RS"/>
        </w:rPr>
        <w:t xml:space="preserve"> млрд евра, док је укупан </w:t>
      </w:r>
      <w:r w:rsidR="00E6075C" w:rsidRPr="00D215BA">
        <w:rPr>
          <w:rFonts w:eastAsia="Times New Roman" w:cstheme="minorHAnsi"/>
          <w:szCs w:val="24"/>
          <w:lang w:val="sr-Cyrl-RS"/>
        </w:rPr>
        <w:t>прилив по основу СДИ износио 2,5</w:t>
      </w:r>
      <w:r w:rsidRPr="00D215BA">
        <w:rPr>
          <w:rFonts w:eastAsia="Times New Roman" w:cstheme="minorHAnsi"/>
          <w:szCs w:val="24"/>
          <w:lang w:val="sr-Cyrl-RS"/>
        </w:rPr>
        <w:t xml:space="preserve"> млрд евра. </w:t>
      </w:r>
      <w:r w:rsidRPr="00085B64">
        <w:rPr>
          <w:rFonts w:eastAsia="Times New Roman" w:cstheme="minorHAnsi"/>
          <w:szCs w:val="24"/>
          <w:lang w:val="sr-Cyrl-RS"/>
        </w:rPr>
        <w:t xml:space="preserve">Посматрано према делатностима, највећи нето прилив СДИ у првом кварталу 2023. године остварен је у прерађивачкој индустрији, сектору који традиционално привлачи највише СДИ, са остварених 307,5 мил. евра. Висок прилив СДИ у овом периоду остварен је и у стручним, научним, иновационим и техничким делатностима у износу од 100,4 мил. евра, као и у грађевинарству (92,1 мил. евра), некретнинама (88,3 мил. евра), као и у трговини на велико и мало (73,4 мил. евра). Осим производне разноврсности, СДИ су и географски диверсификоване. Посматрано према географском пореклу највећи део СДИ долази са </w:t>
      </w:r>
      <w:r w:rsidRPr="00085B64">
        <w:rPr>
          <w:rFonts w:eastAsia="Times New Roman" w:cstheme="minorHAnsi"/>
          <w:szCs w:val="24"/>
          <w:lang w:val="sr-Cyrl-RS"/>
        </w:rPr>
        <w:t xml:space="preserve">европског континента. Укупан прилив инвестиција из Европске уније у првом кварталу 2023. године износио је </w:t>
      </w:r>
      <w:r>
        <w:rPr>
          <w:rFonts w:eastAsia="Times New Roman" w:cstheme="minorHAnsi"/>
          <w:szCs w:val="24"/>
          <w:lang w:val="sr-Cyrl-RS"/>
        </w:rPr>
        <w:t>53</w:t>
      </w:r>
      <w:r>
        <w:rPr>
          <w:rFonts w:eastAsia="Times New Roman" w:cstheme="minorHAnsi"/>
          <w:szCs w:val="24"/>
          <w:lang w:val="sr-Latn-RS"/>
        </w:rPr>
        <w:t>0</w:t>
      </w:r>
      <w:r w:rsidRPr="00085B64">
        <w:rPr>
          <w:rFonts w:eastAsia="Times New Roman" w:cstheme="minorHAnsi"/>
          <w:szCs w:val="24"/>
          <w:lang w:val="sr-Cyrl-RS"/>
        </w:rPr>
        <w:t>,</w:t>
      </w:r>
      <w:r>
        <w:rPr>
          <w:rFonts w:eastAsia="Times New Roman" w:cstheme="minorHAnsi"/>
          <w:szCs w:val="24"/>
          <w:lang w:val="sr-Cyrl-RS"/>
        </w:rPr>
        <w:t>0</w:t>
      </w:r>
      <w:r w:rsidRPr="00085B64">
        <w:rPr>
          <w:rFonts w:eastAsia="Times New Roman" w:cstheme="minorHAnsi"/>
          <w:szCs w:val="24"/>
          <w:lang w:val="sr-Cyrl-RS"/>
        </w:rPr>
        <w:t xml:space="preserve"> мил. евра, односно </w:t>
      </w:r>
      <w:r>
        <w:rPr>
          <w:rFonts w:eastAsia="Times New Roman" w:cstheme="minorHAnsi"/>
          <w:szCs w:val="24"/>
          <w:lang w:val="sr-Cyrl-RS"/>
        </w:rPr>
        <w:t>63,0</w:t>
      </w:r>
      <w:r w:rsidRPr="00085B64">
        <w:rPr>
          <w:rFonts w:eastAsia="Times New Roman" w:cstheme="minorHAnsi"/>
          <w:szCs w:val="24"/>
          <w:lang w:val="sr-Cyrl-RS"/>
        </w:rPr>
        <w:t>% од укупног прилива СДИ. Посматрано по земљама, највећи нето прилив страних директних улагања долази из Холандије, Кине</w:t>
      </w:r>
      <w:r w:rsidRPr="00085B64">
        <w:rPr>
          <w:rStyle w:val="FootnoteReference"/>
          <w:rFonts w:eastAsia="Times New Roman" w:cstheme="minorHAnsi"/>
          <w:szCs w:val="24"/>
          <w:lang w:val="sr-Cyrl-RS"/>
        </w:rPr>
        <w:footnoteReference w:id="2"/>
      </w:r>
      <w:r w:rsidRPr="00085B64">
        <w:rPr>
          <w:rFonts w:eastAsia="Times New Roman" w:cstheme="minorHAnsi"/>
          <w:szCs w:val="24"/>
          <w:lang w:val="sr-Cyrl-RS"/>
        </w:rPr>
        <w:t>, Велике Британије, Аустрије и Кипра, које збирно чине 85% укупних нето СДИ</w:t>
      </w:r>
      <w:r w:rsidRPr="00D215BA">
        <w:rPr>
          <w:rFonts w:eastAsia="Times New Roman" w:cstheme="minorHAnsi"/>
          <w:szCs w:val="24"/>
          <w:lang w:val="sr-Cyrl-RS"/>
        </w:rPr>
        <w:t xml:space="preserve">. У првих </w:t>
      </w:r>
      <w:r w:rsidR="00E6075C" w:rsidRPr="00D215BA">
        <w:rPr>
          <w:rFonts w:eastAsia="Times New Roman" w:cstheme="minorHAnsi"/>
          <w:szCs w:val="24"/>
          <w:lang w:val="sr-Cyrl-RS"/>
        </w:rPr>
        <w:t>седам</w:t>
      </w:r>
      <w:r w:rsidRPr="00D215BA">
        <w:rPr>
          <w:rFonts w:eastAsia="Times New Roman" w:cstheme="minorHAnsi"/>
          <w:szCs w:val="24"/>
          <w:lang w:val="sr-Cyrl-RS"/>
        </w:rPr>
        <w:t xml:space="preserve"> месеци забележен је нето прилив портфолио инвестиција у износу од 1,2 млрд евра.</w:t>
      </w:r>
      <w:r w:rsidRPr="00B66645">
        <w:rPr>
          <w:rFonts w:eastAsia="Times New Roman" w:cstheme="minorHAnsi"/>
          <w:szCs w:val="24"/>
          <w:lang w:val="sr-Cyrl-RS"/>
        </w:rPr>
        <w:t xml:space="preserve"> </w:t>
      </w:r>
      <w:r w:rsidRPr="00FD0543">
        <w:rPr>
          <w:rFonts w:eastAsia="Times New Roman" w:cstheme="minorHAnsi"/>
          <w:szCs w:val="24"/>
          <w:lang w:val="sr-Cyrl-RS"/>
        </w:rPr>
        <w:t>У јануару 2023. године издате су еврообвезнице рочности пет и десет година у укупном износу од 1,75 милијарди долара (750 милиона долара на пет година и 1 милијарда долара на десет година). Еврообвезница рочности пет година емитована је уз купонску стопу од 6,25%, док је еврообвезница рочности десет година емитована уз купонску стопу од 6,50%. У циљу ефикасног управљања јавним дугом истовремено су закључене и хеџинг трансакције, тј. обавезе по основу емисије доларских еврообвезница одмах су конвертоване у обавезе у еврима. Тиме је, поред смањења изложености девизном ризику кретања долара према евру, смањен и трошак задуживања Републике Србије.</w:t>
      </w:r>
    </w:p>
    <w:p w14:paraId="6A842D63" w14:textId="77777777" w:rsidR="00886C5E" w:rsidRPr="00FD0543" w:rsidRDefault="00886C5E" w:rsidP="00886C5E">
      <w:pPr>
        <w:rPr>
          <w:rFonts w:eastAsia="Times New Roman" w:cstheme="minorHAnsi"/>
          <w:szCs w:val="24"/>
          <w:lang w:val="sr-Cyrl-RS"/>
        </w:rPr>
      </w:pPr>
      <w:r w:rsidRPr="00FD0543">
        <w:rPr>
          <w:rFonts w:eastAsia="Times New Roman" w:cstheme="minorHAnsi"/>
          <w:szCs w:val="24"/>
          <w:lang w:val="sr-Cyrl-RS"/>
        </w:rPr>
        <w:t>Екстерну позицију Србије током 2023. године карактерисала је отпорност на финансијске шокове из међународног окружења. На крају првог квартала 2023. године, повећан је рацио девизних резерви и краткорочног дуга у односу на крај 2022. године, услед истовременог раста девизних резерви и смањења краткорочног дуга. Учешће спољног дуга у БДП у истом периоду благо је повећано са 69,4% на 69,9%, док су удео краткорочног дуга у БДП и рацио спољног дуга и извоза робе и услуга смањени. Учешће спољног дуга у извозу роба и услуга на крају првог квартала 2023. године износило је 109,7%, што је значајно испод критеријума Светске банке од 220% и гарант је одрживости његовог сервисирања. Девизне резерве на крају августа текуће године повећане су за 4,2 млрд евра од почетка године и износиле су 23,6 млрд евра што је нови рекордни ниво, који је виши од референтних вредности свих мера које се користе за оцену њихове адекватности, чиме је додатно ојачана отпорност Србије на евентуалне потресе из окружења.</w:t>
      </w:r>
    </w:p>
    <w:p w14:paraId="6BCE0BF3" w14:textId="0DFF6D93" w:rsidR="00886C5E" w:rsidRPr="00FD0543" w:rsidRDefault="00886C5E" w:rsidP="002D6E55">
      <w:pPr>
        <w:rPr>
          <w:szCs w:val="20"/>
          <w:lang w:val="sr-Cyrl-RS"/>
        </w:rPr>
      </w:pPr>
      <w:r w:rsidRPr="00FD0543">
        <w:rPr>
          <w:rFonts w:eastAsia="Times New Roman" w:cstheme="minorHAnsi"/>
          <w:szCs w:val="24"/>
          <w:lang w:val="sr-Cyrl-RS"/>
        </w:rPr>
        <w:lastRenderedPageBreak/>
        <w:t xml:space="preserve">Очекује се да ће укупан дефицит текућег рачуна у 2023. години износити 2,9% БДП, док се за 2024. годину очекује повећање на 4% БДП а потом и његова стабилизација у средњем року. Раст дефицита текућег рачуна у 2024 години очекује се као резултат повећаног увоза услед интензивирање инвестиционе активности, али и као последица раста </w:t>
      </w:r>
      <w:r w:rsidR="007C518C">
        <w:rPr>
          <w:rFonts w:eastAsia="Times New Roman" w:cstheme="minorHAnsi"/>
          <w:szCs w:val="24"/>
          <w:lang w:val="sr-Cyrl-RS"/>
        </w:rPr>
        <w:t>приватне потрошње</w:t>
      </w:r>
      <w:r w:rsidRPr="00FD0543">
        <w:rPr>
          <w:rFonts w:eastAsia="Times New Roman" w:cstheme="minorHAnsi"/>
          <w:szCs w:val="24"/>
          <w:lang w:val="sr-Cyrl-RS"/>
        </w:rPr>
        <w:t xml:space="preserve"> и повећаног увоза по том основу. И поред очекиваних високих стопа раста извоза у средњорочном периоду, могућност поновног раста цена енергената на светском тржишту изазваног растућим геополитичким тензијама, може довести до раста дефицита у спољнотрговинској робној размени, и последично, већег дефицита текућег рачуна.</w:t>
      </w:r>
    </w:p>
    <w:p w14:paraId="5AAD5313" w14:textId="77777777" w:rsidR="00886C5E" w:rsidRPr="00B66645" w:rsidRDefault="00886C5E" w:rsidP="002D6E55">
      <w:pPr>
        <w:spacing w:after="120"/>
        <w:jc w:val="center"/>
        <w:rPr>
          <w:rFonts w:cstheme="minorHAnsi"/>
          <w:b/>
          <w:color w:val="002060"/>
          <w:lang w:val="sr-Cyrl-RS"/>
        </w:rPr>
      </w:pPr>
      <w:r w:rsidRPr="00B66645">
        <w:rPr>
          <w:rFonts w:cstheme="minorHAnsi"/>
          <w:b/>
          <w:color w:val="002060"/>
          <w:lang w:val="sr-Cyrl-RS"/>
        </w:rPr>
        <w:t>Структура текућег рачуна, % БДП</w:t>
      </w:r>
    </w:p>
    <w:p w14:paraId="4658EC06" w14:textId="77777777" w:rsidR="00886C5E" w:rsidRPr="00B66645" w:rsidRDefault="00886C5E" w:rsidP="002D6E55">
      <w:pPr>
        <w:spacing w:after="80"/>
        <w:rPr>
          <w:rFonts w:cstheme="minorHAnsi"/>
          <w:sz w:val="16"/>
          <w:lang w:val="sr-Cyrl-RS"/>
        </w:rPr>
      </w:pPr>
      <w:r w:rsidRPr="00B66645">
        <w:rPr>
          <w:noProof/>
        </w:rPr>
        <w:drawing>
          <wp:inline distT="0" distB="0" distL="0" distR="0" wp14:anchorId="0463DE17" wp14:editId="064BD606">
            <wp:extent cx="2743200" cy="2159635"/>
            <wp:effectExtent l="0" t="0" r="0" b="0"/>
            <wp:docPr id="106" name="Chart 106">
              <a:extLst xmlns:a="http://schemas.openxmlformats.org/drawingml/2006/main">
                <a:ext uri="{FF2B5EF4-FFF2-40B4-BE49-F238E27FC236}">
                  <a16:creationId xmlns:a16="http://schemas.microsoft.com/office/drawing/2014/main" id="{00000000-0008-0000-1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5C638023" w14:textId="77777777" w:rsidR="00886C5E" w:rsidRPr="00B66645" w:rsidRDefault="00886C5E" w:rsidP="002D6E55">
      <w:pPr>
        <w:spacing w:after="0"/>
        <w:rPr>
          <w:rFonts w:cstheme="minorHAnsi"/>
          <w:sz w:val="16"/>
          <w:lang w:val="sr-Cyrl-RS"/>
        </w:rPr>
      </w:pPr>
      <w:r w:rsidRPr="00B66645">
        <w:rPr>
          <w:rFonts w:cstheme="minorHAnsi"/>
          <w:sz w:val="16"/>
          <w:lang w:val="sr-Cyrl-RS"/>
        </w:rPr>
        <w:t>Извор: Министарство финансија, НБС, РЗС</w:t>
      </w:r>
    </w:p>
    <w:p w14:paraId="7037B65F" w14:textId="77777777" w:rsidR="00886C5E" w:rsidRPr="00B66645" w:rsidRDefault="00886C5E" w:rsidP="002D6E55">
      <w:pPr>
        <w:rPr>
          <w:rFonts w:cstheme="minorHAnsi"/>
          <w:sz w:val="16"/>
          <w:lang w:val="sr-Cyrl-RS"/>
        </w:rPr>
      </w:pPr>
      <w:r w:rsidRPr="00B66645">
        <w:rPr>
          <w:rFonts w:cstheme="minorHAnsi"/>
          <w:sz w:val="16"/>
          <w:lang w:val="sr-Cyrl-RS"/>
        </w:rPr>
        <w:t>* Процена МФИН.</w:t>
      </w:r>
    </w:p>
    <w:p w14:paraId="245C5DCA" w14:textId="77777777" w:rsidR="00886C5E" w:rsidRPr="00FD0543" w:rsidRDefault="00886C5E" w:rsidP="002D6E55">
      <w:pPr>
        <w:rPr>
          <w:rFonts w:eastAsia="Times New Roman" w:cstheme="minorHAnsi"/>
          <w:szCs w:val="24"/>
          <w:lang w:val="sr-Cyrl-RS"/>
        </w:rPr>
      </w:pPr>
      <w:r w:rsidRPr="00FD0543">
        <w:rPr>
          <w:rFonts w:eastAsia="Times New Roman" w:cstheme="minorHAnsi"/>
          <w:szCs w:val="24"/>
          <w:lang w:val="sr-Cyrl-RS"/>
        </w:rPr>
        <w:t xml:space="preserve">Раст робног извоза у еврима по просечној стопи од 11,6% и увоза од 10,5% у пројектованом трогодишњем периоду смањиће спољнотрговински дефицит роба на 10,2% БДП у 2026. години, са овогодишњих 10,7%. Предвиђа се наставак повољних кретања на рачуну услуга, где ће суфицит у пројектованом трогодишњем </w:t>
      </w:r>
      <w:r w:rsidRPr="00FD0543">
        <w:rPr>
          <w:rFonts w:eastAsia="Times New Roman" w:cstheme="minorHAnsi"/>
          <w:szCs w:val="24"/>
          <w:lang w:val="sr-Cyrl-RS"/>
        </w:rPr>
        <w:t>периоду износити у просеку 3,6 млрд евра. Прилив по основу текућих трансфера износиће у просеку 7,8% БДП годишње, при чему ће приходи од дознака задржати улогу доминантне компоненте. Нето ефекат текућих трансфера и нето факторских плаћања у наредном трогодишњем периоду биће позитиван и износиће око 1,6 млрд евра просечно годишње, што ће значајно ублажити дефицит спољнотрговинског биланса роба и услуга. Оваква кретања уз пројектовану динамику економске активности имаће за резултат смањење учешћа дефицита текућег рачуна платног биланса на 4,1% БДП на крају пројектованог периода.</w:t>
      </w:r>
    </w:p>
    <w:p w14:paraId="0686CADB" w14:textId="77777777" w:rsidR="00886C5E" w:rsidRPr="00B66645" w:rsidRDefault="00886C5E" w:rsidP="002D6E55">
      <w:pPr>
        <w:spacing w:after="40"/>
        <w:jc w:val="center"/>
        <w:rPr>
          <w:rFonts w:cstheme="minorHAnsi"/>
          <w:b/>
          <w:color w:val="002060"/>
          <w:lang w:val="sr-Cyrl-RS"/>
        </w:rPr>
      </w:pPr>
      <w:r w:rsidRPr="00B66645">
        <w:rPr>
          <w:rFonts w:cstheme="minorHAnsi"/>
          <w:b/>
          <w:color w:val="002060"/>
          <w:lang w:val="sr-Cyrl-RS"/>
        </w:rPr>
        <w:t>Дефицит текућег рачуна и СДИ, % БДП</w:t>
      </w:r>
    </w:p>
    <w:p w14:paraId="7C20D712" w14:textId="77777777" w:rsidR="00886C5E" w:rsidRPr="00B66645" w:rsidRDefault="00886C5E" w:rsidP="002D6E55">
      <w:pPr>
        <w:spacing w:after="40"/>
        <w:jc w:val="center"/>
        <w:rPr>
          <w:lang w:val="sr-Cyrl-RS"/>
        </w:rPr>
      </w:pPr>
      <w:r w:rsidRPr="00B66645">
        <w:rPr>
          <w:noProof/>
        </w:rPr>
        <w:drawing>
          <wp:inline distT="0" distB="0" distL="0" distR="0" wp14:anchorId="265E6A77" wp14:editId="0F27193F">
            <wp:extent cx="2743200" cy="2015490"/>
            <wp:effectExtent l="0" t="0" r="0" b="3810"/>
            <wp:docPr id="107" name="Chart 107">
              <a:extLst xmlns:a="http://schemas.openxmlformats.org/drawingml/2006/main">
                <a:ext uri="{FF2B5EF4-FFF2-40B4-BE49-F238E27FC236}">
                  <a16:creationId xmlns:a16="http://schemas.microsoft.com/office/drawing/2014/main" id="{00000000-0008-0000-18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12E7D17E" w14:textId="77777777" w:rsidR="00886C5E" w:rsidRPr="00B66645" w:rsidRDefault="00886C5E" w:rsidP="002D6E55">
      <w:pPr>
        <w:spacing w:after="0"/>
        <w:rPr>
          <w:rFonts w:cstheme="minorHAnsi"/>
          <w:sz w:val="16"/>
          <w:lang w:val="sr-Cyrl-RS"/>
        </w:rPr>
      </w:pPr>
      <w:r w:rsidRPr="00B66645">
        <w:rPr>
          <w:rFonts w:cstheme="minorHAnsi"/>
          <w:sz w:val="16"/>
          <w:lang w:val="sr-Cyrl-RS"/>
        </w:rPr>
        <w:t>Извор: НБС и Министарство финансија</w:t>
      </w:r>
    </w:p>
    <w:p w14:paraId="625C7D4D" w14:textId="77777777" w:rsidR="00886C5E" w:rsidRPr="00B66645" w:rsidRDefault="00886C5E" w:rsidP="002D6E55">
      <w:pPr>
        <w:rPr>
          <w:rFonts w:cstheme="minorHAnsi"/>
          <w:sz w:val="16"/>
          <w:lang w:val="sr-Cyrl-RS"/>
        </w:rPr>
      </w:pPr>
      <w:r w:rsidRPr="00B66645">
        <w:rPr>
          <w:rFonts w:cstheme="minorHAnsi"/>
          <w:sz w:val="16"/>
          <w:lang w:val="sr-Cyrl-RS"/>
        </w:rPr>
        <w:t>* Процена МФИН.</w:t>
      </w:r>
    </w:p>
    <w:bookmarkEnd w:id="12"/>
    <w:p w14:paraId="6EBFBD99" w14:textId="77777777" w:rsidR="00A4318F" w:rsidRDefault="00886C5E" w:rsidP="002D6E55">
      <w:pPr>
        <w:rPr>
          <w:rFonts w:eastAsia="Times New Roman" w:cstheme="minorHAnsi"/>
          <w:szCs w:val="24"/>
          <w:lang w:val="sr-Cyrl-RS"/>
        </w:rPr>
        <w:sectPr w:rsidR="00A4318F" w:rsidSect="00886C5E">
          <w:type w:val="continuous"/>
          <w:pgSz w:w="12240" w:h="15840" w:code="1"/>
          <w:pgMar w:top="1440" w:right="1440" w:bottom="1440" w:left="1440" w:header="720" w:footer="720" w:gutter="0"/>
          <w:cols w:num="2" w:space="720"/>
          <w:titlePg/>
          <w:docGrid w:linePitch="360"/>
          <w15:footnoteColumns w:val="1"/>
        </w:sectPr>
      </w:pPr>
      <w:r w:rsidRPr="00FD0543">
        <w:rPr>
          <w:rFonts w:eastAsia="Times New Roman" w:cstheme="minorHAnsi"/>
          <w:szCs w:val="24"/>
          <w:lang w:val="sr-Cyrl-RS"/>
        </w:rPr>
        <w:t>У структури финансијског рачуна доминираће удео СДИ са учешћем у БДП од 5,5% просечно годишње. Овај прилив ће уједно бити главни извор финансирања дефицита текућег рачуна. Задржана повољна инвестициона перспектива наше земље и очекиван наставак високог прилива СДИ, као и њихова даља диверсификација ка сектору разменљивих добара, допринеће наставку раста извоза и јачању спољне и унутрашње макроекономске равнотеже.</w:t>
      </w:r>
    </w:p>
    <w:p w14:paraId="113FEB76" w14:textId="4205ACB7" w:rsidR="00886C5E" w:rsidRPr="00FD0543" w:rsidRDefault="00886C5E" w:rsidP="002D6E55">
      <w:pPr>
        <w:rPr>
          <w:lang w:val="sr-Cyrl-RS"/>
        </w:rPr>
      </w:pPr>
    </w:p>
    <w:p w14:paraId="62428700" w14:textId="77777777" w:rsidR="00D17D25" w:rsidRDefault="00D17D25">
      <w:pPr>
        <w:jc w:val="left"/>
        <w:rPr>
          <w:lang w:val="sr-Cyrl-RS"/>
        </w:rPr>
      </w:pPr>
    </w:p>
    <w:p w14:paraId="09C79D20" w14:textId="28DD7996" w:rsidR="00D17D25" w:rsidRDefault="00D17D25">
      <w:pPr>
        <w:jc w:val="left"/>
        <w:rPr>
          <w:lang w:val="sr-Cyrl-RS"/>
        </w:rPr>
      </w:pPr>
      <w:r>
        <w:rPr>
          <w:lang w:val="sr-Cyrl-RS"/>
        </w:rPr>
        <w:br w:type="page"/>
      </w:r>
    </w:p>
    <w:p w14:paraId="7F5E4D55" w14:textId="77777777" w:rsidR="001F03F4" w:rsidRPr="00590BAD" w:rsidRDefault="001F03F4" w:rsidP="000D3688">
      <w:pPr>
        <w:keepNext/>
        <w:keepLines/>
        <w:spacing w:before="240" w:after="0"/>
        <w:jc w:val="center"/>
        <w:outlineLvl w:val="0"/>
        <w:rPr>
          <w:rFonts w:eastAsiaTheme="majorEastAsia" w:cstheme="minorHAnsi"/>
          <w:b/>
          <w:color w:val="2F5496" w:themeColor="accent1" w:themeShade="BF"/>
          <w:sz w:val="24"/>
          <w:szCs w:val="24"/>
          <w:lang w:val="sr-Cyrl-RS"/>
        </w:rPr>
      </w:pPr>
      <w:bookmarkStart w:id="13" w:name="_Toc11155989"/>
      <w:bookmarkStart w:id="14" w:name="_Toc56667074"/>
      <w:bookmarkStart w:id="15" w:name="_Toc86923720"/>
      <w:bookmarkStart w:id="16" w:name="_Toc119654143"/>
      <w:bookmarkStart w:id="17" w:name="_Toc135994499"/>
      <w:bookmarkStart w:id="18" w:name="_Toc146277914"/>
      <w:bookmarkStart w:id="19" w:name="_Toc57013542"/>
      <w:bookmarkStart w:id="20" w:name="_Toc23342461"/>
      <w:bookmarkStart w:id="21" w:name="_Toc86923722"/>
      <w:bookmarkStart w:id="22" w:name="_Toc11155992"/>
      <w:bookmarkStart w:id="23" w:name="_Toc56667077"/>
      <w:bookmarkStart w:id="24" w:name="_Toc24119837"/>
      <w:bookmarkStart w:id="25" w:name="_Toc530635105"/>
      <w:bookmarkStart w:id="26" w:name="_Toc24119831"/>
      <w:bookmarkStart w:id="27" w:name="_Toc56667076"/>
      <w:bookmarkStart w:id="28" w:name="_Toc530635106"/>
      <w:r w:rsidRPr="00590BAD">
        <w:rPr>
          <w:rFonts w:eastAsiaTheme="majorEastAsia" w:cstheme="minorHAnsi"/>
          <w:b/>
          <w:color w:val="2F5496" w:themeColor="accent1" w:themeShade="BF"/>
          <w:sz w:val="24"/>
          <w:szCs w:val="24"/>
          <w:lang w:val="sr-Cyrl-RS"/>
        </w:rPr>
        <w:lastRenderedPageBreak/>
        <w:t>II. ФИСКАЛНИ ОКВИР ЗА ПЕРИОД ОД 2024. ДО 2026. ГОДИНЕ</w:t>
      </w:r>
      <w:bookmarkStart w:id="29" w:name="_Toc528909823"/>
      <w:bookmarkStart w:id="30" w:name="_Toc530635104"/>
      <w:bookmarkEnd w:id="13"/>
      <w:bookmarkEnd w:id="14"/>
      <w:bookmarkEnd w:id="15"/>
      <w:bookmarkEnd w:id="16"/>
      <w:bookmarkEnd w:id="17"/>
      <w:bookmarkEnd w:id="18"/>
    </w:p>
    <w:p w14:paraId="5FC9BB8D" w14:textId="77777777" w:rsidR="001F03F4" w:rsidRPr="00590BAD" w:rsidRDefault="001F03F4" w:rsidP="00D35692">
      <w:pPr>
        <w:keepNext/>
        <w:keepLines/>
        <w:spacing w:before="40" w:after="360"/>
        <w:jc w:val="center"/>
        <w:outlineLvl w:val="1"/>
        <w:rPr>
          <w:rFonts w:eastAsiaTheme="majorEastAsia" w:cstheme="minorHAnsi"/>
          <w:b/>
          <w:color w:val="2F5496" w:themeColor="accent1" w:themeShade="BF"/>
          <w:sz w:val="24"/>
          <w:szCs w:val="26"/>
          <w:lang w:val="sr-Cyrl-RS"/>
        </w:rPr>
      </w:pPr>
      <w:bookmarkStart w:id="31" w:name="_Toc11155990"/>
      <w:bookmarkStart w:id="32" w:name="_Toc56667075"/>
      <w:bookmarkStart w:id="33" w:name="_Toc86923721"/>
      <w:bookmarkStart w:id="34" w:name="_Toc119654144"/>
      <w:bookmarkStart w:id="35" w:name="_Toc135994500"/>
      <w:bookmarkStart w:id="36" w:name="_Toc146277915"/>
      <w:r w:rsidRPr="00590BAD">
        <w:rPr>
          <w:rFonts w:eastAsiaTheme="majorEastAsia" w:cstheme="minorHAnsi"/>
          <w:b/>
          <w:color w:val="2F5496" w:themeColor="accent1" w:themeShade="BF"/>
          <w:sz w:val="24"/>
          <w:szCs w:val="26"/>
          <w:lang w:val="sr-Cyrl-RS"/>
        </w:rPr>
        <w:t xml:space="preserve">1. </w:t>
      </w:r>
      <w:bookmarkEnd w:id="29"/>
      <w:r w:rsidRPr="00590BAD">
        <w:rPr>
          <w:rFonts w:eastAsiaTheme="majorEastAsia" w:cstheme="minorHAnsi"/>
          <w:b/>
          <w:color w:val="2F5496" w:themeColor="accent1" w:themeShade="BF"/>
          <w:sz w:val="24"/>
          <w:szCs w:val="26"/>
          <w:lang w:val="sr-Cyrl-RS"/>
        </w:rPr>
        <w:t>Средњорочни циљеви фискалне политике</w:t>
      </w:r>
      <w:bookmarkEnd w:id="30"/>
      <w:bookmarkEnd w:id="31"/>
      <w:bookmarkEnd w:id="32"/>
      <w:bookmarkEnd w:id="33"/>
      <w:bookmarkEnd w:id="34"/>
      <w:bookmarkEnd w:id="35"/>
      <w:bookmarkEnd w:id="36"/>
    </w:p>
    <w:p w14:paraId="592D02F0" w14:textId="77777777" w:rsidR="001F03F4" w:rsidRPr="00590BAD" w:rsidRDefault="001F03F4" w:rsidP="000A125C">
      <w:pPr>
        <w:rPr>
          <w:rFonts w:ascii="Calibri" w:hAnsi="Calibri" w:cs="Calibri"/>
          <w:bCs/>
          <w:szCs w:val="20"/>
          <w:lang w:val="sr-Cyrl-RS"/>
        </w:rPr>
        <w:sectPr w:rsidR="001F03F4" w:rsidRPr="00590BAD" w:rsidSect="000D3688">
          <w:headerReference w:type="even" r:id="rId95"/>
          <w:headerReference w:type="default" r:id="rId96"/>
          <w:footerReference w:type="even" r:id="rId97"/>
          <w:footerReference w:type="default" r:id="rId98"/>
          <w:headerReference w:type="first" r:id="rId99"/>
          <w:type w:val="continuous"/>
          <w:pgSz w:w="12240" w:h="15840" w:code="1"/>
          <w:pgMar w:top="1440" w:right="1440" w:bottom="1440" w:left="1440" w:header="720" w:footer="720" w:gutter="0"/>
          <w:cols w:space="720"/>
          <w:titlePg/>
          <w:docGrid w:linePitch="360"/>
        </w:sectPr>
      </w:pPr>
    </w:p>
    <w:p w14:paraId="2ED68E8D" w14:textId="77777777" w:rsidR="001F03F4" w:rsidRPr="00590BAD" w:rsidRDefault="001F03F4" w:rsidP="00D73C9A">
      <w:pPr>
        <w:spacing w:after="120"/>
        <w:rPr>
          <w:rFonts w:ascii="Calibri" w:hAnsi="Calibri" w:cs="Calibri"/>
          <w:bCs/>
          <w:szCs w:val="20"/>
          <w:lang w:val="sr-Cyrl-RS"/>
        </w:rPr>
      </w:pPr>
      <w:r w:rsidRPr="00590BAD">
        <w:rPr>
          <w:rFonts w:ascii="Calibri" w:hAnsi="Calibri" w:cs="Calibri"/>
          <w:bCs/>
          <w:szCs w:val="20"/>
          <w:lang w:val="sr-Cyrl-RS"/>
        </w:rPr>
        <w:t>Смиривање пандемије коронавируса, висока инфлација изазвана кризом на међународним тржиштима енергије и сировина и сукоб у Украјини обележили су последње две године у свету, уз опасност да неизвесност и криза потрају дужи временски период. У таквој ситуацији задатак економске и фискалне политике је да обезбеди стабилност привредних токова и очува стандард грађана.</w:t>
      </w:r>
    </w:p>
    <w:p w14:paraId="78277722" w14:textId="77777777" w:rsidR="001F03F4" w:rsidRPr="00590BAD" w:rsidRDefault="001F03F4" w:rsidP="00D73C9A">
      <w:pPr>
        <w:spacing w:after="120"/>
        <w:rPr>
          <w:rFonts w:ascii="Calibri" w:hAnsi="Calibri" w:cs="Calibri"/>
          <w:bCs/>
          <w:szCs w:val="20"/>
          <w:lang w:val="sr-Cyrl-RS"/>
        </w:rPr>
      </w:pPr>
      <w:r w:rsidRPr="00590BAD">
        <w:rPr>
          <w:rFonts w:ascii="Calibri" w:hAnsi="Calibri" w:cs="Calibri"/>
          <w:bCs/>
          <w:szCs w:val="20"/>
          <w:lang w:val="sr-Cyrl-RS"/>
        </w:rPr>
        <w:t>Крај 2022. године, у јавним финансијама, обележио је нижи дефицит сектора државе и нижи ниво јавног дуга од планираног. Повољни фискални трендови су настављени током ове године, нешто бољом наплатом прихода од очекиване и уштедама на средствима која су намењена превазилажењу енергетске кризе. Овакав развој догађаја омогућава бољу фискалну слику у средњорочном периоду, брже снижавање нивоа јавног дуга и већи фискални простор.</w:t>
      </w:r>
    </w:p>
    <w:p w14:paraId="1D12513C" w14:textId="77777777" w:rsidR="001F03F4" w:rsidRPr="00590BAD" w:rsidRDefault="001F03F4" w:rsidP="00D73C9A">
      <w:pPr>
        <w:spacing w:after="120"/>
        <w:rPr>
          <w:rFonts w:ascii="Calibri" w:hAnsi="Calibri" w:cs="Calibri"/>
          <w:bCs/>
          <w:szCs w:val="20"/>
          <w:lang w:val="sr-Cyrl-RS"/>
        </w:rPr>
      </w:pPr>
      <w:r w:rsidRPr="00590BAD">
        <w:rPr>
          <w:rFonts w:ascii="Calibri" w:hAnsi="Calibri" w:cs="Calibri"/>
          <w:bCs/>
          <w:szCs w:val="20"/>
          <w:lang w:val="sr-Cyrl-RS"/>
        </w:rPr>
        <w:t>Планирање економске и, посебно, фискалне политике, у наредном периоду, првенствено ће зависити од процене ефеката украјинске кризе на међународно окружење и домаће прилике. Опредељење је да се и поред високе неизвесности у погледу глобалних економских токова, фискална политика усмери на уравнотежење и стабилизацију јавних финансија, како би се наставио тренд смањења учешћа јавног дуга у БДП и оснажили фундаменти који подржавају привредни раст. Паралелно са тим потребно је обезбедити простор за правовремену реакцију фискалне политике на економске шокове. Евентуална фискална интервенција државе у циљу минимизирања ефеката кризе свакако ће бити комбинована са настојањима да се не зауставе развојни програми и инфраструктурни пројекти финансирани из буџета.</w:t>
      </w:r>
    </w:p>
    <w:p w14:paraId="62C32444" w14:textId="77777777" w:rsidR="001F03F4" w:rsidRPr="00590BAD" w:rsidRDefault="001F03F4" w:rsidP="00D73C9A">
      <w:pPr>
        <w:spacing w:after="120"/>
        <w:rPr>
          <w:rFonts w:ascii="Calibri" w:hAnsi="Calibri" w:cs="Calibri"/>
          <w:bCs/>
          <w:szCs w:val="20"/>
          <w:lang w:val="sr-Cyrl-RS"/>
        </w:rPr>
      </w:pPr>
      <w:r w:rsidRPr="00590BAD">
        <w:rPr>
          <w:rFonts w:ascii="Calibri" w:hAnsi="Calibri" w:cs="Calibri"/>
          <w:bCs/>
          <w:szCs w:val="20"/>
          <w:lang w:val="sr-Cyrl-RS"/>
        </w:rPr>
        <w:t>Средњорочни фискални оквир предвиђа умерено напуштање експанзивне фискалне политике која је била присутна током пандемије, с тим да ће и у наредном периоду део буџетских средстава бити опредељен за ублажавање ефеката кризе и повећање инвестиција. С обзиром на неизвесну економску ситуацију, буџет ће свакако представљати „сигурносну мрежу” у случају ескалације неповољних кретања. Са једне стране обезбедиће се континуитет развојних и социјалних програма, а са друге стране одрживост јавних финансија и наставак смањења нивоа јавног дуга у смислу учешћа у БДП. Имајући у виду очекивана макроекономска кретања, предвиђени годишњи фискални дефицити омогућавају смањење учешћа дуга сектора државе у БДП и у наредном периоду.</w:t>
      </w:r>
    </w:p>
    <w:p w14:paraId="73532AC1" w14:textId="77777777" w:rsidR="001F03F4" w:rsidRPr="00590BAD" w:rsidRDefault="001F03F4" w:rsidP="00D73C9A">
      <w:pPr>
        <w:spacing w:after="120"/>
        <w:rPr>
          <w:rFonts w:ascii="Calibri" w:hAnsi="Calibri" w:cs="Calibri"/>
          <w:bCs/>
          <w:szCs w:val="20"/>
          <w:lang w:val="sr-Cyrl-RS"/>
        </w:rPr>
      </w:pPr>
      <w:r w:rsidRPr="00590BAD">
        <w:rPr>
          <w:rFonts w:ascii="Calibri" w:hAnsi="Calibri" w:cs="Calibri"/>
          <w:bCs/>
          <w:szCs w:val="20"/>
          <w:lang w:val="sr-Cyrl-RS"/>
        </w:rPr>
        <w:t>Фискална политика ће у наредном периоду бити фокусирана, у складу са расположивим фискалним простором, на даље смањење укупног пореског оптерећења рада чиме се додатно растерећује привреда, односно повећава конкурентност приватног сектора. На расходној страни, приоритет ће имати инфраструктурни и капитални пројекти, те политика пензија и плата. При томе ће се водити рачуна да се повећањем ових, највећих, категорија расхода не изађе из планираног одрживог оквира.</w:t>
      </w:r>
    </w:p>
    <w:p w14:paraId="589C1716" w14:textId="77777777" w:rsidR="001F03F4" w:rsidRPr="00590BAD" w:rsidRDefault="001F03F4" w:rsidP="00D73C9A">
      <w:pPr>
        <w:spacing w:after="120"/>
        <w:rPr>
          <w:rFonts w:ascii="Calibri" w:hAnsi="Calibri" w:cs="Calibri"/>
          <w:bCs/>
          <w:szCs w:val="20"/>
          <w:lang w:val="sr-Cyrl-RS"/>
        </w:rPr>
      </w:pPr>
      <w:r w:rsidRPr="00590BAD">
        <w:rPr>
          <w:rFonts w:ascii="Calibri" w:hAnsi="Calibri" w:cs="Calibri"/>
          <w:bCs/>
          <w:szCs w:val="20"/>
          <w:lang w:val="sr-Cyrl-RS"/>
        </w:rPr>
        <w:t>Стабилности јавних финансија и одрживом фискалном оквиру допринеће измене Закона о буџетском систему, којима је, између осталог, редизајниран скуп фискалних правила, општих и посебних, те дефинисане посебне мере у случају њиховог непоштовања. Посебан акценат је стављен на измену општих правила која се односе на јавни дуг и дефицит сектора државе, те посебних правила везаних за одрживи ниво расхода за плате и пензије.</w:t>
      </w:r>
    </w:p>
    <w:bookmarkEnd w:id="19"/>
    <w:bookmarkEnd w:id="20"/>
    <w:p w14:paraId="772E9343" w14:textId="77777777" w:rsidR="001F03F4" w:rsidRPr="00590BAD" w:rsidRDefault="001F03F4" w:rsidP="00E124CF">
      <w:pPr>
        <w:rPr>
          <w:lang w:val="sr-Cyrl-RS" w:eastAsia="ja-JP"/>
        </w:rPr>
        <w:sectPr w:rsidR="001F03F4" w:rsidRPr="00590BAD" w:rsidSect="000D3688">
          <w:headerReference w:type="even" r:id="rId100"/>
          <w:headerReference w:type="default" r:id="rId101"/>
          <w:footerReference w:type="even" r:id="rId102"/>
          <w:footerReference w:type="default" r:id="rId103"/>
          <w:headerReference w:type="first" r:id="rId104"/>
          <w:type w:val="continuous"/>
          <w:pgSz w:w="12240" w:h="15840" w:code="1"/>
          <w:pgMar w:top="1440" w:right="1440" w:bottom="1440" w:left="1440" w:header="720" w:footer="720" w:gutter="0"/>
          <w:cols w:num="2" w:space="720"/>
          <w:docGrid w:linePitch="360"/>
          <w15:footnoteColumns w:val="1"/>
        </w:sectPr>
      </w:pPr>
    </w:p>
    <w:p w14:paraId="50D45D3C" w14:textId="77777777" w:rsidR="001F03F4" w:rsidRPr="00590BAD" w:rsidRDefault="001F03F4" w:rsidP="00D73C9A">
      <w:pPr>
        <w:jc w:val="left"/>
        <w:rPr>
          <w:lang w:val="sr-Cyrl-RS"/>
        </w:rPr>
        <w:sectPr w:rsidR="001F03F4" w:rsidRPr="00590BAD" w:rsidSect="000D3688">
          <w:headerReference w:type="even" r:id="rId105"/>
          <w:footerReference w:type="even" r:id="rId106"/>
          <w:footerReference w:type="default" r:id="rId107"/>
          <w:headerReference w:type="first" r:id="rId108"/>
          <w:type w:val="continuous"/>
          <w:pgSz w:w="12240" w:h="15840"/>
          <w:pgMar w:top="1440" w:right="1440" w:bottom="1440" w:left="1440" w:header="720" w:footer="720" w:gutter="0"/>
          <w:cols w:space="720"/>
          <w:docGrid w:linePitch="360"/>
        </w:sectPr>
      </w:pPr>
      <w:r w:rsidRPr="00590BAD">
        <w:rPr>
          <w:lang w:val="sr-Cyrl-RS"/>
        </w:rPr>
        <w:br w:type="page"/>
      </w:r>
    </w:p>
    <w:p w14:paraId="73D3354E" w14:textId="618F8562" w:rsidR="00252AA2" w:rsidRPr="00E13B1A" w:rsidRDefault="001F03F4" w:rsidP="006272DB">
      <w:pPr>
        <w:keepNext/>
        <w:keepLines/>
        <w:spacing w:after="360"/>
        <w:jc w:val="center"/>
        <w:outlineLvl w:val="1"/>
        <w:rPr>
          <w:rFonts w:eastAsia="MS PGothic" w:cstheme="minorHAnsi"/>
          <w:b/>
          <w:color w:val="2F5496" w:themeColor="accent1" w:themeShade="BF"/>
          <w:sz w:val="24"/>
          <w:szCs w:val="26"/>
          <w:lang w:val="sr-Cyrl-RS" w:eastAsia="ja-JP"/>
        </w:rPr>
      </w:pPr>
      <w:bookmarkStart w:id="37" w:name="_Toc73364969"/>
      <w:bookmarkStart w:id="38" w:name="_Toc119654145"/>
      <w:bookmarkStart w:id="39" w:name="_Toc135994502"/>
      <w:bookmarkStart w:id="40" w:name="_Toc146277916"/>
      <w:bookmarkEnd w:id="21"/>
      <w:bookmarkEnd w:id="22"/>
      <w:bookmarkEnd w:id="23"/>
      <w:bookmarkEnd w:id="24"/>
      <w:bookmarkEnd w:id="25"/>
      <w:bookmarkEnd w:id="26"/>
      <w:bookmarkEnd w:id="27"/>
      <w:bookmarkEnd w:id="28"/>
      <w:r w:rsidRPr="000979D4">
        <w:rPr>
          <w:rFonts w:eastAsia="MS PGothic" w:cstheme="minorHAnsi"/>
          <w:b/>
          <w:color w:val="2F5496" w:themeColor="accent1" w:themeShade="BF"/>
          <w:sz w:val="24"/>
          <w:szCs w:val="26"/>
          <w:lang w:val="sr-Cyrl-RS" w:eastAsia="ja-JP"/>
        </w:rPr>
        <w:lastRenderedPageBreak/>
        <w:t>2</w:t>
      </w:r>
      <w:r w:rsidR="00252AA2" w:rsidRPr="00E13B1A">
        <w:rPr>
          <w:rFonts w:eastAsia="MS PGothic" w:cstheme="minorHAnsi"/>
          <w:b/>
          <w:color w:val="2F5496" w:themeColor="accent1" w:themeShade="BF"/>
          <w:sz w:val="24"/>
          <w:szCs w:val="26"/>
          <w:lang w:val="sr-Cyrl-RS" w:eastAsia="ja-JP"/>
        </w:rPr>
        <w:t>. Текућа фискална кретања и изгледи за 2023. годину</w:t>
      </w:r>
      <w:bookmarkEnd w:id="37"/>
      <w:bookmarkEnd w:id="38"/>
      <w:bookmarkEnd w:id="39"/>
      <w:bookmarkEnd w:id="40"/>
    </w:p>
    <w:p w14:paraId="08B0E51B" w14:textId="77777777" w:rsidR="00252AA2" w:rsidRPr="00E13B1A" w:rsidRDefault="00252AA2" w:rsidP="000D3688">
      <w:pPr>
        <w:keepNext/>
        <w:keepLines/>
        <w:jc w:val="center"/>
        <w:outlineLvl w:val="1"/>
        <w:rPr>
          <w:rFonts w:eastAsia="MS PGothic" w:cstheme="minorHAnsi"/>
          <w:b/>
          <w:color w:val="2F5496" w:themeColor="accent1" w:themeShade="BF"/>
          <w:sz w:val="24"/>
          <w:szCs w:val="26"/>
          <w:lang w:val="sr-Cyrl-RS" w:eastAsia="ja-JP"/>
        </w:rPr>
        <w:sectPr w:rsidR="00252AA2" w:rsidRPr="00E13B1A" w:rsidSect="000D3688">
          <w:headerReference w:type="even" r:id="rId109"/>
          <w:headerReference w:type="default" r:id="rId110"/>
          <w:footerReference w:type="even" r:id="rId111"/>
          <w:footerReference w:type="default" r:id="rId112"/>
          <w:headerReference w:type="first" r:id="rId113"/>
          <w:type w:val="continuous"/>
          <w:pgSz w:w="12240" w:h="15840" w:code="1"/>
          <w:pgMar w:top="1440" w:right="1440" w:bottom="1440" w:left="1440" w:header="720" w:footer="720" w:gutter="0"/>
          <w:cols w:space="720"/>
          <w:titlePg/>
          <w:docGrid w:linePitch="360"/>
        </w:sectPr>
      </w:pPr>
    </w:p>
    <w:p w14:paraId="0551E25A" w14:textId="77777777" w:rsidR="00252AA2" w:rsidRPr="00E13B1A" w:rsidRDefault="00252AA2" w:rsidP="000D3688">
      <w:pPr>
        <w:widowControl w:val="0"/>
        <w:spacing w:after="120"/>
        <w:rPr>
          <w:lang w:val="sr-Cyrl-RS"/>
        </w:rPr>
      </w:pPr>
      <w:r w:rsidRPr="00E13B1A">
        <w:rPr>
          <w:rFonts w:eastAsia="MS PGothic" w:cstheme="minorHAnsi"/>
          <w:bCs/>
          <w:szCs w:val="20"/>
          <w:lang w:val="sr-Cyrl-RS" w:eastAsia="ja-JP"/>
        </w:rPr>
        <w:t>Фискални оквир за 2023. годину планиран је у околностима продужене неповољне геополитичке ситуације, високе неизвесности на тржишту енергије и негативних инфлаторних трендова, посебно на тржишту хране.</w:t>
      </w:r>
      <w:r w:rsidRPr="00E13B1A">
        <w:rPr>
          <w:rFonts w:eastAsia="MS PGothic" w:cstheme="minorHAnsi"/>
          <w:szCs w:val="20"/>
          <w:lang w:val="sr-Cyrl-RS" w:eastAsia="ja-JP"/>
        </w:rPr>
        <w:t xml:space="preserve"> Претходну годину, на фискалном плану, обележила су неопходна и интензивна прилагођавања насталим негативним околностима у енергетском сектору, кроз значајна буџетска издвајања у циљу обезбеђења енергетске сигурности. Део фискалног напора био је усмерен и на очување животног стандарда грађана. Са једне стране је то спроведено кроз повећана издвајања усмерена ка вулнерабилним категоријама становништва, док су са друге стране реализоване мере контроле цена основних животних намирница и амортизације раста цена нафтних деривата кроз смањење акцизног оптерећења. Повећану неизвесност уносила је и могућа нередовност у снабдевању енергентима, што је додатно утицало на кретање цена.</w:t>
      </w:r>
    </w:p>
    <w:p w14:paraId="31654A3F" w14:textId="1F205C47" w:rsidR="00252AA2" w:rsidRPr="00E13B1A" w:rsidRDefault="00252AA2" w:rsidP="000D3688">
      <w:pPr>
        <w:widowControl w:val="0"/>
        <w:spacing w:after="120"/>
        <w:rPr>
          <w:rFonts w:eastAsia="MS PGothic" w:cstheme="minorHAnsi"/>
          <w:szCs w:val="20"/>
          <w:lang w:val="sr-Cyrl-RS" w:eastAsia="ja-JP"/>
        </w:rPr>
      </w:pPr>
      <w:r w:rsidRPr="00E13B1A">
        <w:rPr>
          <w:rFonts w:eastAsia="MS PGothic" w:cstheme="minorHAnsi"/>
          <w:bCs/>
          <w:szCs w:val="20"/>
          <w:lang w:val="sr-Cyrl-RS" w:eastAsia="ja-JP"/>
        </w:rPr>
        <w:t>Ублажавање негативних ефеката енергетске кризе, растућа инфлација, потреба одржања животног стандарда становништва утицале су на креирање фискалног оквира за 2023. годину.</w:t>
      </w:r>
      <w:r w:rsidRPr="00E13B1A">
        <w:rPr>
          <w:rFonts w:eastAsia="MS PGothic" w:cstheme="minorHAnsi"/>
          <w:szCs w:val="20"/>
          <w:lang w:val="sr-Cyrl-RS" w:eastAsia="ja-JP"/>
        </w:rPr>
        <w:t xml:space="preserve"> На расходној </w:t>
      </w:r>
      <w:r w:rsidR="00E14A75">
        <w:rPr>
          <w:rFonts w:eastAsia="MS PGothic" w:cstheme="minorHAnsi"/>
          <w:szCs w:val="20"/>
          <w:lang w:val="sr-Cyrl-RS" w:eastAsia="ja-JP"/>
        </w:rPr>
        <w:t xml:space="preserve">страни </w:t>
      </w:r>
      <w:r w:rsidRPr="00E13B1A">
        <w:rPr>
          <w:rFonts w:eastAsia="MS PGothic" w:cstheme="minorHAnsi"/>
          <w:szCs w:val="20"/>
          <w:lang w:val="sr-Cyrl-RS" w:eastAsia="ja-JP"/>
        </w:rPr>
        <w:t xml:space="preserve">буџета био је обезбеђен висок ниво средстава за даљу санацију енергетске кризе. Како би се побољшао економски положај и стандард пензионера, у оквиру измене фискалних правила, промењен је и начин индексације пензија. Примања пензионера су током 2022. и 2023. године значајно увећана, али је уведен и механизам заштите од прекомерног повећања учешћа расхода за пензије у БДП. Како би се заштитио стандард запослених у јавном сектору реализовано је повећање зарада од 12,5%, док су за војна лица обезбеђена средства за повећање зарада од 25%. Задржан је висок ниво учешћа јавних инвестиција у БДП, као подршка опоравку економског раста. На приходној страни предвиђени наставак смањења акцизног оптерећења деривата нафте је важио до краја априла уз непромењени износ акциза за остале производе, како би се ублажили инфлаторни трендови. Вишегодишња политика смањења пореског оптерећења рада настављена је и током </w:t>
      </w:r>
      <w:r w:rsidRPr="00E13B1A">
        <w:rPr>
          <w:rFonts w:eastAsia="MS PGothic" w:cstheme="minorHAnsi"/>
          <w:szCs w:val="20"/>
          <w:lang w:val="sr-Cyrl-RS" w:eastAsia="ja-JP"/>
        </w:rPr>
        <w:t>2023. године. Процењени ефекат губитка прихода по основу повећања неопорезивог цензуса и смањења стопе доприноса за 1 п.п., износио је 41 млрд динара у 2023. години.</w:t>
      </w:r>
    </w:p>
    <w:p w14:paraId="15DE2B88" w14:textId="77777777" w:rsidR="00252AA2" w:rsidRPr="00E13B1A" w:rsidRDefault="00252AA2" w:rsidP="000D3688">
      <w:pPr>
        <w:widowControl w:val="0"/>
        <w:spacing w:after="120"/>
        <w:rPr>
          <w:rFonts w:eastAsia="MS PGothic" w:cstheme="minorHAnsi"/>
          <w:szCs w:val="20"/>
          <w:lang w:val="sr-Cyrl-RS" w:eastAsia="ja-JP"/>
        </w:rPr>
      </w:pPr>
      <w:r w:rsidRPr="00E13B1A">
        <w:rPr>
          <w:rFonts w:eastAsia="MS PGothic" w:cstheme="minorHAnsi"/>
          <w:szCs w:val="20"/>
          <w:lang w:val="sr-Cyrl-RS" w:eastAsia="ja-JP"/>
        </w:rPr>
        <w:t>Ризици који су узети у обзир приликом планирања фискалног оквира за ову годину су и даље присутни, али са нешто измењеним интензитетом. Током прве половине године привредна активност је углавном остала у оквиру планираног нивоа. Инфлаторна кретања су нешто изнад очекиваних, док је на међународном тржишту дошло до одређеног пада цена енергената. Упоредо са стабилизацијом производње електричне енергије, смањена је потреба за интервенцијом државе у овој области. Јавни приходи у првој половини године крећу се изнад очекиваних, али са значајним изменама у структури. Кретања на тржишту радне снаге премашила су очекивања у погледу раста просечних зарада и запослености, што се позитивно одражава на приходе од пореза на рад. Појединачно, највећи раст бележи наплата пореза на добит. Већи износ од планираног остварен је по основу прихода од акциза, делом и због промена акцизне политике у току године. Уобичајено, непланирани ванредни непорески приходи, наплаћени у току године, укључени су у ревидирани износ непореских прихода. Са друге стране, бележи се нижа од очекиване наплата дела пореза на потрошњу, пре свега, пореза на додату вредност.</w:t>
      </w:r>
    </w:p>
    <w:p w14:paraId="0738AF51" w14:textId="77777777" w:rsidR="00252AA2" w:rsidRPr="00E13B1A" w:rsidRDefault="00252AA2" w:rsidP="006272DB">
      <w:pPr>
        <w:widowControl w:val="0"/>
        <w:spacing w:after="120"/>
        <w:rPr>
          <w:rFonts w:eastAsia="MS PGothic" w:cstheme="minorHAnsi"/>
          <w:bCs/>
          <w:szCs w:val="20"/>
          <w:lang w:val="sr-Cyrl-RS" w:eastAsia="ja-JP"/>
        </w:rPr>
      </w:pPr>
      <w:r w:rsidRPr="00E13B1A">
        <w:rPr>
          <w:rFonts w:eastAsia="MS PGothic" w:cstheme="minorHAnsi"/>
          <w:szCs w:val="20"/>
          <w:lang w:val="sr-Cyrl-RS" w:eastAsia="ja-JP"/>
        </w:rPr>
        <w:t xml:space="preserve">Септембарским ребалансом буџета Републике предвиђена су средства за примену нових мера које утичу на доходак становништва, измене у политици пољопривредних субвенција и прерасподелу неутрошених средстава за државну интервенцију у енергетици. Ребалансом утврђен фискални оквир за 2023. годину предвиђа дефицит сектора државе од 2,8%, што представља смањење од 0,5% БДП у односу на оригинални план. Учешће јавног дуга на крају 2023. године износиће 53,3% БДП, што је за 2,8% БДП ниже у односу на претходну процену. Процена прихода повећана је за 132,5 млрд динара, док је процена на страни расхода ревидирана за 96 млрд динара навише, чиме је процена фискалног дефицита </w:t>
      </w:r>
      <w:r w:rsidRPr="00E13B1A">
        <w:rPr>
          <w:rFonts w:eastAsia="MS PGothic" w:cstheme="minorHAnsi"/>
          <w:szCs w:val="20"/>
          <w:lang w:val="sr-Cyrl-RS" w:eastAsia="ja-JP"/>
        </w:rPr>
        <w:lastRenderedPageBreak/>
        <w:t>смањена за 36,5 млрд динара.</w:t>
      </w:r>
      <w:r w:rsidRPr="00E13B1A">
        <w:rPr>
          <w:rFonts w:eastAsia="MS PGothic" w:cstheme="minorHAnsi"/>
          <w:color w:val="FF0000"/>
          <w:szCs w:val="20"/>
          <w:lang w:val="sr-Cyrl-RS" w:eastAsia="ja-JP"/>
        </w:rPr>
        <w:t xml:space="preserve"> </w:t>
      </w:r>
      <w:r w:rsidRPr="00E13B1A">
        <w:rPr>
          <w:rFonts w:eastAsia="MS PGothic" w:cstheme="minorHAnsi"/>
          <w:szCs w:val="20"/>
          <w:lang w:val="sr-Cyrl-RS" w:eastAsia="ja-JP"/>
        </w:rPr>
        <w:t>Већи приходи,</w:t>
      </w:r>
      <w:r w:rsidRPr="00E13B1A">
        <w:rPr>
          <w:rFonts w:eastAsia="MS PGothic" w:cstheme="minorHAnsi"/>
          <w:color w:val="auto"/>
          <w:szCs w:val="20"/>
          <w:lang w:val="sr-Cyrl-RS" w:eastAsia="ja-JP"/>
        </w:rPr>
        <w:t xml:space="preserve"> </w:t>
      </w:r>
      <w:r w:rsidRPr="00E13B1A">
        <w:rPr>
          <w:rFonts w:eastAsia="MS PGothic" w:cstheme="minorHAnsi"/>
          <w:bCs/>
          <w:szCs w:val="20"/>
          <w:lang w:val="sr-Cyrl-RS" w:eastAsia="ja-JP"/>
        </w:rPr>
        <w:t>као и уштеде на страни расхода, те прерасподела средстава за набавку енергената, обезбедили су фискални простор за спровођење нових мера за побољшање економског положаја појединих категорија становништва. Ове мере односе се на ванредну индексацију пензија од 5,5%, повећање плата, у истом проценту, за запослене у просвети и одређене категорије запослених у здравству и једнократну помоћ за мајке или очеве са децом до 16 година. Такође предвиђена је и исплата једнократне помоћи пензионерима од 20.000 динара. Ванредна повећања пензија и плата у јавном сектору имају структурну природу, при чему ће наредно, редовно, усклађивање пензија почетком 2024. години износити 14,8%.</w:t>
      </w:r>
    </w:p>
    <w:p w14:paraId="24AA5EAA" w14:textId="77777777" w:rsidR="00252AA2" w:rsidRPr="00E13B1A" w:rsidRDefault="00252AA2" w:rsidP="006272DB">
      <w:pPr>
        <w:widowControl w:val="0"/>
        <w:spacing w:after="120"/>
        <w:rPr>
          <w:rFonts w:eastAsia="MS PGothic" w:cstheme="minorHAnsi"/>
          <w:bCs/>
          <w:szCs w:val="20"/>
          <w:lang w:val="sr-Cyrl-RS" w:eastAsia="ja-JP"/>
        </w:rPr>
      </w:pPr>
    </w:p>
    <w:p w14:paraId="36FE67FD" w14:textId="77777777" w:rsidR="00252AA2" w:rsidRPr="00E13B1A" w:rsidRDefault="00252AA2" w:rsidP="006272DB">
      <w:pPr>
        <w:spacing w:after="120"/>
        <w:jc w:val="center"/>
        <w:rPr>
          <w:rFonts w:cstheme="minorHAnsi"/>
          <w:b/>
          <w:color w:val="002060"/>
          <w:lang w:val="sr-Cyrl-RS"/>
        </w:rPr>
      </w:pPr>
      <w:r w:rsidRPr="00E13B1A">
        <w:rPr>
          <w:rFonts w:cstheme="minorHAnsi"/>
          <w:b/>
          <w:color w:val="002060"/>
          <w:lang w:val="sr-Cyrl-RS"/>
        </w:rPr>
        <w:t>Фискални резултат сектора државе у периоду од 2015. до 2023. године, % БДП</w:t>
      </w:r>
    </w:p>
    <w:p w14:paraId="58E832A5" w14:textId="77777777" w:rsidR="00252AA2" w:rsidRPr="00E13B1A" w:rsidRDefault="00252AA2" w:rsidP="006272DB">
      <w:pPr>
        <w:spacing w:after="120"/>
        <w:jc w:val="center"/>
        <w:rPr>
          <w:rFonts w:cstheme="minorHAnsi"/>
          <w:b/>
          <w:color w:val="002060"/>
          <w:lang w:val="sr-Cyrl-RS"/>
        </w:rPr>
      </w:pPr>
      <w:r w:rsidRPr="00E13B1A">
        <w:rPr>
          <w:noProof/>
        </w:rPr>
        <w:drawing>
          <wp:inline distT="0" distB="0" distL="0" distR="0" wp14:anchorId="6357035A" wp14:editId="1C2870AF">
            <wp:extent cx="2743200" cy="2217761"/>
            <wp:effectExtent l="0" t="0" r="0" b="0"/>
            <wp:docPr id="60" name="Chart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14:paraId="5EEBC6B2" w14:textId="77777777" w:rsidR="00252AA2" w:rsidRPr="00E13B1A" w:rsidRDefault="00252AA2" w:rsidP="006272DB">
      <w:pPr>
        <w:spacing w:after="120" w:line="276" w:lineRule="auto"/>
        <w:jc w:val="left"/>
        <w:rPr>
          <w:lang w:val="sr-Cyrl-RS"/>
        </w:rPr>
        <w:sectPr w:rsidR="00252AA2" w:rsidRPr="00E13B1A" w:rsidSect="000D3688">
          <w:type w:val="continuous"/>
          <w:pgSz w:w="12240" w:h="15840" w:code="1"/>
          <w:pgMar w:top="1440" w:right="1440" w:bottom="1440" w:left="1440" w:header="720" w:footer="720" w:gutter="0"/>
          <w:cols w:num="2" w:space="720"/>
          <w:docGrid w:linePitch="360"/>
        </w:sectPr>
      </w:pPr>
      <w:r w:rsidRPr="00E13B1A">
        <w:rPr>
          <w:rFonts w:cstheme="minorHAnsi"/>
          <w:bCs/>
          <w:sz w:val="16"/>
          <w:szCs w:val="72"/>
          <w:lang w:val="sr-Cyrl-RS"/>
        </w:rPr>
        <w:t>Извор: Министарство финансија</w:t>
      </w:r>
    </w:p>
    <w:p w14:paraId="163283F1" w14:textId="77777777" w:rsidR="00252AA2" w:rsidRPr="00E13B1A" w:rsidRDefault="00252AA2" w:rsidP="000D3688">
      <w:pPr>
        <w:spacing w:after="120"/>
        <w:jc w:val="center"/>
        <w:rPr>
          <w:rFonts w:eastAsia="MS PGothic" w:cstheme="minorHAnsi"/>
          <w:b/>
          <w:color w:val="002060"/>
          <w:szCs w:val="20"/>
          <w:lang w:val="sr-Cyrl-RS" w:eastAsia="ja-JP"/>
        </w:rPr>
      </w:pPr>
      <w:r w:rsidRPr="00E13B1A">
        <w:rPr>
          <w:rFonts w:eastAsia="MS PGothic" w:cstheme="minorHAnsi"/>
          <w:b/>
          <w:color w:val="002060"/>
          <w:szCs w:val="20"/>
          <w:lang w:val="sr-Cyrl-RS" w:eastAsia="ja-JP"/>
        </w:rPr>
        <w:t>Табела 5. Приходи, расходи и резултат сектора државе у 2023. години, у млрд динара</w:t>
      </w:r>
    </w:p>
    <w:tbl>
      <w:tblPr>
        <w:tblW w:w="5038" w:type="pct"/>
        <w:jc w:val="center"/>
        <w:tblLook w:val="04A0" w:firstRow="1" w:lastRow="0" w:firstColumn="1" w:lastColumn="0" w:noHBand="0" w:noVBand="1"/>
      </w:tblPr>
      <w:tblGrid>
        <w:gridCol w:w="2519"/>
        <w:gridCol w:w="1102"/>
        <w:gridCol w:w="1103"/>
        <w:gridCol w:w="1103"/>
        <w:gridCol w:w="1409"/>
        <w:gridCol w:w="1105"/>
        <w:gridCol w:w="1090"/>
      </w:tblGrid>
      <w:tr w:rsidR="001A087F" w:rsidRPr="001A087F" w14:paraId="30ACCBE8" w14:textId="77777777" w:rsidTr="006272DB">
        <w:trPr>
          <w:trHeight w:val="477"/>
          <w:tblHeader/>
          <w:jc w:val="center"/>
        </w:trPr>
        <w:tc>
          <w:tcPr>
            <w:tcW w:w="1335" w:type="pct"/>
            <w:tcBorders>
              <w:top w:val="single" w:sz="4" w:space="0" w:color="002060"/>
            </w:tcBorders>
            <w:shd w:val="clear" w:color="auto" w:fill="auto"/>
            <w:noWrap/>
            <w:vAlign w:val="center"/>
            <w:hideMark/>
          </w:tcPr>
          <w:p w14:paraId="2AFC6FE5" w14:textId="77777777" w:rsidR="00252AA2" w:rsidRPr="001A087F" w:rsidRDefault="00252AA2" w:rsidP="00E124CF">
            <w:pPr>
              <w:spacing w:after="0" w:line="240" w:lineRule="auto"/>
              <w:jc w:val="center"/>
              <w:rPr>
                <w:rFonts w:eastAsia="Times New Roman" w:cstheme="minorHAnsi"/>
                <w:bCs/>
                <w:color w:val="002060"/>
                <w:sz w:val="16"/>
                <w:szCs w:val="16"/>
                <w:lang w:val="sr-Cyrl-RS" w:eastAsia="sr-Cyrl-RS"/>
              </w:rPr>
            </w:pPr>
            <w:r w:rsidRPr="001A087F">
              <w:rPr>
                <w:rFonts w:eastAsia="Times New Roman" w:cstheme="minorHAnsi"/>
                <w:bCs/>
                <w:color w:val="002060"/>
                <w:sz w:val="16"/>
                <w:szCs w:val="16"/>
                <w:lang w:val="sr-Cyrl-RS" w:eastAsia="sr-Cyrl-RS"/>
              </w:rPr>
              <w:t> </w:t>
            </w:r>
          </w:p>
        </w:tc>
        <w:tc>
          <w:tcPr>
            <w:tcW w:w="584" w:type="pct"/>
            <w:tcBorders>
              <w:top w:val="single" w:sz="4" w:space="0" w:color="002060"/>
              <w:bottom w:val="single" w:sz="4" w:space="0" w:color="002060"/>
            </w:tcBorders>
            <w:shd w:val="clear" w:color="auto" w:fill="auto"/>
            <w:vAlign w:val="center"/>
            <w:hideMark/>
          </w:tcPr>
          <w:p w14:paraId="315D78A3" w14:textId="77777777" w:rsidR="00252AA2" w:rsidRPr="001A087F" w:rsidRDefault="00252AA2" w:rsidP="006272DB">
            <w:pPr>
              <w:spacing w:after="0" w:line="240" w:lineRule="auto"/>
              <w:jc w:val="center"/>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буџет 2023*</w:t>
            </w:r>
          </w:p>
        </w:tc>
        <w:tc>
          <w:tcPr>
            <w:tcW w:w="585" w:type="pct"/>
            <w:tcBorders>
              <w:top w:val="single" w:sz="4" w:space="0" w:color="002060"/>
              <w:bottom w:val="single" w:sz="4" w:space="0" w:color="002060"/>
            </w:tcBorders>
            <w:vAlign w:val="center"/>
          </w:tcPr>
          <w:p w14:paraId="69E9D3E3" w14:textId="77777777" w:rsidR="00252AA2" w:rsidRPr="001A087F" w:rsidRDefault="00252AA2" w:rsidP="006272DB">
            <w:pPr>
              <w:spacing w:after="0" w:line="240" w:lineRule="auto"/>
              <w:jc w:val="center"/>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процена мај 2023</w:t>
            </w:r>
          </w:p>
        </w:tc>
        <w:tc>
          <w:tcPr>
            <w:tcW w:w="585" w:type="pct"/>
            <w:tcBorders>
              <w:top w:val="single" w:sz="4" w:space="0" w:color="002060"/>
              <w:bottom w:val="single" w:sz="4" w:space="0" w:color="002060"/>
            </w:tcBorders>
            <w:shd w:val="clear" w:color="auto" w:fill="auto"/>
            <w:vAlign w:val="center"/>
            <w:hideMark/>
          </w:tcPr>
          <w:p w14:paraId="4A72A107" w14:textId="77777777" w:rsidR="00252AA2" w:rsidRPr="001A087F" w:rsidRDefault="00252AA2" w:rsidP="006272DB">
            <w:pPr>
              <w:spacing w:after="0" w:line="240" w:lineRule="auto"/>
              <w:jc w:val="center"/>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процена септембар 2023*</w:t>
            </w:r>
          </w:p>
        </w:tc>
        <w:tc>
          <w:tcPr>
            <w:tcW w:w="747" w:type="pct"/>
            <w:tcBorders>
              <w:top w:val="single" w:sz="4" w:space="0" w:color="002060"/>
              <w:bottom w:val="single" w:sz="4" w:space="0" w:color="002060"/>
            </w:tcBorders>
            <w:shd w:val="clear" w:color="auto" w:fill="auto"/>
            <w:vAlign w:val="center"/>
            <w:hideMark/>
          </w:tcPr>
          <w:p w14:paraId="2A986329" w14:textId="2A24411C" w:rsidR="00252AA2" w:rsidRPr="001A087F" w:rsidRDefault="00252AA2" w:rsidP="0045512A">
            <w:pPr>
              <w:spacing w:after="0" w:line="240" w:lineRule="auto"/>
              <w:jc w:val="center"/>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 xml:space="preserve">Разлика </w:t>
            </w:r>
            <w:r w:rsidR="0045512A">
              <w:rPr>
                <w:rFonts w:eastAsia="MS PGothic" w:cstheme="minorHAnsi"/>
                <w:color w:val="002060"/>
                <w:sz w:val="16"/>
                <w:szCs w:val="16"/>
                <w:lang w:val="sr-Cyrl-RS" w:eastAsia="ja-JP"/>
              </w:rPr>
              <w:t>процена септембар</w:t>
            </w:r>
            <w:r w:rsidRPr="001A087F">
              <w:rPr>
                <w:rFonts w:eastAsia="MS PGothic" w:cstheme="minorHAnsi"/>
                <w:color w:val="002060"/>
                <w:sz w:val="16"/>
                <w:szCs w:val="16"/>
                <w:lang w:val="sr-Cyrl-RS" w:eastAsia="ja-JP"/>
              </w:rPr>
              <w:t>/буџет</w:t>
            </w:r>
          </w:p>
        </w:tc>
        <w:tc>
          <w:tcPr>
            <w:tcW w:w="586" w:type="pct"/>
            <w:tcBorders>
              <w:top w:val="single" w:sz="4" w:space="0" w:color="002060"/>
              <w:bottom w:val="single" w:sz="4" w:space="0" w:color="002060"/>
            </w:tcBorders>
            <w:shd w:val="clear" w:color="auto" w:fill="auto"/>
            <w:vAlign w:val="center"/>
            <w:hideMark/>
          </w:tcPr>
          <w:p w14:paraId="3320D8AA" w14:textId="77777777" w:rsidR="00252AA2" w:rsidRPr="001A087F" w:rsidRDefault="00252AA2" w:rsidP="006272DB">
            <w:pPr>
              <w:spacing w:after="0" w:line="240" w:lineRule="auto"/>
              <w:jc w:val="center"/>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 промена</w:t>
            </w:r>
          </w:p>
        </w:tc>
        <w:tc>
          <w:tcPr>
            <w:tcW w:w="578" w:type="pct"/>
            <w:tcBorders>
              <w:top w:val="single" w:sz="4" w:space="0" w:color="002060"/>
              <w:bottom w:val="single" w:sz="4" w:space="0" w:color="002060"/>
            </w:tcBorders>
            <w:shd w:val="clear" w:color="auto" w:fill="auto"/>
            <w:vAlign w:val="center"/>
            <w:hideMark/>
          </w:tcPr>
          <w:p w14:paraId="0E24B127" w14:textId="77777777" w:rsidR="00252AA2" w:rsidRPr="001A087F" w:rsidRDefault="00252AA2" w:rsidP="006272DB">
            <w:pPr>
              <w:spacing w:after="0" w:line="240" w:lineRule="auto"/>
              <w:jc w:val="center"/>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2023 нова пр. % БДП</w:t>
            </w:r>
          </w:p>
        </w:tc>
      </w:tr>
      <w:tr w:rsidR="001A087F" w:rsidRPr="001A087F" w14:paraId="4F3585E0" w14:textId="77777777" w:rsidTr="006272DB">
        <w:trPr>
          <w:trHeight w:val="236"/>
          <w:jc w:val="center"/>
        </w:trPr>
        <w:tc>
          <w:tcPr>
            <w:tcW w:w="1335" w:type="pct"/>
            <w:shd w:val="clear" w:color="auto" w:fill="E7E6E6" w:themeFill="background2"/>
            <w:noWrap/>
            <w:vAlign w:val="center"/>
            <w:hideMark/>
          </w:tcPr>
          <w:p w14:paraId="70175999" w14:textId="77777777" w:rsidR="00252AA2" w:rsidRPr="001A087F" w:rsidRDefault="00252AA2" w:rsidP="006272DB">
            <w:pPr>
              <w:spacing w:after="0" w:line="240" w:lineRule="auto"/>
              <w:jc w:val="left"/>
              <w:rPr>
                <w:rFonts w:cstheme="minorHAnsi"/>
                <w:color w:val="002060"/>
                <w:sz w:val="16"/>
                <w:szCs w:val="16"/>
                <w:lang w:val="sr-Cyrl-RS"/>
              </w:rPr>
            </w:pPr>
            <w:r w:rsidRPr="001A087F">
              <w:rPr>
                <w:rFonts w:eastAsia="MS PGothic" w:cstheme="minorHAnsi"/>
                <w:color w:val="002060"/>
                <w:sz w:val="16"/>
                <w:szCs w:val="16"/>
                <w:lang w:val="sr-Cyrl-RS" w:eastAsia="ja-JP"/>
              </w:rPr>
              <w:t>ЈАВНИ ПРИХОДИ</w:t>
            </w:r>
          </w:p>
        </w:tc>
        <w:tc>
          <w:tcPr>
            <w:tcW w:w="584" w:type="pct"/>
            <w:tcBorders>
              <w:top w:val="single" w:sz="4" w:space="0" w:color="002060"/>
            </w:tcBorders>
            <w:shd w:val="clear" w:color="auto" w:fill="E7E6E6" w:themeFill="background2"/>
            <w:hideMark/>
          </w:tcPr>
          <w:p w14:paraId="4AD52603"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3.312,9</w:t>
            </w:r>
          </w:p>
        </w:tc>
        <w:tc>
          <w:tcPr>
            <w:tcW w:w="585" w:type="pct"/>
            <w:tcBorders>
              <w:top w:val="single" w:sz="4" w:space="0" w:color="002060"/>
            </w:tcBorders>
            <w:shd w:val="clear" w:color="auto" w:fill="E7E6E6" w:themeFill="background2"/>
          </w:tcPr>
          <w:p w14:paraId="6E201C6D"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3.389,5</w:t>
            </w:r>
          </w:p>
        </w:tc>
        <w:tc>
          <w:tcPr>
            <w:tcW w:w="585" w:type="pct"/>
            <w:tcBorders>
              <w:top w:val="single" w:sz="4" w:space="0" w:color="002060"/>
            </w:tcBorders>
            <w:shd w:val="clear" w:color="auto" w:fill="E7E6E6" w:themeFill="background2"/>
            <w:noWrap/>
            <w:hideMark/>
          </w:tcPr>
          <w:p w14:paraId="60EF6B8B"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3.445,5</w:t>
            </w:r>
          </w:p>
        </w:tc>
        <w:tc>
          <w:tcPr>
            <w:tcW w:w="747" w:type="pct"/>
            <w:tcBorders>
              <w:top w:val="single" w:sz="4" w:space="0" w:color="002060"/>
            </w:tcBorders>
            <w:shd w:val="clear" w:color="auto" w:fill="E7E6E6" w:themeFill="background2"/>
            <w:hideMark/>
          </w:tcPr>
          <w:p w14:paraId="5BFDADB4"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132,5</w:t>
            </w:r>
          </w:p>
        </w:tc>
        <w:tc>
          <w:tcPr>
            <w:tcW w:w="586" w:type="pct"/>
            <w:tcBorders>
              <w:top w:val="single" w:sz="4" w:space="0" w:color="002060"/>
            </w:tcBorders>
            <w:shd w:val="clear" w:color="auto" w:fill="E7E6E6" w:themeFill="background2"/>
            <w:hideMark/>
          </w:tcPr>
          <w:p w14:paraId="2DFDB60C"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4,0</w:t>
            </w:r>
          </w:p>
        </w:tc>
        <w:tc>
          <w:tcPr>
            <w:tcW w:w="578" w:type="pct"/>
            <w:tcBorders>
              <w:top w:val="single" w:sz="4" w:space="0" w:color="002060"/>
            </w:tcBorders>
            <w:shd w:val="clear" w:color="auto" w:fill="E7E6E6" w:themeFill="background2"/>
            <w:noWrap/>
            <w:hideMark/>
          </w:tcPr>
          <w:p w14:paraId="793DB429"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42,5</w:t>
            </w:r>
          </w:p>
        </w:tc>
      </w:tr>
      <w:tr w:rsidR="001A087F" w:rsidRPr="001A087F" w14:paraId="03797BD8" w14:textId="77777777" w:rsidTr="006272DB">
        <w:trPr>
          <w:trHeight w:val="236"/>
          <w:jc w:val="center"/>
        </w:trPr>
        <w:tc>
          <w:tcPr>
            <w:tcW w:w="1335" w:type="pct"/>
            <w:shd w:val="clear" w:color="auto" w:fill="auto"/>
            <w:noWrap/>
            <w:vAlign w:val="center"/>
            <w:hideMark/>
          </w:tcPr>
          <w:p w14:paraId="535DBB50"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Текући приходи</w:t>
            </w:r>
          </w:p>
        </w:tc>
        <w:tc>
          <w:tcPr>
            <w:tcW w:w="584" w:type="pct"/>
            <w:shd w:val="clear" w:color="auto" w:fill="auto"/>
            <w:hideMark/>
          </w:tcPr>
          <w:p w14:paraId="4DE7DD34"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3.259,5</w:t>
            </w:r>
          </w:p>
        </w:tc>
        <w:tc>
          <w:tcPr>
            <w:tcW w:w="585" w:type="pct"/>
          </w:tcPr>
          <w:p w14:paraId="531DF85E"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3.336,1</w:t>
            </w:r>
          </w:p>
        </w:tc>
        <w:tc>
          <w:tcPr>
            <w:tcW w:w="585" w:type="pct"/>
            <w:shd w:val="clear" w:color="auto" w:fill="auto"/>
            <w:noWrap/>
            <w:hideMark/>
          </w:tcPr>
          <w:p w14:paraId="3FCE1E3E"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3.395,9</w:t>
            </w:r>
          </w:p>
        </w:tc>
        <w:tc>
          <w:tcPr>
            <w:tcW w:w="747" w:type="pct"/>
            <w:shd w:val="clear" w:color="auto" w:fill="auto"/>
            <w:hideMark/>
          </w:tcPr>
          <w:p w14:paraId="616B002C"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136,4</w:t>
            </w:r>
          </w:p>
        </w:tc>
        <w:tc>
          <w:tcPr>
            <w:tcW w:w="586" w:type="pct"/>
            <w:shd w:val="clear" w:color="auto" w:fill="auto"/>
            <w:hideMark/>
          </w:tcPr>
          <w:p w14:paraId="60F2750B"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4,2</w:t>
            </w:r>
          </w:p>
        </w:tc>
        <w:tc>
          <w:tcPr>
            <w:tcW w:w="578" w:type="pct"/>
            <w:shd w:val="clear" w:color="auto" w:fill="auto"/>
            <w:noWrap/>
            <w:hideMark/>
          </w:tcPr>
          <w:p w14:paraId="508117C3"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41,9</w:t>
            </w:r>
          </w:p>
        </w:tc>
      </w:tr>
      <w:tr w:rsidR="001A087F" w:rsidRPr="001A087F" w14:paraId="420CF663" w14:textId="77777777" w:rsidTr="006272DB">
        <w:trPr>
          <w:trHeight w:val="236"/>
          <w:jc w:val="center"/>
        </w:trPr>
        <w:tc>
          <w:tcPr>
            <w:tcW w:w="1335" w:type="pct"/>
            <w:shd w:val="clear" w:color="auto" w:fill="auto"/>
            <w:noWrap/>
            <w:vAlign w:val="center"/>
            <w:hideMark/>
          </w:tcPr>
          <w:p w14:paraId="6690C570"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Порески приходи</w:t>
            </w:r>
          </w:p>
        </w:tc>
        <w:tc>
          <w:tcPr>
            <w:tcW w:w="584" w:type="pct"/>
            <w:shd w:val="clear" w:color="auto" w:fill="auto"/>
            <w:hideMark/>
          </w:tcPr>
          <w:p w14:paraId="5AF34DD3"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2.936,1</w:t>
            </w:r>
          </w:p>
        </w:tc>
        <w:tc>
          <w:tcPr>
            <w:tcW w:w="585" w:type="pct"/>
          </w:tcPr>
          <w:p w14:paraId="42FD8652"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3.001,7</w:t>
            </w:r>
          </w:p>
        </w:tc>
        <w:tc>
          <w:tcPr>
            <w:tcW w:w="585" w:type="pct"/>
            <w:shd w:val="clear" w:color="auto" w:fill="auto"/>
            <w:hideMark/>
          </w:tcPr>
          <w:p w14:paraId="1316DC7F"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3.044,3</w:t>
            </w:r>
          </w:p>
        </w:tc>
        <w:tc>
          <w:tcPr>
            <w:tcW w:w="747" w:type="pct"/>
            <w:shd w:val="clear" w:color="auto" w:fill="auto"/>
            <w:hideMark/>
          </w:tcPr>
          <w:p w14:paraId="6F15AC68"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108,2</w:t>
            </w:r>
          </w:p>
        </w:tc>
        <w:tc>
          <w:tcPr>
            <w:tcW w:w="586" w:type="pct"/>
            <w:shd w:val="clear" w:color="auto" w:fill="auto"/>
            <w:hideMark/>
          </w:tcPr>
          <w:p w14:paraId="2D83FB6E"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3,7</w:t>
            </w:r>
          </w:p>
        </w:tc>
        <w:tc>
          <w:tcPr>
            <w:tcW w:w="578" w:type="pct"/>
            <w:shd w:val="clear" w:color="auto" w:fill="auto"/>
            <w:noWrap/>
            <w:hideMark/>
          </w:tcPr>
          <w:p w14:paraId="3B51894C"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37,6</w:t>
            </w:r>
          </w:p>
        </w:tc>
      </w:tr>
      <w:tr w:rsidR="001A087F" w:rsidRPr="001A087F" w14:paraId="551F3B30" w14:textId="77777777" w:rsidTr="006272DB">
        <w:trPr>
          <w:trHeight w:val="236"/>
          <w:jc w:val="center"/>
        </w:trPr>
        <w:tc>
          <w:tcPr>
            <w:tcW w:w="1335" w:type="pct"/>
            <w:shd w:val="clear" w:color="auto" w:fill="auto"/>
            <w:noWrap/>
            <w:vAlign w:val="center"/>
            <w:hideMark/>
          </w:tcPr>
          <w:p w14:paraId="0654FC46"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Порез на доходак грађана</w:t>
            </w:r>
          </w:p>
        </w:tc>
        <w:tc>
          <w:tcPr>
            <w:tcW w:w="584" w:type="pct"/>
            <w:shd w:val="clear" w:color="auto" w:fill="auto"/>
            <w:hideMark/>
          </w:tcPr>
          <w:p w14:paraId="055EC7C6"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325,3</w:t>
            </w:r>
          </w:p>
        </w:tc>
        <w:tc>
          <w:tcPr>
            <w:tcW w:w="585" w:type="pct"/>
          </w:tcPr>
          <w:p w14:paraId="2022AF34"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333,0</w:t>
            </w:r>
          </w:p>
        </w:tc>
        <w:tc>
          <w:tcPr>
            <w:tcW w:w="585" w:type="pct"/>
            <w:shd w:val="clear" w:color="auto" w:fill="auto"/>
            <w:noWrap/>
            <w:hideMark/>
          </w:tcPr>
          <w:p w14:paraId="6DA8212C"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339,4</w:t>
            </w:r>
          </w:p>
        </w:tc>
        <w:tc>
          <w:tcPr>
            <w:tcW w:w="747" w:type="pct"/>
            <w:shd w:val="clear" w:color="auto" w:fill="auto"/>
            <w:hideMark/>
          </w:tcPr>
          <w:p w14:paraId="660D9988"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14,1</w:t>
            </w:r>
          </w:p>
        </w:tc>
        <w:tc>
          <w:tcPr>
            <w:tcW w:w="586" w:type="pct"/>
            <w:shd w:val="clear" w:color="auto" w:fill="auto"/>
            <w:hideMark/>
          </w:tcPr>
          <w:p w14:paraId="32C7DCAF"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4,3</w:t>
            </w:r>
          </w:p>
        </w:tc>
        <w:tc>
          <w:tcPr>
            <w:tcW w:w="578" w:type="pct"/>
            <w:shd w:val="clear" w:color="auto" w:fill="auto"/>
            <w:noWrap/>
            <w:hideMark/>
          </w:tcPr>
          <w:p w14:paraId="3869FD17"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4,2</w:t>
            </w:r>
          </w:p>
        </w:tc>
      </w:tr>
      <w:tr w:rsidR="001A087F" w:rsidRPr="001A087F" w14:paraId="74F738B1" w14:textId="77777777" w:rsidTr="006272DB">
        <w:trPr>
          <w:trHeight w:val="236"/>
          <w:jc w:val="center"/>
        </w:trPr>
        <w:tc>
          <w:tcPr>
            <w:tcW w:w="1335" w:type="pct"/>
            <w:shd w:val="clear" w:color="auto" w:fill="auto"/>
            <w:noWrap/>
            <w:vAlign w:val="center"/>
            <w:hideMark/>
          </w:tcPr>
          <w:p w14:paraId="2A2E867E"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Порез на добит правних лица</w:t>
            </w:r>
          </w:p>
        </w:tc>
        <w:tc>
          <w:tcPr>
            <w:tcW w:w="584" w:type="pct"/>
            <w:shd w:val="clear" w:color="auto" w:fill="auto"/>
            <w:hideMark/>
          </w:tcPr>
          <w:p w14:paraId="55EA5262"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212,2</w:t>
            </w:r>
          </w:p>
        </w:tc>
        <w:tc>
          <w:tcPr>
            <w:tcW w:w="585" w:type="pct"/>
          </w:tcPr>
          <w:p w14:paraId="196765CD"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219,2</w:t>
            </w:r>
          </w:p>
        </w:tc>
        <w:tc>
          <w:tcPr>
            <w:tcW w:w="585" w:type="pct"/>
            <w:shd w:val="clear" w:color="auto" w:fill="auto"/>
            <w:noWrap/>
            <w:hideMark/>
          </w:tcPr>
          <w:p w14:paraId="2EB9280A"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275,0</w:t>
            </w:r>
          </w:p>
        </w:tc>
        <w:tc>
          <w:tcPr>
            <w:tcW w:w="747" w:type="pct"/>
            <w:shd w:val="clear" w:color="auto" w:fill="auto"/>
            <w:hideMark/>
          </w:tcPr>
          <w:p w14:paraId="1041D4D0"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62,8</w:t>
            </w:r>
          </w:p>
        </w:tc>
        <w:tc>
          <w:tcPr>
            <w:tcW w:w="586" w:type="pct"/>
            <w:shd w:val="clear" w:color="auto" w:fill="auto"/>
            <w:hideMark/>
          </w:tcPr>
          <w:p w14:paraId="488DE67C"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29,6</w:t>
            </w:r>
          </w:p>
        </w:tc>
        <w:tc>
          <w:tcPr>
            <w:tcW w:w="578" w:type="pct"/>
            <w:shd w:val="clear" w:color="auto" w:fill="auto"/>
            <w:noWrap/>
            <w:hideMark/>
          </w:tcPr>
          <w:p w14:paraId="06D0025C"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3,4</w:t>
            </w:r>
          </w:p>
        </w:tc>
      </w:tr>
      <w:tr w:rsidR="001A087F" w:rsidRPr="001A087F" w14:paraId="2C79E90D" w14:textId="77777777" w:rsidTr="006272DB">
        <w:trPr>
          <w:trHeight w:val="236"/>
          <w:jc w:val="center"/>
        </w:trPr>
        <w:tc>
          <w:tcPr>
            <w:tcW w:w="1335" w:type="pct"/>
            <w:shd w:val="clear" w:color="auto" w:fill="auto"/>
            <w:noWrap/>
            <w:vAlign w:val="center"/>
            <w:hideMark/>
          </w:tcPr>
          <w:p w14:paraId="4B46E41F"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ПДВ</w:t>
            </w:r>
          </w:p>
        </w:tc>
        <w:tc>
          <w:tcPr>
            <w:tcW w:w="584" w:type="pct"/>
            <w:shd w:val="clear" w:color="auto" w:fill="auto"/>
            <w:hideMark/>
          </w:tcPr>
          <w:p w14:paraId="79AA62FB"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865,0</w:t>
            </w:r>
          </w:p>
        </w:tc>
        <w:tc>
          <w:tcPr>
            <w:tcW w:w="585" w:type="pct"/>
          </w:tcPr>
          <w:p w14:paraId="18A442B4"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865,0</w:t>
            </w:r>
          </w:p>
        </w:tc>
        <w:tc>
          <w:tcPr>
            <w:tcW w:w="585" w:type="pct"/>
            <w:shd w:val="clear" w:color="auto" w:fill="auto"/>
            <w:noWrap/>
            <w:hideMark/>
          </w:tcPr>
          <w:p w14:paraId="709FAF41"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823,7</w:t>
            </w:r>
          </w:p>
        </w:tc>
        <w:tc>
          <w:tcPr>
            <w:tcW w:w="747" w:type="pct"/>
            <w:shd w:val="clear" w:color="auto" w:fill="auto"/>
            <w:hideMark/>
          </w:tcPr>
          <w:p w14:paraId="391355D6"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-41,3</w:t>
            </w:r>
          </w:p>
        </w:tc>
        <w:tc>
          <w:tcPr>
            <w:tcW w:w="586" w:type="pct"/>
            <w:shd w:val="clear" w:color="auto" w:fill="auto"/>
            <w:hideMark/>
          </w:tcPr>
          <w:p w14:paraId="35D0CB15"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-4,8</w:t>
            </w:r>
          </w:p>
        </w:tc>
        <w:tc>
          <w:tcPr>
            <w:tcW w:w="578" w:type="pct"/>
            <w:shd w:val="clear" w:color="auto" w:fill="auto"/>
            <w:noWrap/>
            <w:hideMark/>
          </w:tcPr>
          <w:p w14:paraId="260BC464"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10,2</w:t>
            </w:r>
          </w:p>
        </w:tc>
      </w:tr>
      <w:tr w:rsidR="001A087F" w:rsidRPr="001A087F" w14:paraId="0CF08EB3" w14:textId="77777777" w:rsidTr="006272DB">
        <w:trPr>
          <w:trHeight w:val="236"/>
          <w:jc w:val="center"/>
        </w:trPr>
        <w:tc>
          <w:tcPr>
            <w:tcW w:w="1335" w:type="pct"/>
            <w:shd w:val="clear" w:color="auto" w:fill="auto"/>
            <w:noWrap/>
            <w:vAlign w:val="center"/>
            <w:hideMark/>
          </w:tcPr>
          <w:p w14:paraId="5BEE5E74"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Акцизе</w:t>
            </w:r>
          </w:p>
        </w:tc>
        <w:tc>
          <w:tcPr>
            <w:tcW w:w="584" w:type="pct"/>
            <w:shd w:val="clear" w:color="auto" w:fill="auto"/>
            <w:hideMark/>
          </w:tcPr>
          <w:p w14:paraId="62AA73F6"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332,1</w:t>
            </w:r>
          </w:p>
        </w:tc>
        <w:tc>
          <w:tcPr>
            <w:tcW w:w="585" w:type="pct"/>
          </w:tcPr>
          <w:p w14:paraId="402F8CD1"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348,1</w:t>
            </w:r>
          </w:p>
        </w:tc>
        <w:tc>
          <w:tcPr>
            <w:tcW w:w="585" w:type="pct"/>
            <w:shd w:val="clear" w:color="auto" w:fill="auto"/>
            <w:noWrap/>
            <w:hideMark/>
          </w:tcPr>
          <w:p w14:paraId="7B3A0FB4"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362,0</w:t>
            </w:r>
          </w:p>
        </w:tc>
        <w:tc>
          <w:tcPr>
            <w:tcW w:w="747" w:type="pct"/>
            <w:shd w:val="clear" w:color="auto" w:fill="auto"/>
            <w:hideMark/>
          </w:tcPr>
          <w:p w14:paraId="7D796E2A"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29,9</w:t>
            </w:r>
          </w:p>
        </w:tc>
        <w:tc>
          <w:tcPr>
            <w:tcW w:w="586" w:type="pct"/>
            <w:shd w:val="clear" w:color="auto" w:fill="auto"/>
            <w:hideMark/>
          </w:tcPr>
          <w:p w14:paraId="3684322D"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9,0</w:t>
            </w:r>
          </w:p>
        </w:tc>
        <w:tc>
          <w:tcPr>
            <w:tcW w:w="578" w:type="pct"/>
            <w:shd w:val="clear" w:color="auto" w:fill="auto"/>
            <w:noWrap/>
            <w:hideMark/>
          </w:tcPr>
          <w:p w14:paraId="0885B800"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4,5</w:t>
            </w:r>
          </w:p>
        </w:tc>
      </w:tr>
      <w:tr w:rsidR="001A087F" w:rsidRPr="001A087F" w14:paraId="62060575" w14:textId="77777777" w:rsidTr="006272DB">
        <w:trPr>
          <w:trHeight w:val="236"/>
          <w:jc w:val="center"/>
        </w:trPr>
        <w:tc>
          <w:tcPr>
            <w:tcW w:w="1335" w:type="pct"/>
            <w:shd w:val="clear" w:color="auto" w:fill="auto"/>
            <w:noWrap/>
            <w:vAlign w:val="center"/>
            <w:hideMark/>
          </w:tcPr>
          <w:p w14:paraId="039F336F"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Царине</w:t>
            </w:r>
          </w:p>
        </w:tc>
        <w:tc>
          <w:tcPr>
            <w:tcW w:w="584" w:type="pct"/>
            <w:shd w:val="clear" w:color="auto" w:fill="auto"/>
            <w:hideMark/>
          </w:tcPr>
          <w:p w14:paraId="0D84EAF7"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86,0</w:t>
            </w:r>
          </w:p>
        </w:tc>
        <w:tc>
          <w:tcPr>
            <w:tcW w:w="585" w:type="pct"/>
          </w:tcPr>
          <w:p w14:paraId="3F36BDB4"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82,6</w:t>
            </w:r>
          </w:p>
        </w:tc>
        <w:tc>
          <w:tcPr>
            <w:tcW w:w="585" w:type="pct"/>
            <w:shd w:val="clear" w:color="auto" w:fill="auto"/>
            <w:noWrap/>
            <w:hideMark/>
          </w:tcPr>
          <w:p w14:paraId="3218702B"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83,0</w:t>
            </w:r>
          </w:p>
        </w:tc>
        <w:tc>
          <w:tcPr>
            <w:tcW w:w="747" w:type="pct"/>
            <w:shd w:val="clear" w:color="auto" w:fill="auto"/>
            <w:hideMark/>
          </w:tcPr>
          <w:p w14:paraId="6E93E9ED"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-3,0</w:t>
            </w:r>
          </w:p>
        </w:tc>
        <w:tc>
          <w:tcPr>
            <w:tcW w:w="586" w:type="pct"/>
            <w:shd w:val="clear" w:color="auto" w:fill="auto"/>
            <w:hideMark/>
          </w:tcPr>
          <w:p w14:paraId="3B820DCD"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-3,5</w:t>
            </w:r>
          </w:p>
        </w:tc>
        <w:tc>
          <w:tcPr>
            <w:tcW w:w="578" w:type="pct"/>
            <w:shd w:val="clear" w:color="auto" w:fill="auto"/>
            <w:noWrap/>
            <w:hideMark/>
          </w:tcPr>
          <w:p w14:paraId="0758501C"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1,0</w:t>
            </w:r>
          </w:p>
        </w:tc>
      </w:tr>
      <w:tr w:rsidR="001A087F" w:rsidRPr="001A087F" w14:paraId="3055B93E" w14:textId="77777777" w:rsidTr="006272DB">
        <w:trPr>
          <w:trHeight w:val="236"/>
          <w:jc w:val="center"/>
        </w:trPr>
        <w:tc>
          <w:tcPr>
            <w:tcW w:w="1335" w:type="pct"/>
            <w:shd w:val="clear" w:color="auto" w:fill="auto"/>
            <w:noWrap/>
            <w:vAlign w:val="center"/>
            <w:hideMark/>
          </w:tcPr>
          <w:p w14:paraId="1C0C37B1"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Остали порески приходи</w:t>
            </w:r>
          </w:p>
        </w:tc>
        <w:tc>
          <w:tcPr>
            <w:tcW w:w="584" w:type="pct"/>
            <w:shd w:val="clear" w:color="auto" w:fill="auto"/>
            <w:hideMark/>
          </w:tcPr>
          <w:p w14:paraId="1BC14124"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106,8</w:t>
            </w:r>
          </w:p>
        </w:tc>
        <w:tc>
          <w:tcPr>
            <w:tcW w:w="585" w:type="pct"/>
          </w:tcPr>
          <w:p w14:paraId="5FECD2A0"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107,3</w:t>
            </w:r>
          </w:p>
        </w:tc>
        <w:tc>
          <w:tcPr>
            <w:tcW w:w="585" w:type="pct"/>
            <w:shd w:val="clear" w:color="auto" w:fill="auto"/>
            <w:noWrap/>
            <w:hideMark/>
          </w:tcPr>
          <w:p w14:paraId="1B592815"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107,6</w:t>
            </w:r>
          </w:p>
        </w:tc>
        <w:tc>
          <w:tcPr>
            <w:tcW w:w="747" w:type="pct"/>
            <w:shd w:val="clear" w:color="auto" w:fill="auto"/>
            <w:hideMark/>
          </w:tcPr>
          <w:p w14:paraId="46636CF1"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0,8</w:t>
            </w:r>
          </w:p>
        </w:tc>
        <w:tc>
          <w:tcPr>
            <w:tcW w:w="586" w:type="pct"/>
            <w:shd w:val="clear" w:color="auto" w:fill="auto"/>
            <w:hideMark/>
          </w:tcPr>
          <w:p w14:paraId="6F57460B"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0,8</w:t>
            </w:r>
          </w:p>
        </w:tc>
        <w:tc>
          <w:tcPr>
            <w:tcW w:w="578" w:type="pct"/>
            <w:shd w:val="clear" w:color="auto" w:fill="auto"/>
            <w:noWrap/>
            <w:hideMark/>
          </w:tcPr>
          <w:p w14:paraId="022714CD"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1,3</w:t>
            </w:r>
          </w:p>
        </w:tc>
      </w:tr>
      <w:tr w:rsidR="001A087F" w:rsidRPr="001A087F" w14:paraId="266109F8" w14:textId="77777777" w:rsidTr="006272DB">
        <w:trPr>
          <w:trHeight w:val="236"/>
          <w:jc w:val="center"/>
        </w:trPr>
        <w:tc>
          <w:tcPr>
            <w:tcW w:w="1335" w:type="pct"/>
            <w:shd w:val="clear" w:color="auto" w:fill="auto"/>
            <w:noWrap/>
            <w:vAlign w:val="center"/>
            <w:hideMark/>
          </w:tcPr>
          <w:p w14:paraId="63B03EEA"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Доприноси</w:t>
            </w:r>
          </w:p>
        </w:tc>
        <w:tc>
          <w:tcPr>
            <w:tcW w:w="584" w:type="pct"/>
            <w:shd w:val="clear" w:color="auto" w:fill="auto"/>
            <w:hideMark/>
          </w:tcPr>
          <w:p w14:paraId="7B6A7B1C"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1.008,7</w:t>
            </w:r>
          </w:p>
        </w:tc>
        <w:tc>
          <w:tcPr>
            <w:tcW w:w="585" w:type="pct"/>
          </w:tcPr>
          <w:p w14:paraId="3F01D4C9"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1.046,5</w:t>
            </w:r>
          </w:p>
        </w:tc>
        <w:tc>
          <w:tcPr>
            <w:tcW w:w="585" w:type="pct"/>
            <w:shd w:val="clear" w:color="auto" w:fill="auto"/>
            <w:noWrap/>
            <w:hideMark/>
          </w:tcPr>
          <w:p w14:paraId="444D0759"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1.053,6</w:t>
            </w:r>
          </w:p>
        </w:tc>
        <w:tc>
          <w:tcPr>
            <w:tcW w:w="747" w:type="pct"/>
            <w:shd w:val="clear" w:color="auto" w:fill="auto"/>
            <w:hideMark/>
          </w:tcPr>
          <w:p w14:paraId="5A1FC37D"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44,9</w:t>
            </w:r>
          </w:p>
        </w:tc>
        <w:tc>
          <w:tcPr>
            <w:tcW w:w="586" w:type="pct"/>
            <w:shd w:val="clear" w:color="auto" w:fill="auto"/>
            <w:hideMark/>
          </w:tcPr>
          <w:p w14:paraId="0F9B6A4E"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4,4</w:t>
            </w:r>
          </w:p>
        </w:tc>
        <w:tc>
          <w:tcPr>
            <w:tcW w:w="578" w:type="pct"/>
            <w:shd w:val="clear" w:color="auto" w:fill="auto"/>
            <w:noWrap/>
            <w:hideMark/>
          </w:tcPr>
          <w:p w14:paraId="5849E848"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13,0</w:t>
            </w:r>
          </w:p>
        </w:tc>
      </w:tr>
      <w:tr w:rsidR="001A087F" w:rsidRPr="001A087F" w14:paraId="1E52A9D6" w14:textId="77777777" w:rsidTr="006272DB">
        <w:trPr>
          <w:trHeight w:val="236"/>
          <w:jc w:val="center"/>
        </w:trPr>
        <w:tc>
          <w:tcPr>
            <w:tcW w:w="1335" w:type="pct"/>
            <w:shd w:val="clear" w:color="auto" w:fill="auto"/>
            <w:noWrap/>
            <w:vAlign w:val="center"/>
            <w:hideMark/>
          </w:tcPr>
          <w:p w14:paraId="73C83393"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Непорески приходи</w:t>
            </w:r>
          </w:p>
        </w:tc>
        <w:tc>
          <w:tcPr>
            <w:tcW w:w="584" w:type="pct"/>
            <w:shd w:val="clear" w:color="auto" w:fill="auto"/>
            <w:hideMark/>
          </w:tcPr>
          <w:p w14:paraId="626F8F5A"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323,3</w:t>
            </w:r>
          </w:p>
        </w:tc>
        <w:tc>
          <w:tcPr>
            <w:tcW w:w="585" w:type="pct"/>
          </w:tcPr>
          <w:p w14:paraId="6CDB60C2"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334,3</w:t>
            </w:r>
          </w:p>
        </w:tc>
        <w:tc>
          <w:tcPr>
            <w:tcW w:w="585" w:type="pct"/>
            <w:shd w:val="clear" w:color="auto" w:fill="auto"/>
            <w:noWrap/>
            <w:hideMark/>
          </w:tcPr>
          <w:p w14:paraId="371BF65A"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351,5</w:t>
            </w:r>
          </w:p>
        </w:tc>
        <w:tc>
          <w:tcPr>
            <w:tcW w:w="747" w:type="pct"/>
            <w:shd w:val="clear" w:color="auto" w:fill="auto"/>
            <w:hideMark/>
          </w:tcPr>
          <w:p w14:paraId="46C6A88C"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28,2</w:t>
            </w:r>
          </w:p>
        </w:tc>
        <w:tc>
          <w:tcPr>
            <w:tcW w:w="586" w:type="pct"/>
            <w:shd w:val="clear" w:color="auto" w:fill="auto"/>
            <w:hideMark/>
          </w:tcPr>
          <w:p w14:paraId="4E3CD222"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8,7</w:t>
            </w:r>
          </w:p>
        </w:tc>
        <w:tc>
          <w:tcPr>
            <w:tcW w:w="578" w:type="pct"/>
            <w:shd w:val="clear" w:color="auto" w:fill="auto"/>
            <w:noWrap/>
            <w:hideMark/>
          </w:tcPr>
          <w:p w14:paraId="0E5642F0"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4,3</w:t>
            </w:r>
          </w:p>
        </w:tc>
      </w:tr>
      <w:tr w:rsidR="001A087F" w:rsidRPr="001A087F" w14:paraId="2117B377" w14:textId="77777777" w:rsidTr="006272DB">
        <w:trPr>
          <w:trHeight w:val="236"/>
          <w:jc w:val="center"/>
        </w:trPr>
        <w:tc>
          <w:tcPr>
            <w:tcW w:w="1335" w:type="pct"/>
            <w:shd w:val="clear" w:color="auto" w:fill="auto"/>
            <w:noWrap/>
            <w:vAlign w:val="center"/>
            <w:hideMark/>
          </w:tcPr>
          <w:p w14:paraId="644A3681"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Донације</w:t>
            </w:r>
          </w:p>
        </w:tc>
        <w:tc>
          <w:tcPr>
            <w:tcW w:w="584" w:type="pct"/>
            <w:shd w:val="clear" w:color="auto" w:fill="auto"/>
            <w:hideMark/>
          </w:tcPr>
          <w:p w14:paraId="0E19E2CF"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53,5</w:t>
            </w:r>
          </w:p>
        </w:tc>
        <w:tc>
          <w:tcPr>
            <w:tcW w:w="585" w:type="pct"/>
          </w:tcPr>
          <w:p w14:paraId="121EE0EA"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53,5</w:t>
            </w:r>
          </w:p>
        </w:tc>
        <w:tc>
          <w:tcPr>
            <w:tcW w:w="585" w:type="pct"/>
            <w:shd w:val="clear" w:color="auto" w:fill="auto"/>
            <w:noWrap/>
            <w:hideMark/>
          </w:tcPr>
          <w:p w14:paraId="45A72FF3"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49,6</w:t>
            </w:r>
          </w:p>
        </w:tc>
        <w:tc>
          <w:tcPr>
            <w:tcW w:w="747" w:type="pct"/>
            <w:shd w:val="clear" w:color="auto" w:fill="auto"/>
            <w:hideMark/>
          </w:tcPr>
          <w:p w14:paraId="39E746EF"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-3,9</w:t>
            </w:r>
          </w:p>
        </w:tc>
        <w:tc>
          <w:tcPr>
            <w:tcW w:w="586" w:type="pct"/>
            <w:shd w:val="clear" w:color="auto" w:fill="auto"/>
            <w:hideMark/>
          </w:tcPr>
          <w:p w14:paraId="78990780"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-7,2</w:t>
            </w:r>
          </w:p>
        </w:tc>
        <w:tc>
          <w:tcPr>
            <w:tcW w:w="578" w:type="pct"/>
            <w:shd w:val="clear" w:color="auto" w:fill="auto"/>
            <w:noWrap/>
            <w:hideMark/>
          </w:tcPr>
          <w:p w14:paraId="21C1C10C"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0,6</w:t>
            </w:r>
          </w:p>
        </w:tc>
      </w:tr>
      <w:tr w:rsidR="001A087F" w:rsidRPr="001A087F" w14:paraId="58360DF4" w14:textId="77777777" w:rsidTr="006272DB">
        <w:trPr>
          <w:trHeight w:val="236"/>
          <w:jc w:val="center"/>
        </w:trPr>
        <w:tc>
          <w:tcPr>
            <w:tcW w:w="1335" w:type="pct"/>
            <w:shd w:val="clear" w:color="auto" w:fill="E7E6E6" w:themeFill="background2"/>
            <w:noWrap/>
            <w:vAlign w:val="center"/>
            <w:hideMark/>
          </w:tcPr>
          <w:p w14:paraId="254CA85C" w14:textId="77777777" w:rsidR="00252AA2" w:rsidRPr="001A087F" w:rsidRDefault="00252AA2" w:rsidP="006272DB">
            <w:pPr>
              <w:spacing w:after="0" w:line="240" w:lineRule="auto"/>
              <w:jc w:val="left"/>
              <w:rPr>
                <w:rFonts w:cstheme="minorHAnsi"/>
                <w:color w:val="002060"/>
                <w:sz w:val="16"/>
                <w:szCs w:val="16"/>
                <w:lang w:val="sr-Cyrl-RS"/>
              </w:rPr>
            </w:pPr>
            <w:r w:rsidRPr="001A087F">
              <w:rPr>
                <w:rFonts w:eastAsia="MS PGothic" w:cstheme="minorHAnsi"/>
                <w:color w:val="002060"/>
                <w:sz w:val="16"/>
                <w:szCs w:val="16"/>
                <w:lang w:val="sr-Cyrl-RS" w:eastAsia="ja-JP"/>
              </w:rPr>
              <w:t>ЈАВНИ РАСХОДИ</w:t>
            </w:r>
          </w:p>
        </w:tc>
        <w:tc>
          <w:tcPr>
            <w:tcW w:w="584" w:type="pct"/>
            <w:shd w:val="clear" w:color="auto" w:fill="E7E6E6" w:themeFill="background2"/>
            <w:hideMark/>
          </w:tcPr>
          <w:p w14:paraId="08E399E2"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3.577,0</w:t>
            </w:r>
          </w:p>
        </w:tc>
        <w:tc>
          <w:tcPr>
            <w:tcW w:w="585" w:type="pct"/>
            <w:shd w:val="clear" w:color="auto" w:fill="E7E6E6" w:themeFill="background2"/>
          </w:tcPr>
          <w:p w14:paraId="1E931905"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3.634,5</w:t>
            </w:r>
          </w:p>
        </w:tc>
        <w:tc>
          <w:tcPr>
            <w:tcW w:w="585" w:type="pct"/>
            <w:shd w:val="clear" w:color="auto" w:fill="E7E6E6" w:themeFill="background2"/>
            <w:noWrap/>
            <w:hideMark/>
          </w:tcPr>
          <w:p w14:paraId="0C3384D9"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3.673,0</w:t>
            </w:r>
          </w:p>
        </w:tc>
        <w:tc>
          <w:tcPr>
            <w:tcW w:w="747" w:type="pct"/>
            <w:shd w:val="clear" w:color="auto" w:fill="E7E6E6" w:themeFill="background2"/>
            <w:hideMark/>
          </w:tcPr>
          <w:p w14:paraId="2F7C3CDE"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96,0</w:t>
            </w:r>
          </w:p>
        </w:tc>
        <w:tc>
          <w:tcPr>
            <w:tcW w:w="586" w:type="pct"/>
            <w:shd w:val="clear" w:color="auto" w:fill="E7E6E6" w:themeFill="background2"/>
            <w:hideMark/>
          </w:tcPr>
          <w:p w14:paraId="4C37E7CA"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2,7</w:t>
            </w:r>
          </w:p>
        </w:tc>
        <w:tc>
          <w:tcPr>
            <w:tcW w:w="578" w:type="pct"/>
            <w:shd w:val="clear" w:color="auto" w:fill="E7E6E6" w:themeFill="background2"/>
            <w:noWrap/>
            <w:hideMark/>
          </w:tcPr>
          <w:p w14:paraId="17C413BE"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45,3</w:t>
            </w:r>
          </w:p>
        </w:tc>
      </w:tr>
      <w:tr w:rsidR="001A087F" w:rsidRPr="001A087F" w14:paraId="4872EB16" w14:textId="77777777" w:rsidTr="006272DB">
        <w:trPr>
          <w:trHeight w:val="236"/>
          <w:jc w:val="center"/>
        </w:trPr>
        <w:tc>
          <w:tcPr>
            <w:tcW w:w="1335" w:type="pct"/>
            <w:shd w:val="clear" w:color="auto" w:fill="auto"/>
            <w:noWrap/>
            <w:vAlign w:val="center"/>
            <w:hideMark/>
          </w:tcPr>
          <w:p w14:paraId="2CC230BE"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Текући расходи</w:t>
            </w:r>
          </w:p>
        </w:tc>
        <w:tc>
          <w:tcPr>
            <w:tcW w:w="584" w:type="pct"/>
            <w:shd w:val="clear" w:color="auto" w:fill="auto"/>
            <w:hideMark/>
          </w:tcPr>
          <w:p w14:paraId="30D4C077"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2.872,7</w:t>
            </w:r>
          </w:p>
        </w:tc>
        <w:tc>
          <w:tcPr>
            <w:tcW w:w="585" w:type="pct"/>
          </w:tcPr>
          <w:p w14:paraId="6CE86E18"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2.903,4</w:t>
            </w:r>
          </w:p>
        </w:tc>
        <w:tc>
          <w:tcPr>
            <w:tcW w:w="585" w:type="pct"/>
            <w:shd w:val="clear" w:color="auto" w:fill="auto"/>
            <w:noWrap/>
            <w:hideMark/>
          </w:tcPr>
          <w:p w14:paraId="2BD478E5"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3.002,9</w:t>
            </w:r>
          </w:p>
        </w:tc>
        <w:tc>
          <w:tcPr>
            <w:tcW w:w="747" w:type="pct"/>
            <w:shd w:val="clear" w:color="auto" w:fill="auto"/>
            <w:hideMark/>
          </w:tcPr>
          <w:p w14:paraId="112EAB82"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130,2</w:t>
            </w:r>
          </w:p>
        </w:tc>
        <w:tc>
          <w:tcPr>
            <w:tcW w:w="586" w:type="pct"/>
            <w:shd w:val="clear" w:color="auto" w:fill="auto"/>
            <w:hideMark/>
          </w:tcPr>
          <w:p w14:paraId="46764430"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4,5</w:t>
            </w:r>
          </w:p>
        </w:tc>
        <w:tc>
          <w:tcPr>
            <w:tcW w:w="578" w:type="pct"/>
            <w:shd w:val="clear" w:color="auto" w:fill="auto"/>
            <w:noWrap/>
            <w:hideMark/>
          </w:tcPr>
          <w:p w14:paraId="4222B47D"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37,1</w:t>
            </w:r>
          </w:p>
        </w:tc>
      </w:tr>
      <w:tr w:rsidR="001A087F" w:rsidRPr="001A087F" w14:paraId="599847C6" w14:textId="77777777" w:rsidTr="006272DB">
        <w:trPr>
          <w:trHeight w:val="236"/>
          <w:jc w:val="center"/>
        </w:trPr>
        <w:tc>
          <w:tcPr>
            <w:tcW w:w="1335" w:type="pct"/>
            <w:shd w:val="clear" w:color="auto" w:fill="auto"/>
            <w:noWrap/>
            <w:vAlign w:val="center"/>
            <w:hideMark/>
          </w:tcPr>
          <w:p w14:paraId="7BB1965C"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Расходи за запослене</w:t>
            </w:r>
          </w:p>
        </w:tc>
        <w:tc>
          <w:tcPr>
            <w:tcW w:w="584" w:type="pct"/>
            <w:shd w:val="clear" w:color="auto" w:fill="auto"/>
            <w:hideMark/>
          </w:tcPr>
          <w:p w14:paraId="66E252C9"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779,4</w:t>
            </w:r>
          </w:p>
        </w:tc>
        <w:tc>
          <w:tcPr>
            <w:tcW w:w="585" w:type="pct"/>
          </w:tcPr>
          <w:p w14:paraId="138EE388"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779,4</w:t>
            </w:r>
          </w:p>
        </w:tc>
        <w:tc>
          <w:tcPr>
            <w:tcW w:w="585" w:type="pct"/>
            <w:shd w:val="clear" w:color="auto" w:fill="auto"/>
            <w:noWrap/>
            <w:hideMark/>
          </w:tcPr>
          <w:p w14:paraId="6BBB8B35"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785,0</w:t>
            </w:r>
          </w:p>
        </w:tc>
        <w:tc>
          <w:tcPr>
            <w:tcW w:w="747" w:type="pct"/>
            <w:shd w:val="clear" w:color="auto" w:fill="auto"/>
            <w:hideMark/>
          </w:tcPr>
          <w:p w14:paraId="14D84FF1"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5,6</w:t>
            </w:r>
          </w:p>
        </w:tc>
        <w:tc>
          <w:tcPr>
            <w:tcW w:w="586" w:type="pct"/>
            <w:shd w:val="clear" w:color="auto" w:fill="auto"/>
            <w:hideMark/>
          </w:tcPr>
          <w:p w14:paraId="497F8261"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0,7</w:t>
            </w:r>
          </w:p>
        </w:tc>
        <w:tc>
          <w:tcPr>
            <w:tcW w:w="578" w:type="pct"/>
            <w:shd w:val="clear" w:color="auto" w:fill="auto"/>
            <w:noWrap/>
            <w:hideMark/>
          </w:tcPr>
          <w:p w14:paraId="3BB99510"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9,7</w:t>
            </w:r>
          </w:p>
        </w:tc>
      </w:tr>
      <w:tr w:rsidR="001A087F" w:rsidRPr="001A087F" w14:paraId="13017093" w14:textId="77777777" w:rsidTr="006272DB">
        <w:trPr>
          <w:trHeight w:val="236"/>
          <w:jc w:val="center"/>
        </w:trPr>
        <w:tc>
          <w:tcPr>
            <w:tcW w:w="1335" w:type="pct"/>
            <w:shd w:val="clear" w:color="auto" w:fill="auto"/>
            <w:noWrap/>
            <w:vAlign w:val="center"/>
            <w:hideMark/>
          </w:tcPr>
          <w:p w14:paraId="42066347"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Куповина робе и услуга</w:t>
            </w:r>
          </w:p>
        </w:tc>
        <w:tc>
          <w:tcPr>
            <w:tcW w:w="584" w:type="pct"/>
            <w:shd w:val="clear" w:color="auto" w:fill="auto"/>
            <w:hideMark/>
          </w:tcPr>
          <w:p w14:paraId="0A1B674C"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591,2</w:t>
            </w:r>
          </w:p>
        </w:tc>
        <w:tc>
          <w:tcPr>
            <w:tcW w:w="585" w:type="pct"/>
          </w:tcPr>
          <w:p w14:paraId="5856938B"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605,3</w:t>
            </w:r>
          </w:p>
        </w:tc>
        <w:tc>
          <w:tcPr>
            <w:tcW w:w="585" w:type="pct"/>
            <w:shd w:val="clear" w:color="auto" w:fill="auto"/>
            <w:noWrap/>
            <w:hideMark/>
          </w:tcPr>
          <w:p w14:paraId="0C671989"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627,0</w:t>
            </w:r>
          </w:p>
        </w:tc>
        <w:tc>
          <w:tcPr>
            <w:tcW w:w="747" w:type="pct"/>
            <w:shd w:val="clear" w:color="auto" w:fill="auto"/>
            <w:hideMark/>
          </w:tcPr>
          <w:p w14:paraId="6A4B4EAB"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35,8</w:t>
            </w:r>
          </w:p>
        </w:tc>
        <w:tc>
          <w:tcPr>
            <w:tcW w:w="586" w:type="pct"/>
            <w:shd w:val="clear" w:color="auto" w:fill="auto"/>
            <w:hideMark/>
          </w:tcPr>
          <w:p w14:paraId="6615F546"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6,1</w:t>
            </w:r>
          </w:p>
        </w:tc>
        <w:tc>
          <w:tcPr>
            <w:tcW w:w="578" w:type="pct"/>
            <w:shd w:val="clear" w:color="auto" w:fill="auto"/>
            <w:noWrap/>
            <w:hideMark/>
          </w:tcPr>
          <w:p w14:paraId="736F61A2"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7,7</w:t>
            </w:r>
          </w:p>
        </w:tc>
      </w:tr>
      <w:tr w:rsidR="001A087F" w:rsidRPr="001A087F" w14:paraId="50FEEAB7" w14:textId="77777777" w:rsidTr="006272DB">
        <w:trPr>
          <w:trHeight w:val="236"/>
          <w:jc w:val="center"/>
        </w:trPr>
        <w:tc>
          <w:tcPr>
            <w:tcW w:w="1335" w:type="pct"/>
            <w:shd w:val="clear" w:color="auto" w:fill="auto"/>
            <w:noWrap/>
            <w:vAlign w:val="center"/>
            <w:hideMark/>
          </w:tcPr>
          <w:p w14:paraId="39488075"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Отплата камата</w:t>
            </w:r>
          </w:p>
        </w:tc>
        <w:tc>
          <w:tcPr>
            <w:tcW w:w="584" w:type="pct"/>
            <w:shd w:val="clear" w:color="auto" w:fill="auto"/>
            <w:hideMark/>
          </w:tcPr>
          <w:p w14:paraId="2D74E62A"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146,1</w:t>
            </w:r>
          </w:p>
        </w:tc>
        <w:tc>
          <w:tcPr>
            <w:tcW w:w="585" w:type="pct"/>
          </w:tcPr>
          <w:p w14:paraId="78AEB50B"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146,1</w:t>
            </w:r>
          </w:p>
        </w:tc>
        <w:tc>
          <w:tcPr>
            <w:tcW w:w="585" w:type="pct"/>
            <w:shd w:val="clear" w:color="auto" w:fill="auto"/>
            <w:noWrap/>
            <w:hideMark/>
          </w:tcPr>
          <w:p w14:paraId="61645464"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151,1</w:t>
            </w:r>
          </w:p>
        </w:tc>
        <w:tc>
          <w:tcPr>
            <w:tcW w:w="747" w:type="pct"/>
            <w:shd w:val="clear" w:color="auto" w:fill="auto"/>
            <w:hideMark/>
          </w:tcPr>
          <w:p w14:paraId="610661A9"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5,0</w:t>
            </w:r>
          </w:p>
        </w:tc>
        <w:tc>
          <w:tcPr>
            <w:tcW w:w="586" w:type="pct"/>
            <w:shd w:val="clear" w:color="auto" w:fill="auto"/>
            <w:hideMark/>
          </w:tcPr>
          <w:p w14:paraId="4CDD685C"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3,4</w:t>
            </w:r>
          </w:p>
        </w:tc>
        <w:tc>
          <w:tcPr>
            <w:tcW w:w="578" w:type="pct"/>
            <w:shd w:val="clear" w:color="auto" w:fill="auto"/>
            <w:noWrap/>
            <w:hideMark/>
          </w:tcPr>
          <w:p w14:paraId="64F974B3"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1,9</w:t>
            </w:r>
          </w:p>
        </w:tc>
      </w:tr>
      <w:tr w:rsidR="001A087F" w:rsidRPr="001A087F" w14:paraId="32E7204B" w14:textId="77777777" w:rsidTr="006272DB">
        <w:trPr>
          <w:trHeight w:val="236"/>
          <w:jc w:val="center"/>
        </w:trPr>
        <w:tc>
          <w:tcPr>
            <w:tcW w:w="1335" w:type="pct"/>
            <w:shd w:val="clear" w:color="auto" w:fill="auto"/>
            <w:noWrap/>
            <w:vAlign w:val="center"/>
            <w:hideMark/>
          </w:tcPr>
          <w:p w14:paraId="5E7F59B4"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Субвенције</w:t>
            </w:r>
          </w:p>
        </w:tc>
        <w:tc>
          <w:tcPr>
            <w:tcW w:w="584" w:type="pct"/>
            <w:shd w:val="clear" w:color="auto" w:fill="auto"/>
            <w:hideMark/>
          </w:tcPr>
          <w:p w14:paraId="56A12575"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220,1</w:t>
            </w:r>
          </w:p>
        </w:tc>
        <w:tc>
          <w:tcPr>
            <w:tcW w:w="585" w:type="pct"/>
          </w:tcPr>
          <w:p w14:paraId="7F26D5E3"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234,6</w:t>
            </w:r>
          </w:p>
        </w:tc>
        <w:tc>
          <w:tcPr>
            <w:tcW w:w="585" w:type="pct"/>
            <w:shd w:val="clear" w:color="auto" w:fill="auto"/>
            <w:noWrap/>
            <w:hideMark/>
          </w:tcPr>
          <w:p w14:paraId="0FE8643F"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221,9</w:t>
            </w:r>
          </w:p>
        </w:tc>
        <w:tc>
          <w:tcPr>
            <w:tcW w:w="747" w:type="pct"/>
            <w:shd w:val="clear" w:color="auto" w:fill="auto"/>
            <w:hideMark/>
          </w:tcPr>
          <w:p w14:paraId="615A8540"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1,9</w:t>
            </w:r>
          </w:p>
        </w:tc>
        <w:tc>
          <w:tcPr>
            <w:tcW w:w="586" w:type="pct"/>
            <w:shd w:val="clear" w:color="auto" w:fill="auto"/>
            <w:hideMark/>
          </w:tcPr>
          <w:p w14:paraId="68B6C336"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0,9</w:t>
            </w:r>
          </w:p>
        </w:tc>
        <w:tc>
          <w:tcPr>
            <w:tcW w:w="578" w:type="pct"/>
            <w:shd w:val="clear" w:color="auto" w:fill="auto"/>
            <w:noWrap/>
            <w:hideMark/>
          </w:tcPr>
          <w:p w14:paraId="466BDC16"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2,7</w:t>
            </w:r>
          </w:p>
        </w:tc>
      </w:tr>
      <w:tr w:rsidR="001A087F" w:rsidRPr="001A087F" w14:paraId="4B22A99A" w14:textId="77777777" w:rsidTr="006272DB">
        <w:trPr>
          <w:trHeight w:val="236"/>
          <w:jc w:val="center"/>
        </w:trPr>
        <w:tc>
          <w:tcPr>
            <w:tcW w:w="1335" w:type="pct"/>
            <w:shd w:val="clear" w:color="auto" w:fill="auto"/>
            <w:noWrap/>
            <w:vAlign w:val="center"/>
            <w:hideMark/>
          </w:tcPr>
          <w:p w14:paraId="67CEB117"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Социјална помоћ и трансфери</w:t>
            </w:r>
          </w:p>
        </w:tc>
        <w:tc>
          <w:tcPr>
            <w:tcW w:w="584" w:type="pct"/>
            <w:shd w:val="clear" w:color="auto" w:fill="auto"/>
            <w:hideMark/>
          </w:tcPr>
          <w:p w14:paraId="7F6CA302"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1.038,2</w:t>
            </w:r>
          </w:p>
        </w:tc>
        <w:tc>
          <w:tcPr>
            <w:tcW w:w="585" w:type="pct"/>
          </w:tcPr>
          <w:p w14:paraId="05B673E6"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1.040,3</w:t>
            </w:r>
          </w:p>
        </w:tc>
        <w:tc>
          <w:tcPr>
            <w:tcW w:w="585" w:type="pct"/>
            <w:shd w:val="clear" w:color="auto" w:fill="auto"/>
            <w:noWrap/>
            <w:hideMark/>
          </w:tcPr>
          <w:p w14:paraId="4388EEE2"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1.093,5</w:t>
            </w:r>
          </w:p>
        </w:tc>
        <w:tc>
          <w:tcPr>
            <w:tcW w:w="747" w:type="pct"/>
            <w:shd w:val="clear" w:color="auto" w:fill="auto"/>
            <w:hideMark/>
          </w:tcPr>
          <w:p w14:paraId="77413402"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55,3</w:t>
            </w:r>
          </w:p>
        </w:tc>
        <w:tc>
          <w:tcPr>
            <w:tcW w:w="586" w:type="pct"/>
            <w:shd w:val="clear" w:color="auto" w:fill="auto"/>
            <w:hideMark/>
          </w:tcPr>
          <w:p w14:paraId="1B751DC0"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5,3</w:t>
            </w:r>
          </w:p>
        </w:tc>
        <w:tc>
          <w:tcPr>
            <w:tcW w:w="578" w:type="pct"/>
            <w:shd w:val="clear" w:color="auto" w:fill="auto"/>
            <w:noWrap/>
            <w:hideMark/>
          </w:tcPr>
          <w:p w14:paraId="77030D50"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13,5</w:t>
            </w:r>
          </w:p>
        </w:tc>
      </w:tr>
      <w:tr w:rsidR="001A087F" w:rsidRPr="001A087F" w14:paraId="19B94293" w14:textId="77777777" w:rsidTr="006272DB">
        <w:trPr>
          <w:trHeight w:val="236"/>
          <w:jc w:val="center"/>
        </w:trPr>
        <w:tc>
          <w:tcPr>
            <w:tcW w:w="1335" w:type="pct"/>
            <w:shd w:val="clear" w:color="auto" w:fill="auto"/>
            <w:noWrap/>
            <w:vAlign w:val="center"/>
            <w:hideMark/>
          </w:tcPr>
          <w:p w14:paraId="0BD15662"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од чега пензије</w:t>
            </w:r>
          </w:p>
        </w:tc>
        <w:tc>
          <w:tcPr>
            <w:tcW w:w="584" w:type="pct"/>
            <w:shd w:val="clear" w:color="auto" w:fill="auto"/>
            <w:hideMark/>
          </w:tcPr>
          <w:p w14:paraId="78EBB47B"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770,0</w:t>
            </w:r>
          </w:p>
        </w:tc>
        <w:tc>
          <w:tcPr>
            <w:tcW w:w="585" w:type="pct"/>
          </w:tcPr>
          <w:p w14:paraId="0577CC72"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770,0</w:t>
            </w:r>
          </w:p>
        </w:tc>
        <w:tc>
          <w:tcPr>
            <w:tcW w:w="585" w:type="pct"/>
            <w:shd w:val="clear" w:color="auto" w:fill="auto"/>
            <w:noWrap/>
            <w:hideMark/>
          </w:tcPr>
          <w:p w14:paraId="5FEAEB55"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776,5</w:t>
            </w:r>
          </w:p>
        </w:tc>
        <w:tc>
          <w:tcPr>
            <w:tcW w:w="747" w:type="pct"/>
            <w:shd w:val="clear" w:color="auto" w:fill="auto"/>
            <w:hideMark/>
          </w:tcPr>
          <w:p w14:paraId="52530561"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6,5</w:t>
            </w:r>
          </w:p>
        </w:tc>
        <w:tc>
          <w:tcPr>
            <w:tcW w:w="586" w:type="pct"/>
            <w:shd w:val="clear" w:color="auto" w:fill="auto"/>
            <w:hideMark/>
          </w:tcPr>
          <w:p w14:paraId="56022A7C"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0,8</w:t>
            </w:r>
          </w:p>
        </w:tc>
        <w:tc>
          <w:tcPr>
            <w:tcW w:w="578" w:type="pct"/>
            <w:shd w:val="clear" w:color="auto" w:fill="auto"/>
            <w:noWrap/>
            <w:hideMark/>
          </w:tcPr>
          <w:p w14:paraId="2C24C57E"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9,6</w:t>
            </w:r>
          </w:p>
        </w:tc>
      </w:tr>
      <w:tr w:rsidR="001A087F" w:rsidRPr="001A087F" w14:paraId="2193652A" w14:textId="77777777" w:rsidTr="006272DB">
        <w:trPr>
          <w:trHeight w:val="236"/>
          <w:jc w:val="center"/>
        </w:trPr>
        <w:tc>
          <w:tcPr>
            <w:tcW w:w="1335" w:type="pct"/>
            <w:shd w:val="clear" w:color="auto" w:fill="auto"/>
            <w:noWrap/>
            <w:vAlign w:val="center"/>
            <w:hideMark/>
          </w:tcPr>
          <w:p w14:paraId="733BC609"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Остали текући расходи</w:t>
            </w:r>
          </w:p>
        </w:tc>
        <w:tc>
          <w:tcPr>
            <w:tcW w:w="584" w:type="pct"/>
            <w:shd w:val="clear" w:color="auto" w:fill="auto"/>
            <w:hideMark/>
          </w:tcPr>
          <w:p w14:paraId="57292FCB"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97,7</w:t>
            </w:r>
          </w:p>
        </w:tc>
        <w:tc>
          <w:tcPr>
            <w:tcW w:w="585" w:type="pct"/>
          </w:tcPr>
          <w:p w14:paraId="621B6792"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97,8</w:t>
            </w:r>
          </w:p>
        </w:tc>
        <w:tc>
          <w:tcPr>
            <w:tcW w:w="585" w:type="pct"/>
            <w:shd w:val="clear" w:color="auto" w:fill="auto"/>
            <w:noWrap/>
            <w:hideMark/>
          </w:tcPr>
          <w:p w14:paraId="50612A4C"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124,2</w:t>
            </w:r>
          </w:p>
        </w:tc>
        <w:tc>
          <w:tcPr>
            <w:tcW w:w="747" w:type="pct"/>
            <w:shd w:val="clear" w:color="auto" w:fill="auto"/>
            <w:hideMark/>
          </w:tcPr>
          <w:p w14:paraId="3AA092C8"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26,5</w:t>
            </w:r>
          </w:p>
        </w:tc>
        <w:tc>
          <w:tcPr>
            <w:tcW w:w="586" w:type="pct"/>
            <w:shd w:val="clear" w:color="auto" w:fill="auto"/>
            <w:hideMark/>
          </w:tcPr>
          <w:p w14:paraId="3D2BCF15"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27,1</w:t>
            </w:r>
          </w:p>
        </w:tc>
        <w:tc>
          <w:tcPr>
            <w:tcW w:w="578" w:type="pct"/>
            <w:shd w:val="clear" w:color="auto" w:fill="auto"/>
            <w:noWrap/>
            <w:hideMark/>
          </w:tcPr>
          <w:p w14:paraId="54B43CF5"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1,5</w:t>
            </w:r>
          </w:p>
        </w:tc>
      </w:tr>
      <w:tr w:rsidR="001A087F" w:rsidRPr="001A087F" w14:paraId="4FB48CB8" w14:textId="77777777" w:rsidTr="006272DB">
        <w:trPr>
          <w:trHeight w:val="236"/>
          <w:jc w:val="center"/>
        </w:trPr>
        <w:tc>
          <w:tcPr>
            <w:tcW w:w="1335" w:type="pct"/>
            <w:shd w:val="clear" w:color="auto" w:fill="auto"/>
            <w:noWrap/>
            <w:vAlign w:val="center"/>
            <w:hideMark/>
          </w:tcPr>
          <w:p w14:paraId="2E9CADC9"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Капитални расходи</w:t>
            </w:r>
          </w:p>
        </w:tc>
        <w:tc>
          <w:tcPr>
            <w:tcW w:w="584" w:type="pct"/>
            <w:shd w:val="clear" w:color="auto" w:fill="auto"/>
            <w:hideMark/>
          </w:tcPr>
          <w:p w14:paraId="4BC3D455"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561,5</w:t>
            </w:r>
          </w:p>
        </w:tc>
        <w:tc>
          <w:tcPr>
            <w:tcW w:w="585" w:type="pct"/>
          </w:tcPr>
          <w:p w14:paraId="32B59254"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588,4</w:t>
            </w:r>
          </w:p>
        </w:tc>
        <w:tc>
          <w:tcPr>
            <w:tcW w:w="585" w:type="pct"/>
            <w:shd w:val="clear" w:color="auto" w:fill="auto"/>
            <w:noWrap/>
            <w:hideMark/>
          </w:tcPr>
          <w:p w14:paraId="7ABB64FF"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584,6</w:t>
            </w:r>
          </w:p>
        </w:tc>
        <w:tc>
          <w:tcPr>
            <w:tcW w:w="747" w:type="pct"/>
            <w:shd w:val="clear" w:color="auto" w:fill="auto"/>
            <w:hideMark/>
          </w:tcPr>
          <w:p w14:paraId="021E8B98"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23,1</w:t>
            </w:r>
          </w:p>
        </w:tc>
        <w:tc>
          <w:tcPr>
            <w:tcW w:w="586" w:type="pct"/>
            <w:shd w:val="clear" w:color="auto" w:fill="auto"/>
            <w:hideMark/>
          </w:tcPr>
          <w:p w14:paraId="68DDEA8F"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4,1</w:t>
            </w:r>
          </w:p>
        </w:tc>
        <w:tc>
          <w:tcPr>
            <w:tcW w:w="578" w:type="pct"/>
            <w:shd w:val="clear" w:color="auto" w:fill="auto"/>
            <w:noWrap/>
            <w:hideMark/>
          </w:tcPr>
          <w:p w14:paraId="247C4D77"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7,2</w:t>
            </w:r>
          </w:p>
        </w:tc>
      </w:tr>
      <w:tr w:rsidR="001A087F" w:rsidRPr="001A087F" w14:paraId="5C460389" w14:textId="77777777" w:rsidTr="006272DB">
        <w:trPr>
          <w:trHeight w:val="236"/>
          <w:jc w:val="center"/>
        </w:trPr>
        <w:tc>
          <w:tcPr>
            <w:tcW w:w="1335" w:type="pct"/>
            <w:shd w:val="clear" w:color="auto" w:fill="auto"/>
            <w:noWrap/>
            <w:vAlign w:val="center"/>
            <w:hideMark/>
          </w:tcPr>
          <w:p w14:paraId="5C875B6A"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Нето буџетске позајмице</w:t>
            </w:r>
          </w:p>
        </w:tc>
        <w:tc>
          <w:tcPr>
            <w:tcW w:w="584" w:type="pct"/>
            <w:shd w:val="clear" w:color="auto" w:fill="auto"/>
            <w:hideMark/>
          </w:tcPr>
          <w:p w14:paraId="4FCAD2EA"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117,3</w:t>
            </w:r>
          </w:p>
        </w:tc>
        <w:tc>
          <w:tcPr>
            <w:tcW w:w="585" w:type="pct"/>
          </w:tcPr>
          <w:p w14:paraId="330A39F1"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117,3</w:t>
            </w:r>
          </w:p>
        </w:tc>
        <w:tc>
          <w:tcPr>
            <w:tcW w:w="585" w:type="pct"/>
            <w:shd w:val="clear" w:color="auto" w:fill="auto"/>
            <w:noWrap/>
            <w:hideMark/>
          </w:tcPr>
          <w:p w14:paraId="2A5DB1B6"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61,0</w:t>
            </w:r>
          </w:p>
        </w:tc>
        <w:tc>
          <w:tcPr>
            <w:tcW w:w="747" w:type="pct"/>
            <w:shd w:val="clear" w:color="auto" w:fill="auto"/>
            <w:hideMark/>
          </w:tcPr>
          <w:p w14:paraId="677760D1"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-56,3</w:t>
            </w:r>
          </w:p>
        </w:tc>
        <w:tc>
          <w:tcPr>
            <w:tcW w:w="586" w:type="pct"/>
            <w:shd w:val="clear" w:color="auto" w:fill="auto"/>
            <w:hideMark/>
          </w:tcPr>
          <w:p w14:paraId="69CA19A0"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-48,0</w:t>
            </w:r>
          </w:p>
        </w:tc>
        <w:tc>
          <w:tcPr>
            <w:tcW w:w="578" w:type="pct"/>
            <w:shd w:val="clear" w:color="auto" w:fill="auto"/>
            <w:noWrap/>
            <w:hideMark/>
          </w:tcPr>
          <w:p w14:paraId="0945F7F4"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0,8</w:t>
            </w:r>
          </w:p>
        </w:tc>
      </w:tr>
      <w:tr w:rsidR="001A087F" w:rsidRPr="001A087F" w14:paraId="76287C5C" w14:textId="77777777" w:rsidTr="006272DB">
        <w:trPr>
          <w:trHeight w:val="236"/>
          <w:jc w:val="center"/>
        </w:trPr>
        <w:tc>
          <w:tcPr>
            <w:tcW w:w="1335" w:type="pct"/>
            <w:shd w:val="clear" w:color="auto" w:fill="auto"/>
            <w:noWrap/>
            <w:vAlign w:val="center"/>
            <w:hideMark/>
          </w:tcPr>
          <w:p w14:paraId="05028BF2"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Активиране гаранције</w:t>
            </w:r>
          </w:p>
        </w:tc>
        <w:tc>
          <w:tcPr>
            <w:tcW w:w="584" w:type="pct"/>
            <w:shd w:val="clear" w:color="auto" w:fill="auto"/>
            <w:hideMark/>
          </w:tcPr>
          <w:p w14:paraId="4DBF68FA"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25,5</w:t>
            </w:r>
          </w:p>
        </w:tc>
        <w:tc>
          <w:tcPr>
            <w:tcW w:w="585" w:type="pct"/>
          </w:tcPr>
          <w:p w14:paraId="432B2326"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25,5</w:t>
            </w:r>
          </w:p>
        </w:tc>
        <w:tc>
          <w:tcPr>
            <w:tcW w:w="585" w:type="pct"/>
            <w:shd w:val="clear" w:color="auto" w:fill="auto"/>
            <w:noWrap/>
            <w:hideMark/>
          </w:tcPr>
          <w:p w14:paraId="68F04AF5"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24,5</w:t>
            </w:r>
          </w:p>
        </w:tc>
        <w:tc>
          <w:tcPr>
            <w:tcW w:w="747" w:type="pct"/>
            <w:shd w:val="clear" w:color="auto" w:fill="auto"/>
            <w:hideMark/>
          </w:tcPr>
          <w:p w14:paraId="65789742"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-1,0</w:t>
            </w:r>
          </w:p>
        </w:tc>
        <w:tc>
          <w:tcPr>
            <w:tcW w:w="586" w:type="pct"/>
            <w:shd w:val="clear" w:color="auto" w:fill="auto"/>
            <w:hideMark/>
          </w:tcPr>
          <w:p w14:paraId="5E4F9B49"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-3,9</w:t>
            </w:r>
          </w:p>
        </w:tc>
        <w:tc>
          <w:tcPr>
            <w:tcW w:w="578" w:type="pct"/>
            <w:shd w:val="clear" w:color="auto" w:fill="auto"/>
            <w:noWrap/>
            <w:hideMark/>
          </w:tcPr>
          <w:p w14:paraId="2F053755"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0,3</w:t>
            </w:r>
          </w:p>
        </w:tc>
      </w:tr>
      <w:tr w:rsidR="001A087F" w:rsidRPr="001A087F" w14:paraId="452294EB" w14:textId="77777777" w:rsidTr="006272DB">
        <w:trPr>
          <w:trHeight w:val="236"/>
          <w:jc w:val="center"/>
        </w:trPr>
        <w:tc>
          <w:tcPr>
            <w:tcW w:w="1335" w:type="pct"/>
            <w:shd w:val="clear" w:color="auto" w:fill="E7E6E6" w:themeFill="background2"/>
            <w:noWrap/>
            <w:vAlign w:val="center"/>
            <w:hideMark/>
          </w:tcPr>
          <w:p w14:paraId="0A37D661" w14:textId="77777777" w:rsidR="00252AA2" w:rsidRPr="001A087F" w:rsidRDefault="00252AA2" w:rsidP="006272DB">
            <w:pPr>
              <w:spacing w:after="0" w:line="240" w:lineRule="auto"/>
              <w:jc w:val="left"/>
              <w:rPr>
                <w:rFonts w:cstheme="minorHAnsi"/>
                <w:color w:val="002060"/>
                <w:sz w:val="16"/>
                <w:szCs w:val="16"/>
                <w:lang w:val="sr-Cyrl-RS"/>
              </w:rPr>
            </w:pPr>
            <w:r w:rsidRPr="001A087F">
              <w:rPr>
                <w:rFonts w:eastAsia="MS PGothic" w:cstheme="minorHAnsi"/>
                <w:color w:val="002060"/>
                <w:sz w:val="16"/>
                <w:szCs w:val="16"/>
                <w:lang w:val="sr-Cyrl-RS" w:eastAsia="ja-JP"/>
              </w:rPr>
              <w:t>Резултат</w:t>
            </w:r>
          </w:p>
        </w:tc>
        <w:tc>
          <w:tcPr>
            <w:tcW w:w="584" w:type="pct"/>
            <w:shd w:val="clear" w:color="auto" w:fill="E7E6E6" w:themeFill="background2"/>
            <w:hideMark/>
          </w:tcPr>
          <w:p w14:paraId="1B27EB95"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-264,0</w:t>
            </w:r>
          </w:p>
        </w:tc>
        <w:tc>
          <w:tcPr>
            <w:tcW w:w="585" w:type="pct"/>
            <w:shd w:val="clear" w:color="auto" w:fill="E7E6E6" w:themeFill="background2"/>
          </w:tcPr>
          <w:p w14:paraId="65856A46"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-245,0</w:t>
            </w:r>
          </w:p>
        </w:tc>
        <w:tc>
          <w:tcPr>
            <w:tcW w:w="585" w:type="pct"/>
            <w:shd w:val="clear" w:color="auto" w:fill="E7E6E6" w:themeFill="background2"/>
            <w:noWrap/>
            <w:hideMark/>
          </w:tcPr>
          <w:p w14:paraId="4A4AF3A5"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-227,5</w:t>
            </w:r>
          </w:p>
        </w:tc>
        <w:tc>
          <w:tcPr>
            <w:tcW w:w="747" w:type="pct"/>
            <w:shd w:val="clear" w:color="auto" w:fill="E7E6E6" w:themeFill="background2"/>
            <w:hideMark/>
          </w:tcPr>
          <w:p w14:paraId="3871D037"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36,5</w:t>
            </w:r>
          </w:p>
        </w:tc>
        <w:tc>
          <w:tcPr>
            <w:tcW w:w="586" w:type="pct"/>
            <w:shd w:val="clear" w:color="auto" w:fill="E7E6E6" w:themeFill="background2"/>
            <w:hideMark/>
          </w:tcPr>
          <w:p w14:paraId="014DAE91"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p>
        </w:tc>
        <w:tc>
          <w:tcPr>
            <w:tcW w:w="578" w:type="pct"/>
            <w:shd w:val="clear" w:color="auto" w:fill="E7E6E6" w:themeFill="background2"/>
            <w:noWrap/>
            <w:hideMark/>
          </w:tcPr>
          <w:p w14:paraId="1C2EA953" w14:textId="77777777" w:rsidR="00252AA2" w:rsidRPr="001A087F" w:rsidRDefault="00252AA2" w:rsidP="006272DB">
            <w:pPr>
              <w:spacing w:after="0" w:line="240" w:lineRule="auto"/>
              <w:jc w:val="right"/>
              <w:rPr>
                <w:rFonts w:eastAsia="MS PGothic" w:cstheme="minorHAnsi"/>
                <w:color w:val="002060"/>
                <w:sz w:val="16"/>
                <w:szCs w:val="16"/>
                <w:lang w:val="sr-Cyrl-RS" w:eastAsia="ja-JP"/>
              </w:rPr>
            </w:pPr>
            <w:r w:rsidRPr="001A087F">
              <w:rPr>
                <w:color w:val="002060"/>
                <w:sz w:val="16"/>
                <w:szCs w:val="16"/>
                <w:lang w:val="sr-Cyrl-RS"/>
              </w:rPr>
              <w:t>-2,8</w:t>
            </w:r>
          </w:p>
        </w:tc>
      </w:tr>
      <w:tr w:rsidR="001A087F" w:rsidRPr="001A087F" w14:paraId="2AE29025" w14:textId="77777777" w:rsidTr="006272DB">
        <w:trPr>
          <w:trHeight w:val="236"/>
          <w:jc w:val="center"/>
        </w:trPr>
        <w:tc>
          <w:tcPr>
            <w:tcW w:w="1335" w:type="pct"/>
            <w:tcBorders>
              <w:bottom w:val="single" w:sz="4" w:space="0" w:color="002060"/>
            </w:tcBorders>
            <w:shd w:val="clear" w:color="auto" w:fill="auto"/>
            <w:noWrap/>
            <w:vAlign w:val="center"/>
            <w:hideMark/>
          </w:tcPr>
          <w:p w14:paraId="5AB7D073" w14:textId="77777777" w:rsidR="00252AA2" w:rsidRPr="001A087F" w:rsidRDefault="00252AA2" w:rsidP="006272DB">
            <w:pPr>
              <w:spacing w:after="0" w:line="240" w:lineRule="auto"/>
              <w:jc w:val="left"/>
              <w:rPr>
                <w:rFonts w:cstheme="minorHAnsi"/>
                <w:color w:val="002060"/>
                <w:sz w:val="16"/>
                <w:szCs w:val="16"/>
                <w:lang w:val="sr-Cyrl-RS"/>
              </w:rPr>
            </w:pPr>
            <w:r w:rsidRPr="001A087F">
              <w:rPr>
                <w:rFonts w:eastAsia="MS PGothic" w:cstheme="minorHAnsi"/>
                <w:color w:val="002060"/>
                <w:sz w:val="16"/>
                <w:szCs w:val="16"/>
                <w:lang w:val="sr-Cyrl-RS" w:eastAsia="ja-JP"/>
              </w:rPr>
              <w:t>Резултат у % БДП</w:t>
            </w:r>
          </w:p>
        </w:tc>
        <w:tc>
          <w:tcPr>
            <w:tcW w:w="584" w:type="pct"/>
            <w:tcBorders>
              <w:bottom w:val="single" w:sz="4" w:space="0" w:color="002060"/>
            </w:tcBorders>
            <w:shd w:val="clear" w:color="auto" w:fill="auto"/>
            <w:hideMark/>
          </w:tcPr>
          <w:p w14:paraId="58C4C276" w14:textId="77777777" w:rsidR="00252AA2" w:rsidRPr="001A087F" w:rsidRDefault="00252AA2" w:rsidP="006272DB">
            <w:pPr>
              <w:spacing w:after="0" w:line="240" w:lineRule="auto"/>
              <w:jc w:val="right"/>
              <w:rPr>
                <w:rFonts w:cstheme="minorHAnsi"/>
                <w:color w:val="002060"/>
                <w:sz w:val="16"/>
                <w:szCs w:val="16"/>
                <w:lang w:val="sr-Cyrl-RS"/>
              </w:rPr>
            </w:pPr>
            <w:r w:rsidRPr="001A087F">
              <w:rPr>
                <w:color w:val="002060"/>
                <w:sz w:val="16"/>
                <w:szCs w:val="16"/>
                <w:lang w:val="sr-Cyrl-RS"/>
              </w:rPr>
              <w:t>-3,3</w:t>
            </w:r>
          </w:p>
        </w:tc>
        <w:tc>
          <w:tcPr>
            <w:tcW w:w="585" w:type="pct"/>
            <w:tcBorders>
              <w:bottom w:val="single" w:sz="4" w:space="0" w:color="002060"/>
            </w:tcBorders>
          </w:tcPr>
          <w:p w14:paraId="0F651E48" w14:textId="77777777" w:rsidR="00252AA2" w:rsidRPr="001A087F" w:rsidRDefault="00252AA2" w:rsidP="006272DB">
            <w:pPr>
              <w:spacing w:after="0" w:line="240" w:lineRule="auto"/>
              <w:jc w:val="right"/>
              <w:rPr>
                <w:color w:val="002060"/>
                <w:sz w:val="16"/>
                <w:szCs w:val="16"/>
                <w:lang w:val="sr-Cyrl-RS"/>
              </w:rPr>
            </w:pPr>
            <w:r w:rsidRPr="001A087F">
              <w:rPr>
                <w:color w:val="002060"/>
                <w:sz w:val="16"/>
                <w:szCs w:val="16"/>
                <w:lang w:val="sr-Cyrl-RS"/>
              </w:rPr>
              <w:t>-3,0</w:t>
            </w:r>
          </w:p>
        </w:tc>
        <w:tc>
          <w:tcPr>
            <w:tcW w:w="585" w:type="pct"/>
            <w:tcBorders>
              <w:bottom w:val="single" w:sz="4" w:space="0" w:color="002060"/>
            </w:tcBorders>
            <w:shd w:val="clear" w:color="auto" w:fill="auto"/>
            <w:hideMark/>
          </w:tcPr>
          <w:p w14:paraId="35477BD6" w14:textId="77777777" w:rsidR="00252AA2" w:rsidRPr="001A087F" w:rsidRDefault="00252AA2" w:rsidP="006272DB">
            <w:pPr>
              <w:spacing w:after="0" w:line="240" w:lineRule="auto"/>
              <w:jc w:val="right"/>
              <w:rPr>
                <w:rFonts w:cstheme="minorHAnsi"/>
                <w:color w:val="002060"/>
                <w:sz w:val="16"/>
                <w:szCs w:val="16"/>
                <w:lang w:val="sr-Cyrl-RS"/>
              </w:rPr>
            </w:pPr>
            <w:r w:rsidRPr="001A087F">
              <w:rPr>
                <w:color w:val="002060"/>
                <w:sz w:val="16"/>
                <w:szCs w:val="16"/>
                <w:lang w:val="sr-Cyrl-RS"/>
              </w:rPr>
              <w:t>-2,8</w:t>
            </w:r>
          </w:p>
        </w:tc>
        <w:tc>
          <w:tcPr>
            <w:tcW w:w="747" w:type="pct"/>
            <w:tcBorders>
              <w:bottom w:val="single" w:sz="4" w:space="0" w:color="002060"/>
            </w:tcBorders>
            <w:shd w:val="clear" w:color="auto" w:fill="auto"/>
            <w:hideMark/>
          </w:tcPr>
          <w:p w14:paraId="126685C1" w14:textId="77777777" w:rsidR="00252AA2" w:rsidRPr="001A087F" w:rsidRDefault="00252AA2" w:rsidP="006272DB">
            <w:pPr>
              <w:spacing w:after="0" w:line="240" w:lineRule="auto"/>
              <w:jc w:val="right"/>
              <w:rPr>
                <w:rFonts w:cstheme="minorHAnsi"/>
                <w:color w:val="002060"/>
                <w:sz w:val="16"/>
                <w:szCs w:val="16"/>
                <w:lang w:val="sr-Cyrl-RS"/>
              </w:rPr>
            </w:pPr>
            <w:r w:rsidRPr="001A087F">
              <w:rPr>
                <w:color w:val="002060"/>
                <w:sz w:val="16"/>
                <w:szCs w:val="16"/>
                <w:lang w:val="sr-Cyrl-RS"/>
              </w:rPr>
              <w:t>0,5</w:t>
            </w:r>
          </w:p>
        </w:tc>
        <w:tc>
          <w:tcPr>
            <w:tcW w:w="586" w:type="pct"/>
            <w:tcBorders>
              <w:bottom w:val="single" w:sz="4" w:space="0" w:color="002060"/>
            </w:tcBorders>
            <w:shd w:val="clear" w:color="auto" w:fill="auto"/>
            <w:hideMark/>
          </w:tcPr>
          <w:p w14:paraId="0225FBC2" w14:textId="77777777" w:rsidR="00252AA2" w:rsidRPr="001A087F" w:rsidRDefault="00252AA2" w:rsidP="006272DB">
            <w:pPr>
              <w:spacing w:after="0" w:line="240" w:lineRule="auto"/>
              <w:ind w:right="284"/>
              <w:jc w:val="right"/>
              <w:rPr>
                <w:rFonts w:cstheme="minorHAnsi"/>
                <w:color w:val="002060"/>
                <w:sz w:val="16"/>
                <w:szCs w:val="16"/>
                <w:lang w:val="sr-Cyrl-RS"/>
              </w:rPr>
            </w:pPr>
          </w:p>
        </w:tc>
        <w:tc>
          <w:tcPr>
            <w:tcW w:w="578" w:type="pct"/>
            <w:tcBorders>
              <w:bottom w:val="single" w:sz="4" w:space="0" w:color="002060"/>
            </w:tcBorders>
            <w:shd w:val="clear" w:color="auto" w:fill="auto"/>
            <w:hideMark/>
          </w:tcPr>
          <w:p w14:paraId="0637EF43" w14:textId="77777777" w:rsidR="00252AA2" w:rsidRPr="001A087F" w:rsidRDefault="00252AA2" w:rsidP="006272DB">
            <w:pPr>
              <w:spacing w:after="0" w:line="240" w:lineRule="auto"/>
              <w:ind w:right="284"/>
              <w:jc w:val="right"/>
              <w:rPr>
                <w:rFonts w:cstheme="minorHAnsi"/>
                <w:color w:val="002060"/>
                <w:sz w:val="16"/>
                <w:szCs w:val="16"/>
                <w:lang w:val="sr-Cyrl-RS"/>
              </w:rPr>
            </w:pPr>
          </w:p>
        </w:tc>
      </w:tr>
    </w:tbl>
    <w:p w14:paraId="50C0ABC1" w14:textId="77777777" w:rsidR="00252AA2" w:rsidRPr="00E13B1A" w:rsidRDefault="00252AA2" w:rsidP="000D3688">
      <w:pPr>
        <w:spacing w:after="0" w:line="240" w:lineRule="auto"/>
        <w:jc w:val="left"/>
        <w:rPr>
          <w:rFonts w:cstheme="minorHAnsi"/>
          <w:sz w:val="16"/>
          <w:szCs w:val="16"/>
          <w:lang w:val="sr-Cyrl-RS"/>
        </w:rPr>
      </w:pPr>
      <w:r w:rsidRPr="00E13B1A">
        <w:rPr>
          <w:rFonts w:eastAsia="Calibri" w:cstheme="minorHAnsi"/>
          <w:bCs/>
          <w:sz w:val="16"/>
          <w:szCs w:val="16"/>
          <w:lang w:val="sr-Cyrl-RS" w:eastAsia="ja-JP"/>
        </w:rPr>
        <w:t xml:space="preserve">Извор: </w:t>
      </w:r>
      <w:r w:rsidRPr="00E13B1A">
        <w:rPr>
          <w:rFonts w:cstheme="minorHAnsi"/>
          <w:sz w:val="16"/>
          <w:szCs w:val="16"/>
          <w:lang w:val="sr-Cyrl-RS"/>
        </w:rPr>
        <w:t>Министарство финансија</w:t>
      </w:r>
    </w:p>
    <w:p w14:paraId="0A89F148" w14:textId="77777777" w:rsidR="00252AA2" w:rsidRPr="00E13B1A" w:rsidRDefault="00252AA2" w:rsidP="000D3688">
      <w:pPr>
        <w:spacing w:after="0" w:line="240" w:lineRule="auto"/>
        <w:rPr>
          <w:rFonts w:cstheme="minorHAnsi"/>
          <w:sz w:val="16"/>
          <w:szCs w:val="16"/>
          <w:lang w:val="sr-Cyrl-RS"/>
        </w:rPr>
      </w:pPr>
      <w:r w:rsidRPr="00E13B1A">
        <w:rPr>
          <w:rFonts w:cstheme="minorHAnsi"/>
          <w:sz w:val="16"/>
          <w:szCs w:val="16"/>
          <w:lang w:val="sr-Cyrl-RS"/>
        </w:rPr>
        <w:t>* Оригинални буџет за 2023. годину је, у сврхе упоредивости са новом проценом за текућу годину, коригован за износе настале проширењем обухвата сектора државе који се односи на укључивање и извештавање о сопственим средствима (приходи и расходи) здравствених установа. Укупан обим тих средстава износи 29,5 млрд и на приходној и расходној страни.</w:t>
      </w:r>
    </w:p>
    <w:p w14:paraId="68FA1100" w14:textId="77777777" w:rsidR="00252AA2" w:rsidRPr="00E13B1A" w:rsidRDefault="00252AA2" w:rsidP="000D3688">
      <w:pPr>
        <w:spacing w:after="0" w:line="240" w:lineRule="auto"/>
        <w:rPr>
          <w:rFonts w:cstheme="minorHAnsi"/>
          <w:sz w:val="16"/>
          <w:szCs w:val="16"/>
          <w:lang w:val="sr-Cyrl-RS"/>
        </w:rPr>
      </w:pPr>
    </w:p>
    <w:p w14:paraId="5C6B0F87" w14:textId="77777777" w:rsidR="00252AA2" w:rsidRPr="00E13B1A" w:rsidRDefault="00252AA2" w:rsidP="000D3688">
      <w:pPr>
        <w:spacing w:after="0" w:line="240" w:lineRule="auto"/>
        <w:jc w:val="left"/>
        <w:rPr>
          <w:rFonts w:cstheme="minorHAnsi"/>
          <w:sz w:val="16"/>
          <w:szCs w:val="16"/>
          <w:lang w:val="sr-Cyrl-RS"/>
        </w:rPr>
        <w:sectPr w:rsidR="00252AA2" w:rsidRPr="00E13B1A" w:rsidSect="000D3688">
          <w:type w:val="continuous"/>
          <w:pgSz w:w="12240" w:h="15840" w:code="1"/>
          <w:pgMar w:top="1440" w:right="1440" w:bottom="1440" w:left="1440" w:header="720" w:footer="720" w:gutter="0"/>
          <w:cols w:space="720"/>
          <w:docGrid w:linePitch="360"/>
        </w:sectPr>
      </w:pPr>
    </w:p>
    <w:p w14:paraId="123FA8C7" w14:textId="77777777" w:rsidR="00252AA2" w:rsidRPr="00E13B1A" w:rsidRDefault="00252AA2" w:rsidP="006272DB">
      <w:pPr>
        <w:spacing w:after="120"/>
        <w:rPr>
          <w:rFonts w:eastAsia="MS PGothic" w:cstheme="minorHAnsi"/>
          <w:szCs w:val="20"/>
          <w:lang w:val="sr-Cyrl-RS" w:eastAsia="ja-JP"/>
        </w:rPr>
      </w:pPr>
      <w:r w:rsidRPr="00E13B1A">
        <w:rPr>
          <w:rFonts w:eastAsia="MS PGothic" w:cstheme="minorHAnsi"/>
          <w:szCs w:val="20"/>
          <w:lang w:val="sr-Cyrl-RS" w:eastAsia="ja-JP"/>
        </w:rPr>
        <w:lastRenderedPageBreak/>
        <w:t>Предвиђен фискални резултат омогућава спровођење интервентних политика у циљу ублажавања кризе, уз задржавање тренда смањења учешћа јавног дуга у БДП, уз усклађеност са фискалним правилима, чија пуна примена почиње 2025. године. Анализом структурног фискалног резултата у 2023. години идентификовано је да се око 1,1% БДП односи на једнократне и привремене мере.</w:t>
      </w:r>
    </w:p>
    <w:p w14:paraId="2F3AA200" w14:textId="77777777" w:rsidR="00252AA2" w:rsidRPr="00E13B1A" w:rsidRDefault="00252AA2" w:rsidP="006272DB">
      <w:pPr>
        <w:widowControl w:val="0"/>
        <w:spacing w:after="120"/>
        <w:rPr>
          <w:rFonts w:eastAsia="MS PGothic" w:cstheme="minorHAnsi"/>
          <w:szCs w:val="20"/>
          <w:lang w:val="sr-Cyrl-RS" w:eastAsia="ja-JP"/>
        </w:rPr>
      </w:pPr>
      <w:r w:rsidRPr="00E13B1A">
        <w:rPr>
          <w:rFonts w:eastAsia="MS PGothic" w:cstheme="minorHAnsi"/>
          <w:szCs w:val="20"/>
          <w:lang w:val="sr-Cyrl-RS" w:eastAsia="ja-JP"/>
        </w:rPr>
        <w:t>Пројекција прихода сектора државе овим фискалним оквиром повећана је за 132,5 млрд динара (4%) у односу на оригиналну. Најважнији фактори који су довели до измене у висини и структури прихода сектора државе су:</w:t>
      </w:r>
    </w:p>
    <w:p w14:paraId="7765AD51" w14:textId="77777777" w:rsidR="00252AA2" w:rsidRPr="00E13B1A" w:rsidRDefault="00252AA2" w:rsidP="000D3688">
      <w:pPr>
        <w:pStyle w:val="ListParagraph"/>
        <w:widowControl w:val="0"/>
        <w:numPr>
          <w:ilvl w:val="0"/>
          <w:numId w:val="17"/>
        </w:numPr>
        <w:spacing w:after="0"/>
        <w:ind w:left="567" w:hanging="283"/>
        <w:contextualSpacing w:val="0"/>
        <w:rPr>
          <w:rFonts w:eastAsia="MS PGothic" w:cstheme="minorHAnsi"/>
          <w:szCs w:val="20"/>
          <w:lang w:val="sr-Cyrl-RS" w:eastAsia="ja-JP"/>
        </w:rPr>
      </w:pPr>
      <w:r w:rsidRPr="00E13B1A">
        <w:rPr>
          <w:rFonts w:eastAsia="MS PGothic" w:cstheme="minorHAnsi"/>
          <w:szCs w:val="20"/>
          <w:lang w:val="sr-Cyrl-RS" w:eastAsia="ja-JP"/>
        </w:rPr>
        <w:t>базни ефекат (боље остварење на крају претходне и у првих седам месеци текуће године);</w:t>
      </w:r>
    </w:p>
    <w:p w14:paraId="12B6FC08" w14:textId="77777777" w:rsidR="00252AA2" w:rsidRPr="00E13B1A" w:rsidRDefault="00252AA2" w:rsidP="000D3688">
      <w:pPr>
        <w:pStyle w:val="ListParagraph"/>
        <w:widowControl w:val="0"/>
        <w:numPr>
          <w:ilvl w:val="0"/>
          <w:numId w:val="17"/>
        </w:numPr>
        <w:spacing w:after="0"/>
        <w:ind w:left="567" w:hanging="283"/>
        <w:rPr>
          <w:rFonts w:eastAsia="MS PGothic" w:cstheme="minorHAnsi"/>
          <w:szCs w:val="20"/>
          <w:lang w:val="sr-Cyrl-RS" w:eastAsia="ja-JP"/>
        </w:rPr>
      </w:pPr>
      <w:r w:rsidRPr="00E13B1A">
        <w:rPr>
          <w:rFonts w:eastAsia="MS PGothic" w:cstheme="minorHAnsi"/>
          <w:szCs w:val="20"/>
          <w:lang w:val="sr-Cyrl-RS" w:eastAsia="ja-JP"/>
        </w:rPr>
        <w:t>снажан раст корпоративне профитабилности током 2022. године;</w:t>
      </w:r>
    </w:p>
    <w:p w14:paraId="10EF7F46" w14:textId="77777777" w:rsidR="00252AA2" w:rsidRPr="00E13B1A" w:rsidRDefault="00252AA2" w:rsidP="000D3688">
      <w:pPr>
        <w:pStyle w:val="ListParagraph"/>
        <w:widowControl w:val="0"/>
        <w:numPr>
          <w:ilvl w:val="0"/>
          <w:numId w:val="17"/>
        </w:numPr>
        <w:spacing w:after="120"/>
        <w:ind w:left="567" w:hanging="283"/>
        <w:rPr>
          <w:rFonts w:eastAsia="MS PGothic" w:cstheme="minorHAnsi"/>
          <w:szCs w:val="20"/>
          <w:lang w:val="sr-Cyrl-RS" w:eastAsia="ja-JP"/>
        </w:rPr>
      </w:pPr>
      <w:r w:rsidRPr="00E13B1A">
        <w:rPr>
          <w:rFonts w:eastAsia="MS PGothic" w:cstheme="minorHAnsi"/>
          <w:szCs w:val="20"/>
          <w:lang w:val="sr-Cyrl-RS" w:eastAsia="ja-JP"/>
        </w:rPr>
        <w:t>постојање неструктурног (привременог) дела у наплати ПДВ током 2022. године;</w:t>
      </w:r>
    </w:p>
    <w:p w14:paraId="4EF25507" w14:textId="77777777" w:rsidR="00252AA2" w:rsidRPr="00E13B1A" w:rsidRDefault="00252AA2" w:rsidP="000D3688">
      <w:pPr>
        <w:pStyle w:val="ListParagraph"/>
        <w:widowControl w:val="0"/>
        <w:numPr>
          <w:ilvl w:val="0"/>
          <w:numId w:val="17"/>
        </w:numPr>
        <w:spacing w:after="120"/>
        <w:ind w:left="567" w:hanging="283"/>
        <w:rPr>
          <w:rFonts w:eastAsia="MS PGothic" w:cstheme="minorHAnsi"/>
          <w:szCs w:val="20"/>
          <w:lang w:val="sr-Cyrl-RS" w:eastAsia="ja-JP"/>
        </w:rPr>
      </w:pPr>
      <w:r w:rsidRPr="00E13B1A">
        <w:rPr>
          <w:rFonts w:eastAsia="MS PGothic" w:cstheme="minorHAnsi"/>
          <w:szCs w:val="20"/>
          <w:lang w:val="sr-Cyrl-RS" w:eastAsia="ja-JP"/>
        </w:rPr>
        <w:t>укидање мере смањења акцизног оптерећења деривата нафте и предвиђене измене акцизне политике;</w:t>
      </w:r>
    </w:p>
    <w:p w14:paraId="41B4DB03" w14:textId="77777777" w:rsidR="00252AA2" w:rsidRPr="00E13B1A" w:rsidRDefault="00252AA2" w:rsidP="000D3688">
      <w:pPr>
        <w:pStyle w:val="ListParagraph"/>
        <w:widowControl w:val="0"/>
        <w:numPr>
          <w:ilvl w:val="0"/>
          <w:numId w:val="17"/>
        </w:numPr>
        <w:spacing w:after="120"/>
        <w:ind w:left="567" w:hanging="283"/>
        <w:rPr>
          <w:rFonts w:eastAsia="MS PGothic" w:cstheme="minorHAnsi"/>
          <w:szCs w:val="20"/>
          <w:lang w:val="sr-Cyrl-RS" w:eastAsia="ja-JP"/>
        </w:rPr>
      </w:pPr>
      <w:r w:rsidRPr="00E13B1A">
        <w:rPr>
          <w:rFonts w:eastAsia="MS PGothic" w:cstheme="minorHAnsi"/>
          <w:szCs w:val="20"/>
          <w:lang w:val="sr-Cyrl-RS" w:eastAsia="ja-JP"/>
        </w:rPr>
        <w:t>већа потрошња одређених акцизних производа, пре свега деривата нафте;</w:t>
      </w:r>
    </w:p>
    <w:p w14:paraId="5242EA64" w14:textId="77777777" w:rsidR="00252AA2" w:rsidRPr="00E13B1A" w:rsidRDefault="00252AA2" w:rsidP="000D3688">
      <w:pPr>
        <w:pStyle w:val="ListParagraph"/>
        <w:widowControl w:val="0"/>
        <w:numPr>
          <w:ilvl w:val="0"/>
          <w:numId w:val="17"/>
        </w:numPr>
        <w:spacing w:after="120"/>
        <w:ind w:left="567" w:hanging="283"/>
        <w:rPr>
          <w:rFonts w:eastAsia="MS PGothic" w:cstheme="minorHAnsi"/>
          <w:szCs w:val="20"/>
          <w:lang w:val="sr-Cyrl-RS" w:eastAsia="ja-JP"/>
        </w:rPr>
      </w:pPr>
      <w:r w:rsidRPr="00E13B1A">
        <w:rPr>
          <w:rFonts w:eastAsia="MS PGothic" w:cstheme="minorHAnsi"/>
          <w:szCs w:val="20"/>
          <w:lang w:val="sr-Cyrl-RS" w:eastAsia="ja-JP"/>
        </w:rPr>
        <w:t>снажнији раст наплате редовних непореских прихода;</w:t>
      </w:r>
    </w:p>
    <w:p w14:paraId="6C26D22C" w14:textId="77777777" w:rsidR="00252AA2" w:rsidRPr="00E13B1A" w:rsidRDefault="00252AA2" w:rsidP="000D3688">
      <w:pPr>
        <w:pStyle w:val="ListParagraph"/>
        <w:widowControl w:val="0"/>
        <w:numPr>
          <w:ilvl w:val="0"/>
          <w:numId w:val="17"/>
        </w:numPr>
        <w:spacing w:after="120"/>
        <w:ind w:left="567" w:hanging="283"/>
        <w:rPr>
          <w:rFonts w:eastAsia="MS PGothic" w:cstheme="minorHAnsi"/>
          <w:szCs w:val="20"/>
          <w:lang w:val="sr-Cyrl-RS" w:eastAsia="ja-JP"/>
        </w:rPr>
      </w:pPr>
      <w:r w:rsidRPr="00E13B1A">
        <w:rPr>
          <w:rFonts w:eastAsia="MS PGothic" w:cstheme="minorHAnsi"/>
          <w:szCs w:val="20"/>
          <w:lang w:val="sr-Cyrl-RS" w:eastAsia="ja-JP"/>
        </w:rPr>
        <w:t>повољнија кретања на тржишту рада од предвиђених</w:t>
      </w:r>
      <w:r>
        <w:rPr>
          <w:rFonts w:eastAsia="MS PGothic" w:cstheme="minorHAnsi"/>
          <w:szCs w:val="20"/>
          <w:lang w:val="sr-Cyrl-RS" w:eastAsia="ja-JP"/>
        </w:rPr>
        <w:t>;</w:t>
      </w:r>
    </w:p>
    <w:p w14:paraId="2859C5A4" w14:textId="77777777" w:rsidR="00252AA2" w:rsidRPr="00E13B1A" w:rsidRDefault="00252AA2" w:rsidP="000D3688">
      <w:pPr>
        <w:pStyle w:val="ListParagraph"/>
        <w:widowControl w:val="0"/>
        <w:numPr>
          <w:ilvl w:val="0"/>
          <w:numId w:val="17"/>
        </w:numPr>
        <w:spacing w:after="120"/>
        <w:ind w:left="567" w:hanging="283"/>
        <w:rPr>
          <w:rFonts w:eastAsia="MS PGothic" w:cstheme="minorHAnsi"/>
          <w:szCs w:val="20"/>
          <w:lang w:val="sr-Cyrl-RS" w:eastAsia="ja-JP"/>
        </w:rPr>
      </w:pPr>
      <w:r w:rsidRPr="00E13B1A">
        <w:rPr>
          <w:rFonts w:eastAsia="MS PGothic" w:cstheme="minorHAnsi"/>
          <w:szCs w:val="20"/>
          <w:lang w:val="sr-Cyrl-RS" w:eastAsia="ja-JP"/>
        </w:rPr>
        <w:t>нижи раст увозне активности од оригинално пројектоване, првенствено због мањег увоза енергената;</w:t>
      </w:r>
    </w:p>
    <w:p w14:paraId="16FFEE89" w14:textId="77777777" w:rsidR="00252AA2" w:rsidRPr="00E13B1A" w:rsidRDefault="00252AA2" w:rsidP="000D3688">
      <w:pPr>
        <w:widowControl w:val="0"/>
        <w:spacing w:after="120"/>
        <w:rPr>
          <w:rFonts w:eastAsia="MS PGothic" w:cstheme="minorHAnsi"/>
          <w:szCs w:val="20"/>
          <w:lang w:val="sr-Cyrl-RS" w:eastAsia="ja-JP"/>
        </w:rPr>
      </w:pPr>
      <w:r w:rsidRPr="00E13B1A">
        <w:rPr>
          <w:rFonts w:eastAsia="MS PGothic" w:cstheme="minorHAnsi"/>
          <w:bCs/>
          <w:szCs w:val="20"/>
          <w:lang w:val="sr-Cyrl-RS" w:eastAsia="ja-JP"/>
        </w:rPr>
        <w:t>Повољнија кретања на тржишту рада позитивно су утицала на остварење прихода по основу пореза на зараде и доприноса за обавезно социјално осигурање.</w:t>
      </w:r>
      <w:r w:rsidRPr="00E13B1A">
        <w:rPr>
          <w:rFonts w:eastAsia="MS PGothic" w:cstheme="minorHAnsi"/>
          <w:szCs w:val="20"/>
          <w:lang w:val="sr-Cyrl-RS" w:eastAsia="ja-JP"/>
        </w:rPr>
        <w:t xml:space="preserve"> Пројекција прихода од пореза на доходак грађана повећана је за 14,1 млрд динара у односу на оригинални износ. Приликом оригиналне пројекције прихода од пореза на зараде узете су у обзир пројекције кретања просечних зарада и запослености, као и процене ефеката смањења пореског оптерећења зарада у 2023. години. Исте претпоставке се користе и за пројекцију прихода од социјалних доприноса који чине највећи појединачни приход на нивоу сектора државе. Наплата овог пореског облика </w:t>
      </w:r>
      <w:r w:rsidRPr="00E13B1A">
        <w:rPr>
          <w:rFonts w:eastAsia="MS PGothic" w:cstheme="minorHAnsi"/>
          <w:szCs w:val="20"/>
          <w:lang w:val="sr-Cyrl-RS" w:eastAsia="ja-JP"/>
        </w:rPr>
        <w:t>крајем 2022. године била је нешто изнад планиране, међутим кључни разлог за ревизију пројекције навише је снажан раст зарада, пре свега у приватном сектору, забележен током прва два квартала 2023. године. Процене прихода од пореза на зараде и социјалних доприноса су ревидиране навише у укупном износу од 55,3</w:t>
      </w:r>
      <w:r w:rsidRPr="00E13B1A">
        <w:rPr>
          <w:rFonts w:eastAsia="MS PGothic" w:cstheme="minorHAnsi"/>
          <w:color w:val="FF0000"/>
          <w:szCs w:val="20"/>
          <w:lang w:val="sr-Cyrl-RS" w:eastAsia="ja-JP"/>
        </w:rPr>
        <w:t xml:space="preserve"> </w:t>
      </w:r>
      <w:r w:rsidRPr="00E13B1A">
        <w:rPr>
          <w:rFonts w:eastAsia="MS PGothic" w:cstheme="minorHAnsi"/>
          <w:szCs w:val="20"/>
          <w:lang w:val="sr-Cyrl-RS" w:eastAsia="ja-JP"/>
        </w:rPr>
        <w:t>млрд динара. Остатак пореза на доходак чине остали облици као што су порез на дивиденде, порез на приходе од камата, годишњи порез на доходак, порез на приходе од закупа непокретности и др. Процена прихода од ових група пореза повећана је за 3,8</w:t>
      </w:r>
      <w:r w:rsidRPr="00E13B1A">
        <w:rPr>
          <w:rFonts w:eastAsia="MS PGothic" w:cstheme="minorHAnsi"/>
          <w:color w:val="FF0000"/>
          <w:szCs w:val="20"/>
          <w:lang w:val="sr-Cyrl-RS" w:eastAsia="ja-JP"/>
        </w:rPr>
        <w:t xml:space="preserve"> </w:t>
      </w:r>
      <w:r w:rsidRPr="00E13B1A">
        <w:rPr>
          <w:rFonts w:eastAsia="MS PGothic" w:cstheme="minorHAnsi"/>
          <w:szCs w:val="20"/>
          <w:lang w:val="sr-Cyrl-RS" w:eastAsia="ja-JP"/>
        </w:rPr>
        <w:t>млрд динара, првенствено због боље наплате на крају претходне године.</w:t>
      </w:r>
    </w:p>
    <w:p w14:paraId="736EBBF5" w14:textId="7437D0F8" w:rsidR="00252AA2" w:rsidRPr="00E13B1A" w:rsidRDefault="00252AA2" w:rsidP="000D3688">
      <w:pPr>
        <w:widowControl w:val="0"/>
        <w:spacing w:after="120"/>
        <w:rPr>
          <w:rFonts w:eastAsia="MS PGothic" w:cstheme="minorHAnsi"/>
          <w:szCs w:val="20"/>
          <w:lang w:val="sr-Cyrl-RS" w:eastAsia="ja-JP"/>
        </w:rPr>
      </w:pPr>
      <w:r w:rsidRPr="00E13B1A">
        <w:rPr>
          <w:rFonts w:eastAsia="MS PGothic" w:cstheme="minorHAnsi"/>
          <w:szCs w:val="20"/>
          <w:lang w:val="sr-Cyrl-RS" w:eastAsia="ja-JP"/>
        </w:rPr>
        <w:t>Приходи од пореза на добит су највише ревидирани у односу на оригиналну пројекцију и то за 49,6 млрд динара. Остварена профитабилност привреде у 2022. години знатно је већа од првобитно очекиване. При пројекцији ове пореске категорије, постоји неизвесност, јер коначни подаци о профитабилности нису познати у тренутку израде буџета. Висок износ наплате пореза на добит, који је остварен у 2022. години, довео је до повећања учешћа овог пореза у БДП (3%) изнад просечних вредности забележених у претходном периоду. Водећи се принципом опрезности, приликом оригиналне пројекције било је предвиђено постепено смањење учешћа овог пореског облика у БДП, тј. враћање на просечан ниво претходног периода. Након уплате пореза на добит по коначном обрачуну за 2022. годину (крај јуна 2023. године), ревидирана је и годишња процена овог пореза. Нето добит привреде у 2022. годин</w:t>
      </w:r>
      <w:r w:rsidR="00775A65">
        <w:rPr>
          <w:rFonts w:eastAsia="MS PGothic" w:cstheme="minorHAnsi"/>
          <w:szCs w:val="20"/>
          <w:lang w:val="sr-Cyrl-RS" w:eastAsia="ja-JP"/>
        </w:rPr>
        <w:t>и</w:t>
      </w:r>
      <w:r w:rsidRPr="00E13B1A">
        <w:rPr>
          <w:rFonts w:eastAsia="MS PGothic" w:cstheme="minorHAnsi"/>
          <w:szCs w:val="20"/>
          <w:lang w:val="sr-Cyrl-RS" w:eastAsia="ja-JP"/>
        </w:rPr>
        <w:t>, према објављеним подацима АПР, износила је 1.239 млрд динара и већа је за 28,3% у односу на 2021. годину.</w:t>
      </w:r>
    </w:p>
    <w:p w14:paraId="7A2D9D10" w14:textId="77777777" w:rsidR="00252AA2" w:rsidRPr="00E13B1A" w:rsidRDefault="00252AA2" w:rsidP="000D3688">
      <w:pPr>
        <w:widowControl w:val="0"/>
        <w:spacing w:after="120"/>
        <w:rPr>
          <w:rFonts w:eastAsia="MS PGothic" w:cstheme="minorHAnsi"/>
          <w:szCs w:val="20"/>
          <w:lang w:val="sr-Cyrl-RS" w:eastAsia="ja-JP"/>
        </w:rPr>
      </w:pPr>
      <w:r w:rsidRPr="00E13B1A">
        <w:rPr>
          <w:rFonts w:eastAsia="MS PGothic" w:cstheme="minorHAnsi"/>
          <w:bCs/>
          <w:szCs w:val="20"/>
          <w:lang w:val="sr-Cyrl-RS" w:eastAsia="ja-JP"/>
        </w:rPr>
        <w:t xml:space="preserve">Приходи од пореза на додату вредност су ревидирани наниже, и то у апсолутном износу за 41,3 млрд динара, процентуално за 4,8%. Поред прихода од царина, ПДВ је приходна категорија која током 2023. године бележи слабију наплату од планиране. Приметно је да наплата ПДВ-а током прве половине 2023. године одступа од обрасца виђеног у претходним годинама. Узрок оваквог тренда је инцидентно висока прошлогодишња база. Током претходне године дошло је до раста потрошње који није потицао </w:t>
      </w:r>
      <w:r w:rsidRPr="00E13B1A">
        <w:rPr>
          <w:rFonts w:eastAsia="MS PGothic" w:cstheme="minorHAnsi"/>
          <w:bCs/>
          <w:szCs w:val="20"/>
          <w:lang w:val="sr-Cyrl-RS" w:eastAsia="ja-JP"/>
        </w:rPr>
        <w:lastRenderedPageBreak/>
        <w:t>само од уобичај</w:t>
      </w:r>
      <w:r>
        <w:rPr>
          <w:rFonts w:eastAsia="MS PGothic" w:cstheme="minorHAnsi"/>
          <w:bCs/>
          <w:szCs w:val="20"/>
          <w:lang w:val="sr-Cyrl-RS" w:eastAsia="ja-JP"/>
        </w:rPr>
        <w:t>е</w:t>
      </w:r>
      <w:r w:rsidRPr="00E13B1A">
        <w:rPr>
          <w:rFonts w:eastAsia="MS PGothic" w:cstheme="minorHAnsi"/>
          <w:bCs/>
          <w:szCs w:val="20"/>
          <w:lang w:val="sr-Cyrl-RS" w:eastAsia="ja-JP"/>
        </w:rPr>
        <w:t>ног прихода становништва, већ је, добрим делом, проистекао из потрошње лица која су привремено боравила у земљи, већег прилива од туризма и значајног раста дознака, као и фискалног стимулуса. Поред тога, током 2022. године дошло је до значајног пораста такозване „паничне</w:t>
      </w:r>
      <w:r w:rsidRPr="00B525E6">
        <w:rPr>
          <w:rFonts w:eastAsia="MS PGothic" w:cstheme="minorHAnsi"/>
          <w:bCs/>
          <w:szCs w:val="20"/>
          <w:lang w:val="sr-Cyrl-RS" w:eastAsia="ja-JP"/>
        </w:rPr>
        <w:t>”</w:t>
      </w:r>
      <w:r w:rsidRPr="00E13B1A">
        <w:rPr>
          <w:rFonts w:eastAsia="MS PGothic" w:cstheme="minorHAnsi"/>
          <w:bCs/>
          <w:szCs w:val="20"/>
          <w:lang w:val="sr-Cyrl-RS" w:eastAsia="ja-JP"/>
        </w:rPr>
        <w:t xml:space="preserve"> потрошње током првих месеци сукоба у Украјини. Ова два фактора су допринела неструктурном повећању прихода од ПДВ-а у претходној години, односно повећању очекивања за 2023. годину, кроз тзв. базни ефекат. У структури наплате ПДВ, увозна компонента расте спорије него што је очекивано, последично, бележи се и нешто спорији раст ПДВ повраћаја по основу спољнотрговинске размене</w:t>
      </w:r>
      <w:r w:rsidRPr="00E13B1A">
        <w:rPr>
          <w:rFonts w:eastAsia="MS PGothic" w:cstheme="minorHAnsi"/>
          <w:szCs w:val="20"/>
          <w:lang w:val="sr-Cyrl-RS" w:eastAsia="ja-JP"/>
        </w:rPr>
        <w:t>.</w:t>
      </w:r>
    </w:p>
    <w:p w14:paraId="42EF60C7" w14:textId="77777777" w:rsidR="00252AA2" w:rsidRPr="00E13B1A" w:rsidRDefault="00252AA2" w:rsidP="000D3688">
      <w:pPr>
        <w:widowControl w:val="0"/>
        <w:spacing w:after="120"/>
        <w:rPr>
          <w:rFonts w:eastAsia="MS PGothic" w:cstheme="minorHAnsi"/>
          <w:szCs w:val="20"/>
          <w:lang w:val="sr-Cyrl-RS" w:eastAsia="ja-JP"/>
        </w:rPr>
      </w:pPr>
      <w:r w:rsidRPr="00E13B1A">
        <w:rPr>
          <w:rFonts w:eastAsia="MS PGothic" w:cstheme="minorHAnsi"/>
          <w:bCs/>
          <w:szCs w:val="20"/>
          <w:lang w:val="sr-Cyrl-RS" w:eastAsia="ja-JP"/>
        </w:rPr>
        <w:t>Нижи раст увозне тражње, пре свега енергената, условио је ревизију процене прихода од царина наниже за 3 млрд динара у односу на оригиналну пројекцију.</w:t>
      </w:r>
      <w:r w:rsidRPr="00E13B1A">
        <w:rPr>
          <w:rFonts w:eastAsia="MS PGothic" w:cstheme="minorHAnsi"/>
          <w:szCs w:val="20"/>
          <w:lang w:val="sr-Cyrl-RS" w:eastAsia="ja-JP"/>
        </w:rPr>
        <w:t xml:space="preserve"> Приходи од царина у највећој мери, иако не у потпуности, прате динамику ПДВ из увоза, па је у складу са изменом структуре ПДВ, обима спољнотрговинске размене и кретања царина у првом делу године, извршена ревизија пројекције овог приходног облика. Као и у случају ефеката на ПДВ, нижи раст увозне тражње последица је пре свега слабијег увоза енергената од првобитно очекиваног. Ово је делом последица мањих количинских потреба, али такође и пада цена на међународном тржишту у односу на прву половину претходне године.</w:t>
      </w:r>
    </w:p>
    <w:p w14:paraId="746096C5" w14:textId="1C58C2D7" w:rsidR="00252AA2" w:rsidRPr="00E13B1A" w:rsidRDefault="00252AA2" w:rsidP="000D3688">
      <w:pPr>
        <w:widowControl w:val="0"/>
        <w:spacing w:after="120"/>
        <w:rPr>
          <w:rFonts w:eastAsia="MS PGothic" w:cstheme="minorHAnsi"/>
          <w:szCs w:val="20"/>
          <w:lang w:val="sr-Cyrl-RS" w:eastAsia="ja-JP"/>
        </w:rPr>
      </w:pPr>
      <w:r w:rsidRPr="00E13B1A">
        <w:rPr>
          <w:rFonts w:eastAsia="MS PGothic" w:cstheme="minorHAnsi"/>
          <w:bCs/>
          <w:szCs w:val="20"/>
          <w:lang w:val="sr-Cyrl-RS" w:eastAsia="ja-JP"/>
        </w:rPr>
        <w:t xml:space="preserve">Пројекција прихода од акциза повећана је за 29,9 млрд динара у односу на оригиналну пројекцију, у највећој мери услед повећања прихода од акциза на деривате нафте. </w:t>
      </w:r>
      <w:r w:rsidRPr="00E13B1A">
        <w:rPr>
          <w:rFonts w:eastAsia="MS PGothic" w:cstheme="minorHAnsi"/>
          <w:szCs w:val="20"/>
          <w:lang w:val="sr-Cyrl-RS" w:eastAsia="ja-JP"/>
        </w:rPr>
        <w:t>Како би се спречио претерани раст цена нафтних деривата у претходној години и током 2023. године, одложена је редовна индексација акцизних стопа са инфлацијом из претходне године. Такође, искоришћена је законска могућност привременог смањења износа акциза и то у распону од 5% до 20% колики је и законски максимум. Тако су приходи од акциза на деривате нафте за 2023. годину, оригинално планирани узимајући у обзир умање</w:t>
      </w:r>
      <w:r w:rsidR="00947D88">
        <w:rPr>
          <w:rFonts w:eastAsia="MS PGothic" w:cstheme="minorHAnsi"/>
          <w:szCs w:val="20"/>
          <w:lang w:val="sr-Cyrl-RS" w:eastAsia="ja-JP"/>
        </w:rPr>
        <w:t>њ</w:t>
      </w:r>
      <w:r w:rsidRPr="00E13B1A">
        <w:rPr>
          <w:rFonts w:eastAsia="MS PGothic" w:cstheme="minorHAnsi"/>
          <w:szCs w:val="20"/>
          <w:lang w:val="sr-Cyrl-RS" w:eastAsia="ja-JP"/>
        </w:rPr>
        <w:t xml:space="preserve">е акциза за 10%. Услед стагнације и пада цена сирове нафте на међународном тржишту, током првог квартала донета је одлука да се примени умањење од 5%, а након тога и да се потпуно укине, без већег утицаја на малопродајну цену. Бележи се и нешто већи </w:t>
      </w:r>
      <w:r w:rsidRPr="00E13B1A">
        <w:rPr>
          <w:rFonts w:eastAsia="MS PGothic" w:cstheme="minorHAnsi"/>
          <w:szCs w:val="20"/>
          <w:lang w:val="sr-Cyrl-RS" w:eastAsia="ja-JP"/>
        </w:rPr>
        <w:t>раст потрошње у првој половини текуће године. Такође, узет је у обзир и ефекат измена акцизне политике, којим се предвиђа увећање висине износа акциза, у последњем кварталу ове године.</w:t>
      </w:r>
    </w:p>
    <w:p w14:paraId="3884F3A9" w14:textId="77777777" w:rsidR="00252AA2" w:rsidRPr="00E13B1A" w:rsidRDefault="00252AA2" w:rsidP="000D3688">
      <w:pPr>
        <w:widowControl w:val="0"/>
        <w:spacing w:after="120"/>
        <w:rPr>
          <w:rFonts w:eastAsia="MS PGothic" w:cstheme="minorHAnsi"/>
          <w:szCs w:val="20"/>
          <w:lang w:val="sr-Cyrl-RS" w:eastAsia="ja-JP"/>
        </w:rPr>
      </w:pPr>
      <w:r w:rsidRPr="00E13B1A">
        <w:rPr>
          <w:rFonts w:eastAsia="MS PGothic" w:cstheme="minorHAnsi"/>
          <w:szCs w:val="20"/>
          <w:lang w:val="sr-Cyrl-RS" w:eastAsia="ja-JP"/>
        </w:rPr>
        <w:t xml:space="preserve">Повећање прихода од акциза на дуван последица је боље наплате у првој половини године од очекиване, као и предвиђеног повећања износа акциза. Приликом израде оригиналне буџетске пројекције, претпостављен је пад потрошње који је присутан већ дужи низ година. Међутим, кретања на тржишту показују да је пад потрошње дуванских производа ове године нешто мањи од очекиваног. На крају претходне године </w:t>
      </w:r>
      <w:r>
        <w:rPr>
          <w:rFonts w:eastAsia="MS PGothic" w:cstheme="minorHAnsi"/>
          <w:szCs w:val="20"/>
          <w:lang w:val="sr-Cyrl-RS" w:eastAsia="ja-JP"/>
        </w:rPr>
        <w:t>забележена је и боља нап</w:t>
      </w:r>
      <w:r w:rsidRPr="00E13B1A">
        <w:rPr>
          <w:rFonts w:eastAsia="MS PGothic" w:cstheme="minorHAnsi"/>
          <w:szCs w:val="20"/>
          <w:lang w:val="sr-Cyrl-RS" w:eastAsia="ja-JP"/>
        </w:rPr>
        <w:t xml:space="preserve">лата од планиране приликом израде оригиналног буџета. Пројекција прихода од осталих акцизних производа (електрична </w:t>
      </w:r>
      <w:r>
        <w:rPr>
          <w:rFonts w:eastAsia="MS PGothic" w:cstheme="minorHAnsi"/>
          <w:szCs w:val="20"/>
          <w:lang w:val="sr-Cyrl-RS" w:eastAsia="ja-JP"/>
        </w:rPr>
        <w:t>е</w:t>
      </w:r>
      <w:r w:rsidRPr="00E13B1A">
        <w:rPr>
          <w:rFonts w:eastAsia="MS PGothic" w:cstheme="minorHAnsi"/>
          <w:szCs w:val="20"/>
          <w:lang w:val="sr-Cyrl-RS" w:eastAsia="ja-JP"/>
        </w:rPr>
        <w:t>н</w:t>
      </w:r>
      <w:r>
        <w:rPr>
          <w:rFonts w:eastAsia="MS PGothic" w:cstheme="minorHAnsi"/>
          <w:szCs w:val="20"/>
          <w:lang w:val="sr-Cyrl-RS" w:eastAsia="ja-JP"/>
        </w:rPr>
        <w:t>е</w:t>
      </w:r>
      <w:r w:rsidRPr="00E13B1A">
        <w:rPr>
          <w:rFonts w:eastAsia="MS PGothic" w:cstheme="minorHAnsi"/>
          <w:szCs w:val="20"/>
          <w:lang w:val="sr-Cyrl-RS" w:eastAsia="ja-JP"/>
        </w:rPr>
        <w:t>рги</w:t>
      </w:r>
      <w:r>
        <w:rPr>
          <w:rFonts w:eastAsia="MS PGothic" w:cstheme="minorHAnsi"/>
          <w:szCs w:val="20"/>
          <w:lang w:val="sr-Cyrl-RS" w:eastAsia="ja-JP"/>
        </w:rPr>
        <w:t>ја</w:t>
      </w:r>
      <w:r w:rsidRPr="00E13B1A">
        <w:rPr>
          <w:rFonts w:eastAsia="MS PGothic" w:cstheme="minorHAnsi"/>
          <w:szCs w:val="20"/>
          <w:lang w:val="sr-Cyrl-RS" w:eastAsia="ja-JP"/>
        </w:rPr>
        <w:t>, алк</w:t>
      </w:r>
      <w:r>
        <w:rPr>
          <w:rFonts w:eastAsia="MS PGothic" w:cstheme="minorHAnsi"/>
          <w:szCs w:val="20"/>
          <w:lang w:val="sr-Cyrl-RS" w:eastAsia="ja-JP"/>
        </w:rPr>
        <w:t>о</w:t>
      </w:r>
      <w:r w:rsidRPr="00E13B1A">
        <w:rPr>
          <w:rFonts w:eastAsia="MS PGothic" w:cstheme="minorHAnsi"/>
          <w:szCs w:val="20"/>
          <w:lang w:val="sr-Cyrl-RS" w:eastAsia="ja-JP"/>
        </w:rPr>
        <w:t>хол и кафа) повећана је услед нешто бољег остварења акцизних прихода код све три категорије производа у односу на план.</w:t>
      </w:r>
    </w:p>
    <w:p w14:paraId="5F846A0B" w14:textId="77777777" w:rsidR="00252AA2" w:rsidRPr="00E13B1A" w:rsidRDefault="00252AA2" w:rsidP="006272DB">
      <w:pPr>
        <w:widowControl w:val="0"/>
        <w:spacing w:after="120"/>
        <w:rPr>
          <w:rFonts w:eastAsia="MS PGothic" w:cstheme="minorHAnsi"/>
          <w:szCs w:val="20"/>
          <w:lang w:val="sr-Cyrl-RS" w:eastAsia="ja-JP"/>
        </w:rPr>
      </w:pPr>
      <w:r w:rsidRPr="00E13B1A">
        <w:rPr>
          <w:rFonts w:eastAsia="MS PGothic" w:cstheme="minorHAnsi"/>
          <w:szCs w:val="20"/>
          <w:lang w:val="sr-Cyrl-RS" w:eastAsia="ja-JP"/>
        </w:rPr>
        <w:t>Спровођење поменутих мера којима је током ове и претходне године, у апсолутном и у релативном смислу смањено акцизно оптерећење, имало је значајне ефекте на висину јавних прихода. Тако је процењен губитак прихода у 2022. години износио 37,5 млрд, а за 2023. годину он се процењује у износу од 63 млрд динара. Укупно за обе године процењени губитак износи 100,5 млрд динара односно 1,3% БДП. Око 80 процената овог губитка односи се умањење и изостанак индексације акциза на деривате нафте.</w:t>
      </w:r>
    </w:p>
    <w:p w14:paraId="75E5050E" w14:textId="596D0C7C" w:rsidR="00252AA2" w:rsidRPr="00E13B1A" w:rsidRDefault="00252AA2" w:rsidP="006272DB">
      <w:pPr>
        <w:spacing w:after="120"/>
        <w:rPr>
          <w:rFonts w:eastAsia="MS PGothic" w:cstheme="minorHAnsi"/>
          <w:szCs w:val="20"/>
          <w:lang w:val="sr-Cyrl-RS" w:eastAsia="ja-JP"/>
        </w:rPr>
      </w:pPr>
      <w:r w:rsidRPr="00E13B1A">
        <w:rPr>
          <w:rFonts w:eastAsia="MS PGothic" w:cstheme="minorHAnsi"/>
          <w:bCs/>
          <w:szCs w:val="20"/>
          <w:lang w:val="sr-Cyrl-RS" w:eastAsia="ja-JP"/>
        </w:rPr>
        <w:t>Непорески приходи ревидирани су навише за 28,2 млрд динара, у складу са досадашњим кретањем како редовних, тако и ванредних непореских прихода.</w:t>
      </w:r>
      <w:r w:rsidRPr="00E13B1A">
        <w:rPr>
          <w:rFonts w:eastAsia="MS PGothic" w:cstheme="minorHAnsi"/>
          <w:szCs w:val="20"/>
          <w:lang w:val="sr-Cyrl-RS" w:eastAsia="ja-JP"/>
        </w:rPr>
        <w:t xml:space="preserve"> У редовне непореске приходе спадају различите таксе, накнаде (укључујући и путарине), казне, приходи органа и организација и сви остали приходи који се остварују устаљеном динамиком током године, уз одређене сезонске варијације. Значајан део овог повећања односи на приходе од путарина, јер корекција њихове висине иницијално није планирана. Остатак се односи на редовне непореске приходе буџета Републике као што су накнаде за коришћење минералних сировина, приређивање игара на срећу и др. Повећање пројектованог износа ових прихода резултат је бољег остварења на крају претходне </w:t>
      </w:r>
      <w:r w:rsidRPr="00E13B1A">
        <w:rPr>
          <w:rFonts w:eastAsia="MS PGothic" w:cstheme="minorHAnsi"/>
          <w:szCs w:val="20"/>
          <w:lang w:val="sr-Cyrl-RS" w:eastAsia="ja-JP"/>
        </w:rPr>
        <w:lastRenderedPageBreak/>
        <w:t>године, те више остварење у односу на план, током протеклог дела текуће године. Ванредне непореске приходе чине уплате добити јавних предузећа и агенција, дивиденде буџета, приходи по основу наплаћених потраживања Агенције за осигурање депозита, емисионе премије, итд. План ванредних непореских прихода такође коригован након реализације и најаве уплата по овом основу. Ово се превасходно односи на приходе по основу дивиденди буџета и примљ</w:t>
      </w:r>
      <w:r w:rsidR="002633CA">
        <w:rPr>
          <w:rFonts w:eastAsia="MS PGothic" w:cstheme="minorHAnsi"/>
          <w:szCs w:val="20"/>
          <w:lang w:val="sr-Cyrl-RS" w:eastAsia="ja-JP"/>
        </w:rPr>
        <w:t>е</w:t>
      </w:r>
      <w:r w:rsidRPr="00E13B1A">
        <w:rPr>
          <w:rFonts w:eastAsia="MS PGothic" w:cstheme="minorHAnsi"/>
          <w:szCs w:val="20"/>
          <w:lang w:val="sr-Cyrl-RS" w:eastAsia="ja-JP"/>
        </w:rPr>
        <w:t>них камата.</w:t>
      </w:r>
    </w:p>
    <w:p w14:paraId="6DFFDADA" w14:textId="4441027A" w:rsidR="00252AA2" w:rsidRPr="00E13B1A" w:rsidRDefault="00252AA2" w:rsidP="006272DB">
      <w:pPr>
        <w:spacing w:after="120"/>
        <w:rPr>
          <w:rFonts w:eastAsia="MS PGothic" w:cstheme="minorHAnsi"/>
          <w:szCs w:val="20"/>
          <w:lang w:val="sr-Cyrl-RS" w:eastAsia="ja-JP"/>
        </w:rPr>
      </w:pPr>
      <w:r w:rsidRPr="00E13B1A">
        <w:rPr>
          <w:rFonts w:eastAsia="MS PGothic" w:cstheme="minorHAnsi"/>
          <w:szCs w:val="20"/>
          <w:lang w:val="sr-Cyrl-RS" w:eastAsia="ja-JP"/>
        </w:rPr>
        <w:t xml:space="preserve">Проширење обухвата сектора државе, укључивањем свих извора финансирања здравствених установа у 2023. години, на приходној страни довело је до повећања непореских прихода за 29 млрд и обухвата сопствене приходе здравствених установа. Мањи део прихода здравствених установа односи се </w:t>
      </w:r>
      <w:r w:rsidR="00AD43E1">
        <w:rPr>
          <w:rFonts w:eastAsia="MS PGothic" w:cstheme="minorHAnsi"/>
          <w:szCs w:val="20"/>
          <w:lang w:val="sr-Cyrl-RS" w:eastAsia="ja-JP"/>
        </w:rPr>
        <w:t xml:space="preserve">на </w:t>
      </w:r>
      <w:r w:rsidRPr="00E13B1A">
        <w:rPr>
          <w:rFonts w:eastAsia="MS PGothic" w:cstheme="minorHAnsi"/>
          <w:szCs w:val="20"/>
          <w:lang w:val="sr-Cyrl-RS" w:eastAsia="ja-JP"/>
        </w:rPr>
        <w:t xml:space="preserve">донације, те је дошло и до повећања ових прихода. Због упоредивости, за исти износ коригован је и оригинални план непореских прихода, имајући у виду да се овде не ради о вишем остварењу од планираног износа, већ проширеном обухвату прихода које остварују здравствене установе. </w:t>
      </w:r>
      <w:r w:rsidRPr="00E13B1A">
        <w:rPr>
          <w:rFonts w:eastAsia="MS PGothic" w:cstheme="minorHAnsi"/>
          <w:bCs/>
          <w:szCs w:val="20"/>
          <w:lang w:val="sr-Cyrl-RS" w:eastAsia="ja-JP"/>
        </w:rPr>
        <w:t>Укључивањем приходне и расходне стране свих извора финансирања здравствених установа, према планираној динамици усклађивања обухвата сектора државе са међународним стандардима, повећало је приходну и расходну страну сектора државе и дало тачнији приказ економских класификација потрошње код крајњег корисника, самих здравствених установа.</w:t>
      </w:r>
      <w:r w:rsidRPr="00E13B1A">
        <w:rPr>
          <w:rFonts w:eastAsia="MS PGothic" w:cstheme="minorHAnsi"/>
          <w:szCs w:val="20"/>
          <w:lang w:val="sr-Cyrl-RS" w:eastAsia="ja-JP"/>
        </w:rPr>
        <w:t xml:space="preserve"> Поједине категорије расхода сада су обухваћене на економским класификацијама на којима су извршене у здравственим установама (плате, робе и услуге, капитални издаци и сл.). Ови расходи су и до сада били укључени али као коначан расход буџета Републике, АПВ или локалне самоуправе.</w:t>
      </w:r>
    </w:p>
    <w:p w14:paraId="0B7BC546" w14:textId="77777777" w:rsidR="00252AA2" w:rsidRPr="00E13B1A" w:rsidRDefault="00252AA2" w:rsidP="006272DB">
      <w:pPr>
        <w:rPr>
          <w:lang w:val="sr-Cyrl-RS" w:eastAsia="ja-JP"/>
        </w:rPr>
      </w:pPr>
    </w:p>
    <w:p w14:paraId="264BCD72" w14:textId="77777777" w:rsidR="00252AA2" w:rsidRPr="00E13B1A" w:rsidRDefault="00252AA2" w:rsidP="006272DB">
      <w:pPr>
        <w:rPr>
          <w:lang w:val="sr-Cyrl-RS" w:eastAsia="ja-JP"/>
        </w:rPr>
      </w:pPr>
    </w:p>
    <w:p w14:paraId="45155F09" w14:textId="77777777" w:rsidR="00252AA2" w:rsidRPr="00E13B1A" w:rsidRDefault="00252AA2" w:rsidP="006272DB">
      <w:pPr>
        <w:rPr>
          <w:lang w:val="sr-Cyrl-RS" w:eastAsia="ja-JP"/>
        </w:rPr>
      </w:pPr>
    </w:p>
    <w:p w14:paraId="5FEBC731" w14:textId="77777777" w:rsidR="00252AA2" w:rsidRPr="00E13B1A" w:rsidRDefault="00252AA2" w:rsidP="006272DB">
      <w:pPr>
        <w:rPr>
          <w:lang w:val="sr-Cyrl-RS" w:eastAsia="ja-JP"/>
        </w:rPr>
      </w:pPr>
    </w:p>
    <w:p w14:paraId="7345845B" w14:textId="77777777" w:rsidR="00252AA2" w:rsidRPr="00E13B1A" w:rsidRDefault="00252AA2" w:rsidP="006272DB">
      <w:pPr>
        <w:rPr>
          <w:lang w:val="sr-Cyrl-RS" w:eastAsia="ja-JP"/>
        </w:rPr>
      </w:pPr>
    </w:p>
    <w:p w14:paraId="4CF383EE" w14:textId="77777777" w:rsidR="00252AA2" w:rsidRPr="00E13B1A" w:rsidRDefault="00252AA2" w:rsidP="006272DB">
      <w:pPr>
        <w:rPr>
          <w:lang w:val="sr-Cyrl-RS" w:eastAsia="ja-JP"/>
        </w:rPr>
      </w:pPr>
    </w:p>
    <w:p w14:paraId="35191874" w14:textId="77777777" w:rsidR="00252AA2" w:rsidRPr="00E13B1A" w:rsidRDefault="00252AA2" w:rsidP="006272DB">
      <w:pPr>
        <w:widowControl w:val="0"/>
        <w:spacing w:after="120"/>
        <w:jc w:val="center"/>
        <w:rPr>
          <w:rFonts w:eastAsia="MS PGothic" w:cstheme="minorHAnsi"/>
          <w:b/>
          <w:color w:val="002060"/>
          <w:szCs w:val="20"/>
          <w:lang w:val="sr-Cyrl-RS" w:eastAsia="ja-JP"/>
        </w:rPr>
      </w:pPr>
      <w:r w:rsidRPr="00E13B1A">
        <w:rPr>
          <w:rFonts w:eastAsia="MS PGothic" w:cstheme="minorHAnsi"/>
          <w:b/>
          <w:color w:val="002060"/>
          <w:szCs w:val="20"/>
          <w:lang w:val="sr-Cyrl-RS" w:eastAsia="ja-JP"/>
        </w:rPr>
        <w:t>Допринос појединих фактора корекцији фиск. резултата у односу на план за 2023. год, % БДП</w:t>
      </w:r>
    </w:p>
    <w:p w14:paraId="1ECBEF90" w14:textId="77777777" w:rsidR="00252AA2" w:rsidRPr="00E13B1A" w:rsidRDefault="00252AA2" w:rsidP="006272DB">
      <w:pPr>
        <w:widowControl w:val="0"/>
        <w:spacing w:after="120"/>
        <w:jc w:val="center"/>
        <w:rPr>
          <w:rFonts w:eastAsia="MS PGothic" w:cstheme="minorHAnsi"/>
          <w:b/>
          <w:color w:val="002060"/>
          <w:szCs w:val="20"/>
          <w:lang w:val="sr-Cyrl-RS" w:eastAsia="ja-JP"/>
        </w:rPr>
      </w:pPr>
      <w:r w:rsidRPr="00E13B1A">
        <w:rPr>
          <w:rFonts w:eastAsia="MS PGothic" w:cstheme="minorHAnsi"/>
          <w:b/>
          <w:noProof/>
          <w:color w:val="002060"/>
          <w:szCs w:val="20"/>
        </w:rPr>
        <w:drawing>
          <wp:inline distT="0" distB="0" distL="0" distR="0" wp14:anchorId="5677AD02" wp14:editId="483511D9">
            <wp:extent cx="2905125" cy="2950845"/>
            <wp:effectExtent l="0" t="0" r="9525" b="1905"/>
            <wp:docPr id="308761600" name="Picture 30876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905125" cy="2950845"/>
                    </a:xfrm>
                    <a:prstGeom prst="rect">
                      <a:avLst/>
                    </a:prstGeom>
                    <a:noFill/>
                  </pic:spPr>
                </pic:pic>
              </a:graphicData>
            </a:graphic>
          </wp:inline>
        </w:drawing>
      </w:r>
    </w:p>
    <w:p w14:paraId="10B21D7D" w14:textId="77777777" w:rsidR="00252AA2" w:rsidRPr="00E13B1A" w:rsidRDefault="00252AA2" w:rsidP="006272DB">
      <w:pPr>
        <w:spacing w:after="120"/>
        <w:rPr>
          <w:rFonts w:eastAsia="MS PGothic" w:cstheme="minorHAnsi"/>
          <w:bCs/>
          <w:szCs w:val="20"/>
          <w:lang w:val="sr-Cyrl-RS" w:eastAsia="ja-JP"/>
        </w:rPr>
      </w:pPr>
      <w:r w:rsidRPr="00E13B1A">
        <w:rPr>
          <w:rFonts w:eastAsia="MS PGothic" w:cstheme="minorHAnsi"/>
          <w:szCs w:val="20"/>
          <w:lang w:val="sr-Cyrl-RS" w:eastAsia="ja-JP"/>
        </w:rPr>
        <w:t xml:space="preserve">Процена расхода сектора државе овим фискалним оквиром повећана је за 96 млрд динара у односу на оригинални план. </w:t>
      </w:r>
      <w:r w:rsidRPr="00E13B1A">
        <w:rPr>
          <w:rFonts w:eastAsia="MS PGothic" w:cstheme="minorHAnsi"/>
          <w:bCs/>
          <w:szCs w:val="20"/>
          <w:lang w:val="sr-Cyrl-RS" w:eastAsia="ja-JP"/>
        </w:rPr>
        <w:t>При томе највеће повећање бележе расходи за набавку роба и услуга, док се највеће смањење односи на буџетске позајмице, превасходно због знатно мањих потреба за набавком енергената.</w:t>
      </w:r>
    </w:p>
    <w:p w14:paraId="1C220467" w14:textId="1AF59971" w:rsidR="00252AA2" w:rsidRPr="00E13B1A" w:rsidRDefault="00252AA2" w:rsidP="006272DB">
      <w:pPr>
        <w:spacing w:after="120"/>
        <w:rPr>
          <w:rFonts w:eastAsia="MS PGothic" w:cstheme="minorHAnsi"/>
          <w:szCs w:val="20"/>
          <w:lang w:val="sr-Cyrl-RS" w:eastAsia="ja-JP"/>
        </w:rPr>
      </w:pPr>
      <w:r w:rsidRPr="00E13B1A">
        <w:rPr>
          <w:rFonts w:eastAsia="MS PGothic" w:cstheme="minorHAnsi"/>
          <w:bCs/>
          <w:szCs w:val="20"/>
          <w:lang w:val="sr-Cyrl-RS" w:eastAsia="ja-JP"/>
        </w:rPr>
        <w:t xml:space="preserve">Процена расхода за запослене у 2023. години ревидирана је навише за 5,6 млрд динара. Ово је у највећој мери резултат предвиђеног повећања зарада запослених у просвети и делу здравства од 5,5%, почевши од зараде за септембар текуће године. У ову процену (као и у оригинални план) укључени </w:t>
      </w:r>
      <w:r w:rsidR="00DB4AD4">
        <w:rPr>
          <w:rFonts w:eastAsia="MS PGothic" w:cstheme="minorHAnsi"/>
          <w:bCs/>
          <w:szCs w:val="20"/>
          <w:lang w:val="sr-Cyrl-RS" w:eastAsia="ja-JP"/>
        </w:rPr>
        <w:t xml:space="preserve">су </w:t>
      </w:r>
      <w:r w:rsidRPr="00E13B1A">
        <w:rPr>
          <w:rFonts w:eastAsia="MS PGothic" w:cstheme="minorHAnsi"/>
          <w:bCs/>
          <w:szCs w:val="20"/>
          <w:lang w:val="sr-Cyrl-RS" w:eastAsia="ja-JP"/>
        </w:rPr>
        <w:t>расходи за зараде који се финансирају из сопствених средстава здравствених установа, у износу од 12,9 млрд динара.</w:t>
      </w:r>
      <w:r w:rsidRPr="00E13B1A">
        <w:rPr>
          <w:rFonts w:eastAsia="MS PGothic" w:cstheme="minorHAnsi"/>
          <w:szCs w:val="20"/>
          <w:lang w:val="sr-Cyrl-RS" w:eastAsia="ja-JP"/>
        </w:rPr>
        <w:t xml:space="preserve"> Ова промена ће у складу са Законом о буџетском систему и новим сетом фискалних правила, довести и до померања горње дозвољене границе учешћа расхода за зараде у БДП.</w:t>
      </w:r>
    </w:p>
    <w:p w14:paraId="31C7DA6E" w14:textId="77777777" w:rsidR="00252AA2" w:rsidRDefault="00252AA2">
      <w:pPr>
        <w:jc w:val="left"/>
        <w:rPr>
          <w:rFonts w:eastAsia="MS PGothic" w:cstheme="minorHAnsi"/>
          <w:spacing w:val="2"/>
          <w:szCs w:val="20"/>
          <w:lang w:val="sr-Cyrl-RS" w:eastAsia="ja-JP"/>
        </w:rPr>
      </w:pPr>
      <w:r>
        <w:rPr>
          <w:rFonts w:eastAsia="MS PGothic" w:cstheme="minorHAnsi"/>
          <w:spacing w:val="2"/>
          <w:szCs w:val="20"/>
          <w:lang w:val="sr-Cyrl-RS" w:eastAsia="ja-JP"/>
        </w:rPr>
        <w:br w:type="page"/>
      </w:r>
    </w:p>
    <w:p w14:paraId="600F9B8A" w14:textId="2CCF8FAE" w:rsidR="00252AA2" w:rsidRPr="00E13B1A" w:rsidRDefault="00252AA2" w:rsidP="006272DB">
      <w:pPr>
        <w:spacing w:after="120"/>
        <w:rPr>
          <w:rFonts w:eastAsia="MS PGothic" w:cstheme="minorHAnsi"/>
          <w:spacing w:val="2"/>
          <w:szCs w:val="20"/>
          <w:lang w:val="sr-Cyrl-RS" w:eastAsia="ja-JP"/>
        </w:rPr>
      </w:pPr>
      <w:r w:rsidRPr="00E13B1A">
        <w:rPr>
          <w:rFonts w:eastAsia="MS PGothic" w:cstheme="minorHAnsi"/>
          <w:spacing w:val="2"/>
          <w:szCs w:val="20"/>
          <w:lang w:val="sr-Cyrl-RS" w:eastAsia="ja-JP"/>
        </w:rPr>
        <w:lastRenderedPageBreak/>
        <w:t xml:space="preserve">Расходи за робе и услуге су повећани за 35,8 млрд динара. </w:t>
      </w:r>
      <w:r w:rsidRPr="00E13B1A">
        <w:rPr>
          <w:rFonts w:eastAsia="MS PGothic" w:cstheme="minorHAnsi"/>
          <w:bCs/>
          <w:spacing w:val="2"/>
          <w:szCs w:val="20"/>
          <w:lang w:val="sr-Cyrl-RS" w:eastAsia="ja-JP"/>
        </w:rPr>
        <w:t>Део повећања у оквиру расхода за робе и услуге односи се на текуће одржавање путева од стране ЈП „Путеви Србије”.</w:t>
      </w:r>
      <w:r w:rsidRPr="00E13B1A">
        <w:rPr>
          <w:rFonts w:eastAsia="MS PGothic" w:cstheme="minorHAnsi"/>
          <w:spacing w:val="2"/>
          <w:szCs w:val="20"/>
          <w:lang w:val="sr-Cyrl-RS" w:eastAsia="ja-JP"/>
        </w:rPr>
        <w:t xml:space="preserve"> Такође предвиђа се и веће издвајање за ове потребе у систему здравства. Преостало повећање се односи на расходе буџета Републике и локалног нивоа власти. Као и код расхода за запослене, и код расхода за робе и услуге извршено је укључивање расхода финансираних из сопствених прихода здравствених установа, у износу од око 17 млрд динара.</w:t>
      </w:r>
    </w:p>
    <w:p w14:paraId="51CED8D8" w14:textId="77777777" w:rsidR="00252AA2" w:rsidRPr="00E13B1A" w:rsidRDefault="00252AA2" w:rsidP="006272DB">
      <w:pPr>
        <w:spacing w:after="120"/>
        <w:rPr>
          <w:rFonts w:eastAsia="MS PGothic" w:cstheme="minorHAnsi"/>
          <w:spacing w:val="2"/>
          <w:szCs w:val="20"/>
          <w:lang w:val="sr-Cyrl-RS" w:eastAsia="ja-JP"/>
        </w:rPr>
      </w:pPr>
      <w:r w:rsidRPr="00E13B1A">
        <w:rPr>
          <w:rFonts w:eastAsia="MS PGothic" w:cstheme="minorHAnsi"/>
          <w:spacing w:val="2"/>
          <w:szCs w:val="20"/>
          <w:lang w:val="sr-Cyrl-RS" w:eastAsia="ja-JP"/>
        </w:rPr>
        <w:t>Расходи за камате повећани су за 5 млрд динара, услед промена услова на тржишту капитала.</w:t>
      </w:r>
    </w:p>
    <w:p w14:paraId="0761BCE6" w14:textId="2AC6EC5A" w:rsidR="00252AA2" w:rsidRPr="00E13B1A" w:rsidRDefault="00252AA2" w:rsidP="006272DB">
      <w:pPr>
        <w:spacing w:after="120"/>
        <w:rPr>
          <w:rFonts w:eastAsia="MS PGothic" w:cstheme="minorHAnsi"/>
          <w:szCs w:val="20"/>
          <w:lang w:val="sr-Cyrl-RS" w:eastAsia="ja-JP"/>
        </w:rPr>
      </w:pPr>
      <w:r w:rsidRPr="00E13B1A">
        <w:rPr>
          <w:rFonts w:eastAsia="MS PGothic" w:cstheme="minorHAnsi"/>
          <w:bCs/>
          <w:szCs w:val="20"/>
          <w:lang w:val="sr-Cyrl-RS" w:eastAsia="ja-JP"/>
        </w:rPr>
        <w:t xml:space="preserve">Повећање пољопривредних субвенција кључно је утицало на повећање укупних расхода по основу буџетских субвенција. </w:t>
      </w:r>
      <w:r w:rsidRPr="00E13B1A">
        <w:rPr>
          <w:rFonts w:eastAsia="MS PGothic" w:cstheme="minorHAnsi"/>
          <w:szCs w:val="20"/>
          <w:lang w:val="sr-Cyrl-RS" w:eastAsia="ja-JP"/>
        </w:rPr>
        <w:t>Расходи за субвенције су повећани у односу на оригинални план за 16,9 млрд динара. Дошло је до зна</w:t>
      </w:r>
      <w:r>
        <w:rPr>
          <w:rFonts w:eastAsia="MS PGothic" w:cstheme="minorHAnsi"/>
          <w:szCs w:val="20"/>
          <w:lang w:val="sr-Cyrl-RS" w:eastAsia="ja-JP"/>
        </w:rPr>
        <w:t>ч</w:t>
      </w:r>
      <w:r w:rsidRPr="00E13B1A">
        <w:rPr>
          <w:rFonts w:eastAsia="MS PGothic" w:cstheme="minorHAnsi"/>
          <w:szCs w:val="20"/>
          <w:lang w:val="sr-Cyrl-RS" w:eastAsia="ja-JP"/>
        </w:rPr>
        <w:t>а</w:t>
      </w:r>
      <w:r>
        <w:rPr>
          <w:rFonts w:eastAsia="MS PGothic" w:cstheme="minorHAnsi"/>
          <w:szCs w:val="20"/>
          <w:lang w:val="sr-Cyrl-RS" w:eastAsia="ja-JP"/>
        </w:rPr>
        <w:t>ј</w:t>
      </w:r>
      <w:r w:rsidRPr="00E13B1A">
        <w:rPr>
          <w:rFonts w:eastAsia="MS PGothic" w:cstheme="minorHAnsi"/>
          <w:szCs w:val="20"/>
          <w:lang w:val="sr-Cyrl-RS" w:eastAsia="ja-JP"/>
        </w:rPr>
        <w:t>них промена у структури субвенција у односну на оригинални план предвиђен буџетом. Пове</w:t>
      </w:r>
      <w:r w:rsidR="00444896">
        <w:rPr>
          <w:rFonts w:eastAsia="MS PGothic" w:cstheme="minorHAnsi"/>
          <w:szCs w:val="20"/>
          <w:lang w:val="sr-Cyrl-RS" w:eastAsia="ja-JP"/>
        </w:rPr>
        <w:t>ћане су пољопривредне субвенциј</w:t>
      </w:r>
      <w:r w:rsidR="00444896">
        <w:rPr>
          <w:rFonts w:eastAsia="MS PGothic" w:cstheme="minorHAnsi"/>
          <w:szCs w:val="20"/>
          <w:lang w:val="en-GB" w:eastAsia="ja-JP"/>
        </w:rPr>
        <w:t>e</w:t>
      </w:r>
      <w:r w:rsidRPr="00E13B1A">
        <w:rPr>
          <w:rFonts w:eastAsia="MS PGothic" w:cstheme="minorHAnsi"/>
          <w:szCs w:val="20"/>
          <w:lang w:val="sr-Cyrl-RS" w:eastAsia="ja-JP"/>
        </w:rPr>
        <w:t xml:space="preserve"> за 32 млрд динара, док су субвенције у енергетици смањене за око 26 млрд динара. Повећање субвенција за пољопривреду односи се на област сточарства (премија за млеко и подстицаји по грлу), као и на директна давања по хектару пољопривредне површине.</w:t>
      </w:r>
    </w:p>
    <w:p w14:paraId="4B9882A5" w14:textId="14D7C9F3" w:rsidR="00252AA2" w:rsidRPr="00E13B1A" w:rsidRDefault="00252AA2" w:rsidP="006272DB">
      <w:pPr>
        <w:spacing w:after="120"/>
        <w:rPr>
          <w:rFonts w:eastAsia="MS PGothic" w:cstheme="minorHAnsi"/>
          <w:szCs w:val="20"/>
          <w:lang w:val="sr-Cyrl-RS" w:eastAsia="ja-JP"/>
        </w:rPr>
      </w:pPr>
      <w:r w:rsidRPr="00E13B1A">
        <w:rPr>
          <w:rFonts w:eastAsia="MS PGothic" w:cstheme="minorHAnsi"/>
          <w:szCs w:val="20"/>
          <w:lang w:val="sr-Cyrl-RS" w:eastAsia="ja-JP"/>
        </w:rPr>
        <w:t>Расходи за субвенције на осталим ниво</w:t>
      </w:r>
      <w:r>
        <w:rPr>
          <w:rFonts w:eastAsia="MS PGothic" w:cstheme="minorHAnsi"/>
          <w:szCs w:val="20"/>
          <w:lang w:val="sr-Cyrl-RS" w:eastAsia="ja-JP"/>
        </w:rPr>
        <w:t>и</w:t>
      </w:r>
      <w:r w:rsidRPr="00E13B1A">
        <w:rPr>
          <w:rFonts w:eastAsia="MS PGothic" w:cstheme="minorHAnsi"/>
          <w:szCs w:val="20"/>
          <w:lang w:val="sr-Cyrl-RS" w:eastAsia="ja-JP"/>
        </w:rPr>
        <w:t>ма власти, према новој процени смањени су за 4 млрд динара.</w:t>
      </w:r>
      <w:r>
        <w:rPr>
          <w:rFonts w:eastAsia="MS PGothic" w:cstheme="minorHAnsi"/>
          <w:szCs w:val="20"/>
          <w:lang w:val="sr-Cyrl-RS" w:eastAsia="ja-JP"/>
        </w:rPr>
        <w:t xml:space="preserve"> </w:t>
      </w:r>
      <w:r w:rsidRPr="00E13B1A">
        <w:rPr>
          <w:rFonts w:eastAsia="MS PGothic" w:cstheme="minorHAnsi"/>
          <w:bCs/>
          <w:szCs w:val="20"/>
          <w:lang w:val="sr-Cyrl-RS" w:eastAsia="ja-JP"/>
        </w:rPr>
        <w:t>Расходи за социјалну заштиту ревидирани су навише за 24,3 млрд динара у односу на оригинални план. Део повећања односи се на планирано трајно повећање пензија од 5,5%, од октобра 2023. године</w:t>
      </w:r>
      <w:r w:rsidRPr="00E13B1A">
        <w:rPr>
          <w:rFonts w:eastAsia="MS PGothic" w:cstheme="minorHAnsi"/>
          <w:szCs w:val="20"/>
          <w:lang w:val="sr-Cyrl-RS" w:eastAsia="ja-JP"/>
        </w:rPr>
        <w:t>. По том основу предвиђа се повећање расхода за пензије од 6,6 млрд динара. Такође као једн</w:t>
      </w:r>
      <w:r>
        <w:rPr>
          <w:rFonts w:eastAsia="MS PGothic" w:cstheme="minorHAnsi"/>
          <w:szCs w:val="20"/>
          <w:lang w:val="sr-Cyrl-RS" w:eastAsia="ja-JP"/>
        </w:rPr>
        <w:t>о</w:t>
      </w:r>
      <w:r w:rsidRPr="00E13B1A">
        <w:rPr>
          <w:rFonts w:eastAsia="MS PGothic" w:cstheme="minorHAnsi"/>
          <w:szCs w:val="20"/>
          <w:lang w:val="sr-Cyrl-RS" w:eastAsia="ja-JP"/>
        </w:rPr>
        <w:t xml:space="preserve">кратна мера биће реализована исплата помоћи пензионерима у укупном износу од </w:t>
      </w:r>
      <w:r w:rsidR="004E7112">
        <w:rPr>
          <w:rFonts w:eastAsia="MS PGothic" w:cstheme="minorHAnsi"/>
          <w:szCs w:val="20"/>
          <w:lang w:val="sr-Cyrl-RS" w:eastAsia="ja-JP"/>
        </w:rPr>
        <w:t xml:space="preserve">око </w:t>
      </w:r>
      <w:r w:rsidRPr="00E13B1A">
        <w:rPr>
          <w:rFonts w:eastAsia="MS PGothic" w:cstheme="minorHAnsi"/>
          <w:szCs w:val="20"/>
          <w:lang w:val="sr-Cyrl-RS" w:eastAsia="ja-JP"/>
        </w:rPr>
        <w:t>3</w:t>
      </w:r>
      <w:r w:rsidR="004E7112">
        <w:rPr>
          <w:rFonts w:eastAsia="MS PGothic" w:cstheme="minorHAnsi"/>
          <w:szCs w:val="20"/>
          <w:lang w:val="sr-Cyrl-RS" w:eastAsia="ja-JP"/>
        </w:rPr>
        <w:t>3</w:t>
      </w:r>
      <w:r w:rsidRPr="00E13B1A">
        <w:rPr>
          <w:rFonts w:eastAsia="MS PGothic" w:cstheme="minorHAnsi"/>
          <w:szCs w:val="20"/>
          <w:lang w:val="sr-Cyrl-RS" w:eastAsia="ja-JP"/>
        </w:rPr>
        <w:t xml:space="preserve"> млрд динара. На нивоу буџета Републике предвиђено је повећање од 6,7 млрд динара, највише за додатне мере бриге о породици. На нивоу здравственог система повећање расхода по овом основу износи 7,5 </w:t>
      </w:r>
      <w:r w:rsidRPr="00E13B1A">
        <w:rPr>
          <w:rFonts w:eastAsia="MS PGothic" w:cstheme="minorHAnsi"/>
          <w:szCs w:val="20"/>
          <w:lang w:val="sr-Cyrl-RS" w:eastAsia="ja-JP"/>
        </w:rPr>
        <w:t>млрд. Проширење обухвата сектора државе свим изворима финансирања здравствених установа, довело је и до исправније класификације одређених расхода. Тако је један део расхода за социјалну заштиту на локалном нивоу, сада било могуће класификовати као трансфер здравственим установама од стране локалне власти. Смањење ове категорије расхода по том основу износи 3,4 млрд.</w:t>
      </w:r>
    </w:p>
    <w:p w14:paraId="34D8CB89" w14:textId="77777777" w:rsidR="00252AA2" w:rsidRPr="00E13B1A" w:rsidRDefault="00252AA2" w:rsidP="006272DB">
      <w:pPr>
        <w:spacing w:after="120"/>
        <w:rPr>
          <w:rFonts w:eastAsia="MS PGothic" w:cstheme="minorHAnsi"/>
          <w:szCs w:val="20"/>
          <w:lang w:val="sr-Cyrl-RS" w:eastAsia="ja-JP"/>
        </w:rPr>
      </w:pPr>
      <w:r w:rsidRPr="00E13B1A">
        <w:rPr>
          <w:rFonts w:eastAsia="MS PGothic" w:cstheme="minorHAnsi"/>
          <w:bCs/>
          <w:szCs w:val="20"/>
          <w:lang w:val="sr-Cyrl-RS" w:eastAsia="ja-JP"/>
        </w:rPr>
        <w:t>Процена осталих текућих расхода у 2023. години у односу на оригинални план, овим оквиром повећана је за 26,5 млрд динара.</w:t>
      </w:r>
      <w:r w:rsidRPr="00E13B1A">
        <w:rPr>
          <w:rFonts w:eastAsia="MS PGothic" w:cstheme="minorHAnsi"/>
          <w:szCs w:val="20"/>
          <w:lang w:val="sr-Cyrl-RS" w:eastAsia="ja-JP"/>
        </w:rPr>
        <w:t xml:space="preserve"> На нив</w:t>
      </w:r>
      <w:r>
        <w:rPr>
          <w:rFonts w:eastAsia="MS PGothic" w:cstheme="minorHAnsi"/>
          <w:szCs w:val="20"/>
          <w:lang w:val="sr-Cyrl-RS" w:eastAsia="ja-JP"/>
        </w:rPr>
        <w:t>о</w:t>
      </w:r>
      <w:r w:rsidRPr="00E13B1A">
        <w:rPr>
          <w:rFonts w:eastAsia="MS PGothic" w:cstheme="minorHAnsi"/>
          <w:szCs w:val="20"/>
          <w:lang w:val="sr-Cyrl-RS" w:eastAsia="ja-JP"/>
        </w:rPr>
        <w:t>у буџета Републике укупно повећање износи 14,5 млрд динара, од чега се 12 млрд динара односи на јед</w:t>
      </w:r>
      <w:r>
        <w:rPr>
          <w:rFonts w:eastAsia="MS PGothic" w:cstheme="minorHAnsi"/>
          <w:szCs w:val="20"/>
          <w:lang w:val="sr-Cyrl-RS" w:eastAsia="ja-JP"/>
        </w:rPr>
        <w:t>но</w:t>
      </w:r>
      <w:r w:rsidRPr="00E13B1A">
        <w:rPr>
          <w:rFonts w:eastAsia="MS PGothic" w:cstheme="minorHAnsi"/>
          <w:szCs w:val="20"/>
          <w:lang w:val="sr-Cyrl-RS" w:eastAsia="ja-JP"/>
        </w:rPr>
        <w:t>кратну помоћ мајкама и самохраним очевима деце до 16 година. И код ове групације расхода дошло је до рекласификације њихове намене, услед промене обухвата сектора државе. Део расхода, у износу од 13,2 млрд динара на нивоу буџета Републике и АП Војводине, претходно приказан у оквиру ове категорије, сада је рекласификован као трансфер здравственим установама где се и реализује крајња потрошња.</w:t>
      </w:r>
    </w:p>
    <w:p w14:paraId="7C050734" w14:textId="77777777" w:rsidR="00252AA2" w:rsidRPr="00E13B1A" w:rsidRDefault="00252AA2" w:rsidP="006272DB">
      <w:pPr>
        <w:spacing w:after="120"/>
        <w:rPr>
          <w:rFonts w:eastAsia="MS PGothic" w:cstheme="minorHAnsi"/>
          <w:szCs w:val="20"/>
          <w:lang w:val="sr-Cyrl-RS" w:eastAsia="ja-JP"/>
        </w:rPr>
      </w:pPr>
      <w:r w:rsidRPr="00E13B1A">
        <w:rPr>
          <w:rFonts w:eastAsia="MS PGothic" w:cstheme="minorHAnsi"/>
          <w:bCs/>
          <w:szCs w:val="20"/>
          <w:lang w:val="sr-Cyrl-RS" w:eastAsia="ja-JP"/>
        </w:rPr>
        <w:t>Процењује се да ће реализација јавних инвестиција бити већа за 23,1 млрд динара од првобитног плана. Од тога се већина односи на инфраструктурне пројекте, односно изградњу путне и железничке инфраструктуре, као и изградњу здравствене мреже.</w:t>
      </w:r>
      <w:r w:rsidRPr="00E13B1A">
        <w:rPr>
          <w:rFonts w:eastAsia="MS PGothic" w:cstheme="minorHAnsi"/>
          <w:szCs w:val="20"/>
          <w:lang w:val="sr-Cyrl-RS" w:eastAsia="ja-JP"/>
        </w:rPr>
        <w:t xml:space="preserve"> У односу на оригинални план, ребалансом буџета Републике, изм</w:t>
      </w:r>
      <w:r>
        <w:rPr>
          <w:rFonts w:eastAsia="MS PGothic" w:cstheme="minorHAnsi"/>
          <w:szCs w:val="20"/>
          <w:lang w:val="sr-Cyrl-RS" w:eastAsia="ja-JP"/>
        </w:rPr>
        <w:t>е</w:t>
      </w:r>
      <w:r w:rsidRPr="00E13B1A">
        <w:rPr>
          <w:rFonts w:eastAsia="MS PGothic" w:cstheme="minorHAnsi"/>
          <w:szCs w:val="20"/>
          <w:lang w:val="sr-Cyrl-RS" w:eastAsia="ja-JP"/>
        </w:rPr>
        <w:t>ње</w:t>
      </w:r>
      <w:r>
        <w:rPr>
          <w:rFonts w:eastAsia="MS PGothic" w:cstheme="minorHAnsi"/>
          <w:szCs w:val="20"/>
          <w:lang w:val="sr-Cyrl-RS" w:eastAsia="ja-JP"/>
        </w:rPr>
        <w:t>н</w:t>
      </w:r>
      <w:r w:rsidRPr="00E13B1A">
        <w:rPr>
          <w:rFonts w:eastAsia="MS PGothic" w:cstheme="minorHAnsi"/>
          <w:szCs w:val="20"/>
          <w:lang w:val="sr-Cyrl-RS" w:eastAsia="ja-JP"/>
        </w:rPr>
        <w:t>а је структура капиталних расхода, пре свега у складу са динамиком потрошње у протеклом периоду. Капитални расходи тако достижу ниво од 7,2% БДП у 2023. години. Укључивање капиталних расхода здравствених установа довело је до повећања и оригиналног и ревидираног плана за 16 млрд динара.</w:t>
      </w:r>
    </w:p>
    <w:p w14:paraId="67F25E2F" w14:textId="77777777" w:rsidR="00252AA2" w:rsidRPr="00E13B1A" w:rsidRDefault="00252AA2" w:rsidP="006272DB">
      <w:pPr>
        <w:widowControl w:val="0"/>
        <w:spacing w:after="120"/>
        <w:rPr>
          <w:rFonts w:eastAsia="MS PGothic" w:cstheme="minorHAnsi"/>
          <w:szCs w:val="20"/>
          <w:lang w:val="sr-Cyrl-RS" w:eastAsia="ja-JP"/>
        </w:rPr>
      </w:pPr>
      <w:r w:rsidRPr="00E13B1A">
        <w:rPr>
          <w:rFonts w:eastAsia="MS PGothic" w:cstheme="minorHAnsi"/>
          <w:bCs/>
          <w:szCs w:val="20"/>
          <w:lang w:val="sr-Cyrl-RS" w:eastAsia="ja-JP"/>
        </w:rPr>
        <w:t>Планирани износ буџетских позајмица, у оквиру којих су предвиђена средстава за набавку енергената, значајно је ревидиран наниже, услед позитивних кретања на тржишту и опоравка производње електричне енергије.</w:t>
      </w:r>
    </w:p>
    <w:p w14:paraId="58141A7F" w14:textId="77777777" w:rsidR="00252AA2" w:rsidRPr="00E13B1A" w:rsidRDefault="00252AA2" w:rsidP="006272DB">
      <w:pPr>
        <w:jc w:val="left"/>
        <w:rPr>
          <w:rFonts w:eastAsia="MS PGothic" w:cstheme="minorHAnsi"/>
          <w:b/>
          <w:color w:val="002060"/>
          <w:szCs w:val="20"/>
          <w:highlight w:val="yellow"/>
          <w:lang w:val="sr-Cyrl-RS" w:eastAsia="ja-JP"/>
        </w:rPr>
        <w:sectPr w:rsidR="00252AA2" w:rsidRPr="00E13B1A" w:rsidSect="006272DB">
          <w:type w:val="continuous"/>
          <w:pgSz w:w="12240" w:h="15840" w:code="1"/>
          <w:pgMar w:top="1440" w:right="1440" w:bottom="1440" w:left="1440" w:header="720" w:footer="720" w:gutter="0"/>
          <w:cols w:num="2" w:space="720"/>
          <w:docGrid w:linePitch="360"/>
        </w:sectPr>
      </w:pPr>
    </w:p>
    <w:p w14:paraId="164969C8" w14:textId="77777777" w:rsidR="00252AA2" w:rsidRPr="00E13B1A" w:rsidRDefault="00252AA2" w:rsidP="00252AA2">
      <w:pPr>
        <w:rPr>
          <w:highlight w:val="yellow"/>
          <w:lang w:val="sr-Cyrl-RS" w:eastAsia="ja-JP"/>
        </w:rPr>
      </w:pPr>
    </w:p>
    <w:p w14:paraId="196BE9DC" w14:textId="77777777" w:rsidR="00252AA2" w:rsidRPr="00E13B1A" w:rsidRDefault="00252AA2" w:rsidP="00252AA2">
      <w:pPr>
        <w:rPr>
          <w:highlight w:val="yellow"/>
          <w:lang w:val="sr-Cyrl-RS" w:eastAsia="ja-JP"/>
        </w:rPr>
      </w:pPr>
    </w:p>
    <w:p w14:paraId="5BF76C58" w14:textId="77777777" w:rsidR="00252AA2" w:rsidRPr="00E13B1A" w:rsidRDefault="00252AA2" w:rsidP="00252AA2">
      <w:pPr>
        <w:rPr>
          <w:highlight w:val="yellow"/>
          <w:lang w:val="sr-Cyrl-RS" w:eastAsia="ja-JP"/>
        </w:rPr>
      </w:pPr>
    </w:p>
    <w:p w14:paraId="3314593A" w14:textId="77777777" w:rsidR="00252AA2" w:rsidRPr="00E13B1A" w:rsidRDefault="00252AA2" w:rsidP="006272DB">
      <w:pPr>
        <w:rPr>
          <w:rFonts w:eastAsia="MS PGothic" w:cstheme="minorHAnsi"/>
          <w:b/>
          <w:vanish/>
          <w:color w:val="002060"/>
          <w:szCs w:val="20"/>
          <w:lang w:val="sr-Cyrl-RS" w:eastAsia="ja-JP"/>
          <w:specVanish/>
        </w:rPr>
      </w:pPr>
      <w:r w:rsidRPr="00E13B1A">
        <w:rPr>
          <w:rFonts w:eastAsia="MS PGothic" w:cstheme="minorHAnsi"/>
          <w:b/>
          <w:color w:val="002060"/>
          <w:szCs w:val="20"/>
          <w:lang w:val="sr-Cyrl-RS" w:eastAsia="ja-JP"/>
        </w:rPr>
        <w:lastRenderedPageBreak/>
        <w:t>Табела 6. Приходи, расходи и резултат сектора државе, јануар–јун* 2022. и 2023. године, у млрд динара</w:t>
      </w:r>
    </w:p>
    <w:tbl>
      <w:tblPr>
        <w:tblW w:w="5105" w:type="pct"/>
        <w:jc w:val="right"/>
        <w:tblLook w:val="04A0" w:firstRow="1" w:lastRow="0" w:firstColumn="1" w:lastColumn="0" w:noHBand="0" w:noVBand="1"/>
      </w:tblPr>
      <w:tblGrid>
        <w:gridCol w:w="3367"/>
        <w:gridCol w:w="1548"/>
        <w:gridCol w:w="1548"/>
        <w:gridCol w:w="1548"/>
        <w:gridCol w:w="1546"/>
      </w:tblGrid>
      <w:tr w:rsidR="001A087F" w:rsidRPr="001A087F" w14:paraId="23C2F3AE" w14:textId="77777777" w:rsidTr="006272DB">
        <w:trPr>
          <w:trHeight w:val="263"/>
          <w:tblHeader/>
          <w:jc w:val="right"/>
        </w:trPr>
        <w:tc>
          <w:tcPr>
            <w:tcW w:w="1761" w:type="pct"/>
            <w:tcBorders>
              <w:top w:val="single" w:sz="4" w:space="0" w:color="002060"/>
            </w:tcBorders>
            <w:shd w:val="clear" w:color="auto" w:fill="auto"/>
            <w:noWrap/>
            <w:vAlign w:val="center"/>
            <w:hideMark/>
          </w:tcPr>
          <w:p w14:paraId="2EAFC89C" w14:textId="77777777" w:rsidR="00252AA2" w:rsidRPr="001A087F" w:rsidRDefault="00252AA2" w:rsidP="00E124CF">
            <w:pPr>
              <w:spacing w:after="0" w:line="240" w:lineRule="auto"/>
              <w:rPr>
                <w:rFonts w:cstheme="minorHAnsi"/>
                <w:color w:val="002060"/>
                <w:sz w:val="16"/>
                <w:szCs w:val="16"/>
                <w:lang w:val="sr-Cyrl-RS"/>
              </w:rPr>
            </w:pPr>
          </w:p>
        </w:tc>
        <w:tc>
          <w:tcPr>
            <w:tcW w:w="810" w:type="pct"/>
            <w:tcBorders>
              <w:top w:val="single" w:sz="4" w:space="0" w:color="002060"/>
              <w:bottom w:val="single" w:sz="4" w:space="0" w:color="002060"/>
            </w:tcBorders>
            <w:shd w:val="clear" w:color="auto" w:fill="auto"/>
            <w:vAlign w:val="center"/>
            <w:hideMark/>
          </w:tcPr>
          <w:p w14:paraId="28AFC78A" w14:textId="77777777" w:rsidR="00252AA2" w:rsidRPr="001A087F" w:rsidRDefault="00252AA2" w:rsidP="000D3688">
            <w:pPr>
              <w:spacing w:after="0" w:line="240" w:lineRule="auto"/>
              <w:jc w:val="center"/>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H1 2022**</w:t>
            </w:r>
          </w:p>
        </w:tc>
        <w:tc>
          <w:tcPr>
            <w:tcW w:w="810" w:type="pct"/>
            <w:tcBorders>
              <w:top w:val="single" w:sz="4" w:space="0" w:color="002060"/>
              <w:bottom w:val="single" w:sz="4" w:space="0" w:color="002060"/>
            </w:tcBorders>
            <w:shd w:val="clear" w:color="auto" w:fill="auto"/>
            <w:vAlign w:val="center"/>
            <w:hideMark/>
          </w:tcPr>
          <w:p w14:paraId="7A86BBD1" w14:textId="77777777" w:rsidR="00252AA2" w:rsidRPr="001A087F" w:rsidRDefault="00252AA2" w:rsidP="000D3688">
            <w:pPr>
              <w:spacing w:after="0" w:line="240" w:lineRule="auto"/>
              <w:jc w:val="center"/>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H1 2023**</w:t>
            </w:r>
          </w:p>
        </w:tc>
        <w:tc>
          <w:tcPr>
            <w:tcW w:w="810" w:type="pct"/>
            <w:tcBorders>
              <w:top w:val="single" w:sz="4" w:space="0" w:color="002060"/>
              <w:bottom w:val="single" w:sz="4" w:space="0" w:color="002060"/>
            </w:tcBorders>
            <w:vAlign w:val="center"/>
          </w:tcPr>
          <w:p w14:paraId="1DE03418" w14:textId="77777777" w:rsidR="00252AA2" w:rsidRPr="001A087F" w:rsidRDefault="00252AA2" w:rsidP="000D3688">
            <w:pPr>
              <w:spacing w:after="0" w:line="240" w:lineRule="auto"/>
              <w:jc w:val="center"/>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H1 2023/2022 стопа раста у %</w:t>
            </w:r>
          </w:p>
        </w:tc>
        <w:tc>
          <w:tcPr>
            <w:tcW w:w="809" w:type="pct"/>
            <w:tcBorders>
              <w:top w:val="single" w:sz="4" w:space="0" w:color="002060"/>
              <w:bottom w:val="single" w:sz="4" w:space="0" w:color="002060"/>
            </w:tcBorders>
            <w:shd w:val="clear" w:color="auto" w:fill="auto"/>
            <w:vAlign w:val="center"/>
            <w:hideMark/>
          </w:tcPr>
          <w:p w14:paraId="3D3B373D" w14:textId="77777777" w:rsidR="00252AA2" w:rsidRPr="001A087F" w:rsidRDefault="00252AA2" w:rsidP="00E124CF">
            <w:pPr>
              <w:spacing w:after="0" w:line="240" w:lineRule="auto"/>
              <w:jc w:val="center"/>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2023 план/2022 стопа раста у %</w:t>
            </w:r>
          </w:p>
        </w:tc>
      </w:tr>
      <w:tr w:rsidR="001A087F" w:rsidRPr="001A087F" w14:paraId="4E6C0E47" w14:textId="77777777" w:rsidTr="006272DB">
        <w:trPr>
          <w:trHeight w:val="263"/>
          <w:tblHeader/>
          <w:jc w:val="right"/>
        </w:trPr>
        <w:tc>
          <w:tcPr>
            <w:tcW w:w="1761" w:type="pct"/>
            <w:shd w:val="clear" w:color="auto" w:fill="E7E6E6" w:themeFill="background2"/>
            <w:noWrap/>
            <w:vAlign w:val="center"/>
            <w:hideMark/>
          </w:tcPr>
          <w:p w14:paraId="090B2FDC" w14:textId="77777777" w:rsidR="00252AA2" w:rsidRPr="001A087F" w:rsidRDefault="00252AA2" w:rsidP="006272DB">
            <w:pPr>
              <w:spacing w:after="0" w:line="240" w:lineRule="auto"/>
              <w:jc w:val="left"/>
              <w:rPr>
                <w:rFonts w:cstheme="minorHAnsi"/>
                <w:color w:val="002060"/>
                <w:sz w:val="16"/>
                <w:szCs w:val="16"/>
                <w:lang w:val="sr-Cyrl-RS"/>
              </w:rPr>
            </w:pPr>
            <w:r w:rsidRPr="001A087F">
              <w:rPr>
                <w:rFonts w:eastAsia="MS PGothic" w:cstheme="minorHAnsi"/>
                <w:color w:val="002060"/>
                <w:sz w:val="16"/>
                <w:szCs w:val="16"/>
                <w:lang w:val="sr-Cyrl-RS" w:eastAsia="ja-JP"/>
              </w:rPr>
              <w:t>ЈАВНИ ПРИХОДИ</w:t>
            </w:r>
          </w:p>
        </w:tc>
        <w:tc>
          <w:tcPr>
            <w:tcW w:w="810" w:type="pct"/>
            <w:tcBorders>
              <w:top w:val="single" w:sz="4" w:space="0" w:color="002060"/>
            </w:tcBorders>
            <w:shd w:val="clear" w:color="auto" w:fill="E7E6E6" w:themeFill="background2"/>
            <w:hideMark/>
          </w:tcPr>
          <w:p w14:paraId="0D37AFA4"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1.494,0</w:t>
            </w:r>
          </w:p>
        </w:tc>
        <w:tc>
          <w:tcPr>
            <w:tcW w:w="810" w:type="pct"/>
            <w:tcBorders>
              <w:top w:val="single" w:sz="4" w:space="0" w:color="002060"/>
            </w:tcBorders>
            <w:shd w:val="clear" w:color="auto" w:fill="E7E6E6" w:themeFill="background2"/>
            <w:hideMark/>
          </w:tcPr>
          <w:p w14:paraId="2C59DA35"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1.677,1</w:t>
            </w:r>
          </w:p>
        </w:tc>
        <w:tc>
          <w:tcPr>
            <w:tcW w:w="810" w:type="pct"/>
            <w:tcBorders>
              <w:top w:val="single" w:sz="4" w:space="0" w:color="002060"/>
            </w:tcBorders>
            <w:shd w:val="clear" w:color="auto" w:fill="E7E6E6" w:themeFill="background2"/>
          </w:tcPr>
          <w:p w14:paraId="0E14DC81"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12,3</w:t>
            </w:r>
          </w:p>
        </w:tc>
        <w:tc>
          <w:tcPr>
            <w:tcW w:w="809" w:type="pct"/>
            <w:tcBorders>
              <w:top w:val="single" w:sz="4" w:space="0" w:color="002060"/>
            </w:tcBorders>
            <w:shd w:val="clear" w:color="auto" w:fill="E7E6E6" w:themeFill="background2"/>
            <w:hideMark/>
          </w:tcPr>
          <w:p w14:paraId="515BEBA6"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9,2</w:t>
            </w:r>
          </w:p>
        </w:tc>
      </w:tr>
      <w:tr w:rsidR="001A087F" w:rsidRPr="001A087F" w14:paraId="7E47B676" w14:textId="77777777" w:rsidTr="006272DB">
        <w:trPr>
          <w:trHeight w:val="263"/>
          <w:tblHeader/>
          <w:jc w:val="right"/>
        </w:trPr>
        <w:tc>
          <w:tcPr>
            <w:tcW w:w="1761" w:type="pct"/>
            <w:shd w:val="clear" w:color="auto" w:fill="auto"/>
            <w:noWrap/>
            <w:vAlign w:val="center"/>
            <w:hideMark/>
          </w:tcPr>
          <w:p w14:paraId="226CA4DE"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Текући приходи</w:t>
            </w:r>
          </w:p>
        </w:tc>
        <w:tc>
          <w:tcPr>
            <w:tcW w:w="810" w:type="pct"/>
            <w:shd w:val="clear" w:color="auto" w:fill="auto"/>
            <w:hideMark/>
          </w:tcPr>
          <w:p w14:paraId="3CFDA1C7"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1.488,9</w:t>
            </w:r>
          </w:p>
        </w:tc>
        <w:tc>
          <w:tcPr>
            <w:tcW w:w="810" w:type="pct"/>
            <w:shd w:val="clear" w:color="auto" w:fill="auto"/>
            <w:noWrap/>
            <w:hideMark/>
          </w:tcPr>
          <w:p w14:paraId="693433EB"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1.652,1</w:t>
            </w:r>
          </w:p>
        </w:tc>
        <w:tc>
          <w:tcPr>
            <w:tcW w:w="810" w:type="pct"/>
          </w:tcPr>
          <w:p w14:paraId="12B8BC67"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11,0</w:t>
            </w:r>
          </w:p>
        </w:tc>
        <w:tc>
          <w:tcPr>
            <w:tcW w:w="809" w:type="pct"/>
            <w:shd w:val="clear" w:color="auto" w:fill="auto"/>
            <w:hideMark/>
          </w:tcPr>
          <w:p w14:paraId="542082D3"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8,1</w:t>
            </w:r>
          </w:p>
        </w:tc>
      </w:tr>
      <w:tr w:rsidR="001A087F" w:rsidRPr="001A087F" w14:paraId="673C761A" w14:textId="77777777" w:rsidTr="006272DB">
        <w:trPr>
          <w:trHeight w:val="263"/>
          <w:tblHeader/>
          <w:jc w:val="right"/>
        </w:trPr>
        <w:tc>
          <w:tcPr>
            <w:tcW w:w="1761" w:type="pct"/>
            <w:shd w:val="clear" w:color="auto" w:fill="auto"/>
            <w:noWrap/>
            <w:vAlign w:val="center"/>
            <w:hideMark/>
          </w:tcPr>
          <w:p w14:paraId="202FB698"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Порески приходи</w:t>
            </w:r>
          </w:p>
        </w:tc>
        <w:tc>
          <w:tcPr>
            <w:tcW w:w="810" w:type="pct"/>
            <w:shd w:val="clear" w:color="auto" w:fill="auto"/>
            <w:hideMark/>
          </w:tcPr>
          <w:p w14:paraId="617CA415"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1.351,2</w:t>
            </w:r>
          </w:p>
        </w:tc>
        <w:tc>
          <w:tcPr>
            <w:tcW w:w="810" w:type="pct"/>
            <w:shd w:val="clear" w:color="auto" w:fill="auto"/>
            <w:hideMark/>
          </w:tcPr>
          <w:p w14:paraId="05AFA2AF"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1.503,9</w:t>
            </w:r>
          </w:p>
        </w:tc>
        <w:tc>
          <w:tcPr>
            <w:tcW w:w="810" w:type="pct"/>
          </w:tcPr>
          <w:p w14:paraId="3E00BA03"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11,3</w:t>
            </w:r>
          </w:p>
        </w:tc>
        <w:tc>
          <w:tcPr>
            <w:tcW w:w="809" w:type="pct"/>
            <w:shd w:val="clear" w:color="auto" w:fill="auto"/>
            <w:hideMark/>
          </w:tcPr>
          <w:p w14:paraId="3CECE5E6"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8,8</w:t>
            </w:r>
          </w:p>
        </w:tc>
      </w:tr>
      <w:tr w:rsidR="001A087F" w:rsidRPr="001A087F" w14:paraId="4BDBBAED" w14:textId="77777777" w:rsidTr="006272DB">
        <w:trPr>
          <w:trHeight w:val="263"/>
          <w:tblHeader/>
          <w:jc w:val="right"/>
        </w:trPr>
        <w:tc>
          <w:tcPr>
            <w:tcW w:w="1761" w:type="pct"/>
            <w:shd w:val="clear" w:color="auto" w:fill="auto"/>
            <w:noWrap/>
            <w:vAlign w:val="center"/>
            <w:hideMark/>
          </w:tcPr>
          <w:p w14:paraId="158BC393"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Порез на доходак грађана</w:t>
            </w:r>
          </w:p>
        </w:tc>
        <w:tc>
          <w:tcPr>
            <w:tcW w:w="810" w:type="pct"/>
            <w:shd w:val="clear" w:color="auto" w:fill="auto"/>
            <w:hideMark/>
          </w:tcPr>
          <w:p w14:paraId="2DDAA91B"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148,2</w:t>
            </w:r>
          </w:p>
        </w:tc>
        <w:tc>
          <w:tcPr>
            <w:tcW w:w="810" w:type="pct"/>
            <w:shd w:val="clear" w:color="auto" w:fill="auto"/>
            <w:hideMark/>
          </w:tcPr>
          <w:p w14:paraId="38964E52"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171,2</w:t>
            </w:r>
          </w:p>
        </w:tc>
        <w:tc>
          <w:tcPr>
            <w:tcW w:w="810" w:type="pct"/>
          </w:tcPr>
          <w:p w14:paraId="79476DA3"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15,5</w:t>
            </w:r>
          </w:p>
        </w:tc>
        <w:tc>
          <w:tcPr>
            <w:tcW w:w="809" w:type="pct"/>
            <w:shd w:val="clear" w:color="auto" w:fill="auto"/>
            <w:hideMark/>
          </w:tcPr>
          <w:p w14:paraId="4445FBDA"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10,1</w:t>
            </w:r>
          </w:p>
        </w:tc>
      </w:tr>
      <w:tr w:rsidR="001A087F" w:rsidRPr="001A087F" w14:paraId="06B3DB36" w14:textId="77777777" w:rsidTr="006272DB">
        <w:trPr>
          <w:trHeight w:val="263"/>
          <w:tblHeader/>
          <w:jc w:val="right"/>
        </w:trPr>
        <w:tc>
          <w:tcPr>
            <w:tcW w:w="1761" w:type="pct"/>
            <w:shd w:val="clear" w:color="auto" w:fill="auto"/>
            <w:noWrap/>
            <w:vAlign w:val="center"/>
            <w:hideMark/>
          </w:tcPr>
          <w:p w14:paraId="479F030B"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Порез на добит правних лица</w:t>
            </w:r>
          </w:p>
        </w:tc>
        <w:tc>
          <w:tcPr>
            <w:tcW w:w="810" w:type="pct"/>
            <w:shd w:val="clear" w:color="auto" w:fill="auto"/>
            <w:hideMark/>
          </w:tcPr>
          <w:p w14:paraId="3A449AE2"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123,3</w:t>
            </w:r>
          </w:p>
        </w:tc>
        <w:tc>
          <w:tcPr>
            <w:tcW w:w="810" w:type="pct"/>
            <w:shd w:val="clear" w:color="auto" w:fill="auto"/>
            <w:hideMark/>
          </w:tcPr>
          <w:p w14:paraId="74F69A6D"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167,9</w:t>
            </w:r>
          </w:p>
        </w:tc>
        <w:tc>
          <w:tcPr>
            <w:tcW w:w="810" w:type="pct"/>
          </w:tcPr>
          <w:p w14:paraId="338F4EFF"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36,3</w:t>
            </w:r>
          </w:p>
        </w:tc>
        <w:tc>
          <w:tcPr>
            <w:tcW w:w="809" w:type="pct"/>
            <w:shd w:val="clear" w:color="auto" w:fill="auto"/>
            <w:hideMark/>
          </w:tcPr>
          <w:p w14:paraId="1BD648CF"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4,7</w:t>
            </w:r>
          </w:p>
        </w:tc>
      </w:tr>
      <w:tr w:rsidR="001A087F" w:rsidRPr="001A087F" w14:paraId="652D27C1" w14:textId="77777777" w:rsidTr="006272DB">
        <w:trPr>
          <w:trHeight w:val="263"/>
          <w:tblHeader/>
          <w:jc w:val="right"/>
        </w:trPr>
        <w:tc>
          <w:tcPr>
            <w:tcW w:w="1761" w:type="pct"/>
            <w:shd w:val="clear" w:color="auto" w:fill="auto"/>
            <w:noWrap/>
            <w:vAlign w:val="center"/>
            <w:hideMark/>
          </w:tcPr>
          <w:p w14:paraId="3CED47F6"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ПДВ</w:t>
            </w:r>
          </w:p>
        </w:tc>
        <w:tc>
          <w:tcPr>
            <w:tcW w:w="810" w:type="pct"/>
            <w:shd w:val="clear" w:color="auto" w:fill="auto"/>
            <w:hideMark/>
          </w:tcPr>
          <w:p w14:paraId="75EE7BAF"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382,7</w:t>
            </w:r>
          </w:p>
        </w:tc>
        <w:tc>
          <w:tcPr>
            <w:tcW w:w="810" w:type="pct"/>
            <w:shd w:val="clear" w:color="auto" w:fill="auto"/>
            <w:hideMark/>
          </w:tcPr>
          <w:p w14:paraId="590BE82D"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396,3</w:t>
            </w:r>
          </w:p>
        </w:tc>
        <w:tc>
          <w:tcPr>
            <w:tcW w:w="810" w:type="pct"/>
          </w:tcPr>
          <w:p w14:paraId="38D6ED13"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3,6</w:t>
            </w:r>
          </w:p>
        </w:tc>
        <w:tc>
          <w:tcPr>
            <w:tcW w:w="809" w:type="pct"/>
            <w:shd w:val="clear" w:color="auto" w:fill="auto"/>
            <w:hideMark/>
          </w:tcPr>
          <w:p w14:paraId="2851CCDE"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11,0</w:t>
            </w:r>
          </w:p>
        </w:tc>
      </w:tr>
      <w:tr w:rsidR="001A087F" w:rsidRPr="001A087F" w14:paraId="197387B6" w14:textId="77777777" w:rsidTr="006272DB">
        <w:trPr>
          <w:trHeight w:val="263"/>
          <w:tblHeader/>
          <w:jc w:val="right"/>
        </w:trPr>
        <w:tc>
          <w:tcPr>
            <w:tcW w:w="1761" w:type="pct"/>
            <w:shd w:val="clear" w:color="auto" w:fill="auto"/>
            <w:noWrap/>
            <w:vAlign w:val="center"/>
            <w:hideMark/>
          </w:tcPr>
          <w:p w14:paraId="105AFF6B"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Акцизе</w:t>
            </w:r>
          </w:p>
        </w:tc>
        <w:tc>
          <w:tcPr>
            <w:tcW w:w="810" w:type="pct"/>
            <w:shd w:val="clear" w:color="auto" w:fill="auto"/>
            <w:hideMark/>
          </w:tcPr>
          <w:p w14:paraId="0E05595B"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164,3</w:t>
            </w:r>
          </w:p>
        </w:tc>
        <w:tc>
          <w:tcPr>
            <w:tcW w:w="810" w:type="pct"/>
            <w:shd w:val="clear" w:color="auto" w:fill="auto"/>
            <w:hideMark/>
          </w:tcPr>
          <w:p w14:paraId="7E41B559"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172,4</w:t>
            </w:r>
          </w:p>
        </w:tc>
        <w:tc>
          <w:tcPr>
            <w:tcW w:w="810" w:type="pct"/>
          </w:tcPr>
          <w:p w14:paraId="39D70780"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4,9</w:t>
            </w:r>
          </w:p>
        </w:tc>
        <w:tc>
          <w:tcPr>
            <w:tcW w:w="809" w:type="pct"/>
            <w:shd w:val="clear" w:color="auto" w:fill="auto"/>
            <w:hideMark/>
          </w:tcPr>
          <w:p w14:paraId="09479032"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3,1</w:t>
            </w:r>
          </w:p>
        </w:tc>
      </w:tr>
      <w:tr w:rsidR="001A087F" w:rsidRPr="001A087F" w14:paraId="320428C8" w14:textId="77777777" w:rsidTr="006272DB">
        <w:trPr>
          <w:trHeight w:val="263"/>
          <w:tblHeader/>
          <w:jc w:val="right"/>
        </w:trPr>
        <w:tc>
          <w:tcPr>
            <w:tcW w:w="1761" w:type="pct"/>
            <w:shd w:val="clear" w:color="auto" w:fill="auto"/>
            <w:noWrap/>
            <w:vAlign w:val="center"/>
            <w:hideMark/>
          </w:tcPr>
          <w:p w14:paraId="002A17C7"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Царине</w:t>
            </w:r>
          </w:p>
        </w:tc>
        <w:tc>
          <w:tcPr>
            <w:tcW w:w="810" w:type="pct"/>
            <w:shd w:val="clear" w:color="auto" w:fill="auto"/>
            <w:hideMark/>
          </w:tcPr>
          <w:p w14:paraId="69DEEBC8"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37,5</w:t>
            </w:r>
          </w:p>
        </w:tc>
        <w:tc>
          <w:tcPr>
            <w:tcW w:w="810" w:type="pct"/>
            <w:shd w:val="clear" w:color="auto" w:fill="auto"/>
            <w:hideMark/>
          </w:tcPr>
          <w:p w14:paraId="2808443B"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39,0</w:t>
            </w:r>
          </w:p>
        </w:tc>
        <w:tc>
          <w:tcPr>
            <w:tcW w:w="810" w:type="pct"/>
          </w:tcPr>
          <w:p w14:paraId="602E54DD"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12,0</w:t>
            </w:r>
          </w:p>
        </w:tc>
        <w:tc>
          <w:tcPr>
            <w:tcW w:w="809" w:type="pct"/>
            <w:shd w:val="clear" w:color="auto" w:fill="auto"/>
            <w:hideMark/>
          </w:tcPr>
          <w:p w14:paraId="6C7A7C6C"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4,6</w:t>
            </w:r>
          </w:p>
        </w:tc>
      </w:tr>
      <w:tr w:rsidR="001A087F" w:rsidRPr="001A087F" w14:paraId="7B0E9AB7" w14:textId="77777777" w:rsidTr="006272DB">
        <w:trPr>
          <w:trHeight w:val="263"/>
          <w:tblHeader/>
          <w:jc w:val="right"/>
        </w:trPr>
        <w:tc>
          <w:tcPr>
            <w:tcW w:w="1761" w:type="pct"/>
            <w:shd w:val="clear" w:color="auto" w:fill="auto"/>
            <w:noWrap/>
            <w:vAlign w:val="center"/>
            <w:hideMark/>
          </w:tcPr>
          <w:p w14:paraId="649D49B6"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Остали порески приходи</w:t>
            </w:r>
          </w:p>
        </w:tc>
        <w:tc>
          <w:tcPr>
            <w:tcW w:w="810" w:type="pct"/>
            <w:shd w:val="clear" w:color="auto" w:fill="auto"/>
            <w:hideMark/>
          </w:tcPr>
          <w:p w14:paraId="0121A8C8"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47,1</w:t>
            </w:r>
          </w:p>
        </w:tc>
        <w:tc>
          <w:tcPr>
            <w:tcW w:w="810" w:type="pct"/>
            <w:shd w:val="clear" w:color="auto" w:fill="auto"/>
            <w:hideMark/>
          </w:tcPr>
          <w:p w14:paraId="0354B616"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54,1</w:t>
            </w:r>
          </w:p>
        </w:tc>
        <w:tc>
          <w:tcPr>
            <w:tcW w:w="810" w:type="pct"/>
          </w:tcPr>
          <w:p w14:paraId="63DA0AA9"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14,7</w:t>
            </w:r>
          </w:p>
        </w:tc>
        <w:tc>
          <w:tcPr>
            <w:tcW w:w="809" w:type="pct"/>
            <w:shd w:val="clear" w:color="auto" w:fill="auto"/>
            <w:hideMark/>
          </w:tcPr>
          <w:p w14:paraId="3ED7E23A"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7,8</w:t>
            </w:r>
          </w:p>
        </w:tc>
      </w:tr>
      <w:tr w:rsidR="001A087F" w:rsidRPr="001A087F" w14:paraId="1CD35CF0" w14:textId="77777777" w:rsidTr="006272DB">
        <w:trPr>
          <w:trHeight w:val="263"/>
          <w:tblHeader/>
          <w:jc w:val="right"/>
        </w:trPr>
        <w:tc>
          <w:tcPr>
            <w:tcW w:w="1761" w:type="pct"/>
            <w:shd w:val="clear" w:color="auto" w:fill="auto"/>
            <w:noWrap/>
            <w:vAlign w:val="center"/>
            <w:hideMark/>
          </w:tcPr>
          <w:p w14:paraId="7A5261E7"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Доприноси</w:t>
            </w:r>
          </w:p>
        </w:tc>
        <w:tc>
          <w:tcPr>
            <w:tcW w:w="810" w:type="pct"/>
            <w:shd w:val="clear" w:color="auto" w:fill="auto"/>
            <w:hideMark/>
          </w:tcPr>
          <w:p w14:paraId="4582CBD6"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448,1</w:t>
            </w:r>
          </w:p>
        </w:tc>
        <w:tc>
          <w:tcPr>
            <w:tcW w:w="810" w:type="pct"/>
            <w:shd w:val="clear" w:color="auto" w:fill="auto"/>
            <w:hideMark/>
          </w:tcPr>
          <w:p w14:paraId="45D2A064"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503,0</w:t>
            </w:r>
          </w:p>
        </w:tc>
        <w:tc>
          <w:tcPr>
            <w:tcW w:w="810" w:type="pct"/>
          </w:tcPr>
          <w:p w14:paraId="3C5FF964"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12,3</w:t>
            </w:r>
          </w:p>
        </w:tc>
        <w:tc>
          <w:tcPr>
            <w:tcW w:w="809" w:type="pct"/>
            <w:shd w:val="clear" w:color="auto" w:fill="auto"/>
            <w:hideMark/>
          </w:tcPr>
          <w:p w14:paraId="48EF3BBB"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9,9</w:t>
            </w:r>
          </w:p>
        </w:tc>
      </w:tr>
      <w:tr w:rsidR="001A087F" w:rsidRPr="001A087F" w14:paraId="463F172E" w14:textId="77777777" w:rsidTr="006272DB">
        <w:trPr>
          <w:trHeight w:val="263"/>
          <w:tblHeader/>
          <w:jc w:val="right"/>
        </w:trPr>
        <w:tc>
          <w:tcPr>
            <w:tcW w:w="1761" w:type="pct"/>
            <w:shd w:val="clear" w:color="auto" w:fill="auto"/>
            <w:noWrap/>
            <w:vAlign w:val="center"/>
            <w:hideMark/>
          </w:tcPr>
          <w:p w14:paraId="73A11B28"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Непорески приходи</w:t>
            </w:r>
          </w:p>
        </w:tc>
        <w:tc>
          <w:tcPr>
            <w:tcW w:w="810" w:type="pct"/>
            <w:shd w:val="clear" w:color="auto" w:fill="auto"/>
            <w:hideMark/>
          </w:tcPr>
          <w:p w14:paraId="069BC1AD"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137,7</w:t>
            </w:r>
          </w:p>
        </w:tc>
        <w:tc>
          <w:tcPr>
            <w:tcW w:w="810" w:type="pct"/>
            <w:shd w:val="clear" w:color="auto" w:fill="auto"/>
            <w:hideMark/>
          </w:tcPr>
          <w:p w14:paraId="2061ABF1"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148,2</w:t>
            </w:r>
          </w:p>
        </w:tc>
        <w:tc>
          <w:tcPr>
            <w:tcW w:w="810" w:type="pct"/>
          </w:tcPr>
          <w:p w14:paraId="5E0E08D4"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7,6</w:t>
            </w:r>
          </w:p>
        </w:tc>
        <w:tc>
          <w:tcPr>
            <w:tcW w:w="809" w:type="pct"/>
            <w:shd w:val="clear" w:color="auto" w:fill="auto"/>
            <w:hideMark/>
          </w:tcPr>
          <w:p w14:paraId="5B758368"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2,1</w:t>
            </w:r>
          </w:p>
        </w:tc>
      </w:tr>
      <w:tr w:rsidR="001A087F" w:rsidRPr="001A087F" w14:paraId="29796051" w14:textId="77777777" w:rsidTr="006272DB">
        <w:trPr>
          <w:trHeight w:val="263"/>
          <w:tblHeader/>
          <w:jc w:val="right"/>
        </w:trPr>
        <w:tc>
          <w:tcPr>
            <w:tcW w:w="1761" w:type="pct"/>
            <w:shd w:val="clear" w:color="auto" w:fill="auto"/>
            <w:noWrap/>
            <w:vAlign w:val="center"/>
            <w:hideMark/>
          </w:tcPr>
          <w:p w14:paraId="7D6916D9"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Донације</w:t>
            </w:r>
          </w:p>
        </w:tc>
        <w:tc>
          <w:tcPr>
            <w:tcW w:w="810" w:type="pct"/>
            <w:shd w:val="clear" w:color="auto" w:fill="auto"/>
            <w:hideMark/>
          </w:tcPr>
          <w:p w14:paraId="439E8C8D"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5,1</w:t>
            </w:r>
          </w:p>
        </w:tc>
        <w:tc>
          <w:tcPr>
            <w:tcW w:w="810" w:type="pct"/>
            <w:shd w:val="clear" w:color="auto" w:fill="auto"/>
            <w:hideMark/>
          </w:tcPr>
          <w:p w14:paraId="3482D1AB"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25,0</w:t>
            </w:r>
          </w:p>
        </w:tc>
        <w:tc>
          <w:tcPr>
            <w:tcW w:w="810" w:type="pct"/>
          </w:tcPr>
          <w:p w14:paraId="19B25BCC"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389,0</w:t>
            </w:r>
          </w:p>
        </w:tc>
        <w:tc>
          <w:tcPr>
            <w:tcW w:w="809" w:type="pct"/>
            <w:shd w:val="clear" w:color="auto" w:fill="auto"/>
            <w:hideMark/>
          </w:tcPr>
          <w:p w14:paraId="6A78704E"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229,9</w:t>
            </w:r>
          </w:p>
        </w:tc>
      </w:tr>
      <w:tr w:rsidR="001A087F" w:rsidRPr="001A087F" w14:paraId="73DA9F04" w14:textId="77777777" w:rsidTr="006272DB">
        <w:trPr>
          <w:trHeight w:val="263"/>
          <w:tblHeader/>
          <w:jc w:val="right"/>
        </w:trPr>
        <w:tc>
          <w:tcPr>
            <w:tcW w:w="1761" w:type="pct"/>
            <w:shd w:val="clear" w:color="auto" w:fill="E7E6E6" w:themeFill="background2"/>
            <w:noWrap/>
            <w:vAlign w:val="center"/>
            <w:hideMark/>
          </w:tcPr>
          <w:p w14:paraId="3070C032" w14:textId="77777777" w:rsidR="00252AA2" w:rsidRPr="001A087F" w:rsidRDefault="00252AA2" w:rsidP="006272DB">
            <w:pPr>
              <w:spacing w:after="0" w:line="240" w:lineRule="auto"/>
              <w:jc w:val="left"/>
              <w:rPr>
                <w:rFonts w:cstheme="minorHAnsi"/>
                <w:color w:val="002060"/>
                <w:sz w:val="16"/>
                <w:szCs w:val="16"/>
                <w:lang w:val="sr-Cyrl-RS"/>
              </w:rPr>
            </w:pPr>
            <w:r w:rsidRPr="001A087F">
              <w:rPr>
                <w:rFonts w:eastAsia="MS PGothic" w:cstheme="minorHAnsi"/>
                <w:color w:val="002060"/>
                <w:sz w:val="16"/>
                <w:szCs w:val="16"/>
                <w:lang w:val="sr-Cyrl-RS" w:eastAsia="ja-JP"/>
              </w:rPr>
              <w:t>ЈАВНИ РАСХОДИ</w:t>
            </w:r>
          </w:p>
        </w:tc>
        <w:tc>
          <w:tcPr>
            <w:tcW w:w="810" w:type="pct"/>
            <w:shd w:val="clear" w:color="auto" w:fill="E7E6E6" w:themeFill="background2"/>
            <w:hideMark/>
          </w:tcPr>
          <w:p w14:paraId="7089FD8D"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1.515,1</w:t>
            </w:r>
          </w:p>
        </w:tc>
        <w:tc>
          <w:tcPr>
            <w:tcW w:w="810" w:type="pct"/>
            <w:shd w:val="clear" w:color="auto" w:fill="E7E6E6" w:themeFill="background2"/>
            <w:noWrap/>
            <w:hideMark/>
          </w:tcPr>
          <w:p w14:paraId="78D0FDAF"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1.632,1</w:t>
            </w:r>
          </w:p>
        </w:tc>
        <w:tc>
          <w:tcPr>
            <w:tcW w:w="810" w:type="pct"/>
            <w:shd w:val="clear" w:color="auto" w:fill="E7E6E6" w:themeFill="background2"/>
          </w:tcPr>
          <w:p w14:paraId="04A11F55"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7,7</w:t>
            </w:r>
          </w:p>
        </w:tc>
        <w:tc>
          <w:tcPr>
            <w:tcW w:w="809" w:type="pct"/>
            <w:shd w:val="clear" w:color="auto" w:fill="E7E6E6" w:themeFill="background2"/>
            <w:hideMark/>
          </w:tcPr>
          <w:p w14:paraId="343BC3FD"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9,2</w:t>
            </w:r>
          </w:p>
        </w:tc>
      </w:tr>
      <w:tr w:rsidR="001A087F" w:rsidRPr="001A087F" w14:paraId="4A7498F3" w14:textId="77777777" w:rsidTr="006272DB">
        <w:trPr>
          <w:trHeight w:val="263"/>
          <w:tblHeader/>
          <w:jc w:val="right"/>
        </w:trPr>
        <w:tc>
          <w:tcPr>
            <w:tcW w:w="1761" w:type="pct"/>
            <w:shd w:val="clear" w:color="auto" w:fill="auto"/>
            <w:noWrap/>
            <w:vAlign w:val="center"/>
            <w:hideMark/>
          </w:tcPr>
          <w:p w14:paraId="2513620D"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Текући расходи</w:t>
            </w:r>
          </w:p>
        </w:tc>
        <w:tc>
          <w:tcPr>
            <w:tcW w:w="810" w:type="pct"/>
            <w:shd w:val="clear" w:color="auto" w:fill="auto"/>
            <w:hideMark/>
          </w:tcPr>
          <w:p w14:paraId="73A56177"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1.291,4</w:t>
            </w:r>
          </w:p>
        </w:tc>
        <w:tc>
          <w:tcPr>
            <w:tcW w:w="810" w:type="pct"/>
            <w:shd w:val="clear" w:color="auto" w:fill="auto"/>
            <w:noWrap/>
            <w:hideMark/>
          </w:tcPr>
          <w:p w14:paraId="2A98FCC8"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1.380,4</w:t>
            </w:r>
          </w:p>
        </w:tc>
        <w:tc>
          <w:tcPr>
            <w:tcW w:w="810" w:type="pct"/>
          </w:tcPr>
          <w:p w14:paraId="4A264385"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6,9</w:t>
            </w:r>
          </w:p>
        </w:tc>
        <w:tc>
          <w:tcPr>
            <w:tcW w:w="809" w:type="pct"/>
            <w:shd w:val="clear" w:color="auto" w:fill="auto"/>
            <w:hideMark/>
          </w:tcPr>
          <w:p w14:paraId="38F92E5E"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12,6</w:t>
            </w:r>
          </w:p>
        </w:tc>
      </w:tr>
      <w:tr w:rsidR="001A087F" w:rsidRPr="001A087F" w14:paraId="6BB78347" w14:textId="77777777" w:rsidTr="006272DB">
        <w:trPr>
          <w:trHeight w:val="263"/>
          <w:tblHeader/>
          <w:jc w:val="right"/>
        </w:trPr>
        <w:tc>
          <w:tcPr>
            <w:tcW w:w="1761" w:type="pct"/>
            <w:shd w:val="clear" w:color="auto" w:fill="auto"/>
            <w:noWrap/>
            <w:vAlign w:val="center"/>
            <w:hideMark/>
          </w:tcPr>
          <w:p w14:paraId="761C8315"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Расходи за запослене</w:t>
            </w:r>
          </w:p>
        </w:tc>
        <w:tc>
          <w:tcPr>
            <w:tcW w:w="810" w:type="pct"/>
            <w:shd w:val="clear" w:color="auto" w:fill="auto"/>
            <w:hideMark/>
          </w:tcPr>
          <w:p w14:paraId="3EDDB08B"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347,9</w:t>
            </w:r>
          </w:p>
        </w:tc>
        <w:tc>
          <w:tcPr>
            <w:tcW w:w="810" w:type="pct"/>
            <w:shd w:val="clear" w:color="auto" w:fill="auto"/>
            <w:hideMark/>
          </w:tcPr>
          <w:p w14:paraId="59CA9E55"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379,4</w:t>
            </w:r>
          </w:p>
        </w:tc>
        <w:tc>
          <w:tcPr>
            <w:tcW w:w="810" w:type="pct"/>
          </w:tcPr>
          <w:p w14:paraId="4D291AEA"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9,1</w:t>
            </w:r>
          </w:p>
        </w:tc>
        <w:tc>
          <w:tcPr>
            <w:tcW w:w="809" w:type="pct"/>
            <w:shd w:val="clear" w:color="auto" w:fill="auto"/>
            <w:hideMark/>
          </w:tcPr>
          <w:p w14:paraId="3CFA5C66"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12,2</w:t>
            </w:r>
          </w:p>
        </w:tc>
      </w:tr>
      <w:tr w:rsidR="001A087F" w:rsidRPr="001A087F" w14:paraId="122FDC3E" w14:textId="77777777" w:rsidTr="006272DB">
        <w:trPr>
          <w:trHeight w:val="263"/>
          <w:tblHeader/>
          <w:jc w:val="right"/>
        </w:trPr>
        <w:tc>
          <w:tcPr>
            <w:tcW w:w="1761" w:type="pct"/>
            <w:shd w:val="clear" w:color="auto" w:fill="auto"/>
            <w:noWrap/>
            <w:vAlign w:val="center"/>
            <w:hideMark/>
          </w:tcPr>
          <w:p w14:paraId="7A342CE8"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Куповина робе и услуга</w:t>
            </w:r>
          </w:p>
        </w:tc>
        <w:tc>
          <w:tcPr>
            <w:tcW w:w="810" w:type="pct"/>
            <w:shd w:val="clear" w:color="auto" w:fill="auto"/>
            <w:hideMark/>
          </w:tcPr>
          <w:p w14:paraId="3EABB2B2"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251,9</w:t>
            </w:r>
          </w:p>
        </w:tc>
        <w:tc>
          <w:tcPr>
            <w:tcW w:w="810" w:type="pct"/>
            <w:shd w:val="clear" w:color="auto" w:fill="auto"/>
            <w:hideMark/>
          </w:tcPr>
          <w:p w14:paraId="5BF33E97"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264,7</w:t>
            </w:r>
          </w:p>
        </w:tc>
        <w:tc>
          <w:tcPr>
            <w:tcW w:w="810" w:type="pct"/>
          </w:tcPr>
          <w:p w14:paraId="1DB4FE39"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5,1</w:t>
            </w:r>
          </w:p>
        </w:tc>
        <w:tc>
          <w:tcPr>
            <w:tcW w:w="809" w:type="pct"/>
            <w:shd w:val="clear" w:color="auto" w:fill="auto"/>
            <w:hideMark/>
          </w:tcPr>
          <w:p w14:paraId="4389A29B"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8,7</w:t>
            </w:r>
          </w:p>
        </w:tc>
      </w:tr>
      <w:tr w:rsidR="001A087F" w:rsidRPr="001A087F" w14:paraId="6BA52EEE" w14:textId="77777777" w:rsidTr="006272DB">
        <w:trPr>
          <w:trHeight w:val="263"/>
          <w:tblHeader/>
          <w:jc w:val="right"/>
        </w:trPr>
        <w:tc>
          <w:tcPr>
            <w:tcW w:w="1761" w:type="pct"/>
            <w:shd w:val="clear" w:color="auto" w:fill="auto"/>
            <w:noWrap/>
            <w:vAlign w:val="center"/>
            <w:hideMark/>
          </w:tcPr>
          <w:p w14:paraId="5120F862"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Отплата камата</w:t>
            </w:r>
          </w:p>
        </w:tc>
        <w:tc>
          <w:tcPr>
            <w:tcW w:w="810" w:type="pct"/>
            <w:shd w:val="clear" w:color="auto" w:fill="auto"/>
            <w:hideMark/>
          </w:tcPr>
          <w:p w14:paraId="78E5BAD7"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74,3</w:t>
            </w:r>
          </w:p>
        </w:tc>
        <w:tc>
          <w:tcPr>
            <w:tcW w:w="810" w:type="pct"/>
            <w:shd w:val="clear" w:color="auto" w:fill="auto"/>
            <w:hideMark/>
          </w:tcPr>
          <w:p w14:paraId="203DB1E2"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86,7</w:t>
            </w:r>
          </w:p>
        </w:tc>
        <w:tc>
          <w:tcPr>
            <w:tcW w:w="810" w:type="pct"/>
          </w:tcPr>
          <w:p w14:paraId="79DDF49A"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16,7</w:t>
            </w:r>
          </w:p>
        </w:tc>
        <w:tc>
          <w:tcPr>
            <w:tcW w:w="809" w:type="pct"/>
            <w:shd w:val="clear" w:color="auto" w:fill="auto"/>
            <w:hideMark/>
          </w:tcPr>
          <w:p w14:paraId="52FDBF6A"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36,2</w:t>
            </w:r>
          </w:p>
        </w:tc>
      </w:tr>
      <w:tr w:rsidR="001A087F" w:rsidRPr="001A087F" w14:paraId="78530A95" w14:textId="77777777" w:rsidTr="006272DB">
        <w:trPr>
          <w:trHeight w:val="263"/>
          <w:tblHeader/>
          <w:jc w:val="right"/>
        </w:trPr>
        <w:tc>
          <w:tcPr>
            <w:tcW w:w="1761" w:type="pct"/>
            <w:shd w:val="clear" w:color="auto" w:fill="auto"/>
            <w:noWrap/>
            <w:vAlign w:val="center"/>
            <w:hideMark/>
          </w:tcPr>
          <w:p w14:paraId="3B06501B"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Субвенције</w:t>
            </w:r>
          </w:p>
        </w:tc>
        <w:tc>
          <w:tcPr>
            <w:tcW w:w="810" w:type="pct"/>
            <w:shd w:val="clear" w:color="auto" w:fill="auto"/>
            <w:hideMark/>
          </w:tcPr>
          <w:p w14:paraId="7C3BE828"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70,0</w:t>
            </w:r>
          </w:p>
        </w:tc>
        <w:tc>
          <w:tcPr>
            <w:tcW w:w="810" w:type="pct"/>
            <w:shd w:val="clear" w:color="auto" w:fill="auto"/>
            <w:hideMark/>
          </w:tcPr>
          <w:p w14:paraId="21464A42"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77,3</w:t>
            </w:r>
          </w:p>
        </w:tc>
        <w:tc>
          <w:tcPr>
            <w:tcW w:w="810" w:type="pct"/>
          </w:tcPr>
          <w:p w14:paraId="209B860B"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10,3</w:t>
            </w:r>
          </w:p>
        </w:tc>
        <w:tc>
          <w:tcPr>
            <w:tcW w:w="809" w:type="pct"/>
            <w:shd w:val="clear" w:color="auto" w:fill="auto"/>
            <w:hideMark/>
          </w:tcPr>
          <w:p w14:paraId="09721317"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46,2</w:t>
            </w:r>
          </w:p>
        </w:tc>
      </w:tr>
      <w:tr w:rsidR="001A087F" w:rsidRPr="001A087F" w14:paraId="3D23A858" w14:textId="77777777" w:rsidTr="006272DB">
        <w:trPr>
          <w:trHeight w:val="263"/>
          <w:tblHeader/>
          <w:jc w:val="right"/>
        </w:trPr>
        <w:tc>
          <w:tcPr>
            <w:tcW w:w="1761" w:type="pct"/>
            <w:shd w:val="clear" w:color="auto" w:fill="auto"/>
            <w:noWrap/>
            <w:vAlign w:val="center"/>
            <w:hideMark/>
          </w:tcPr>
          <w:p w14:paraId="24C9DCEF"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Социјална помоћ и трансфери</w:t>
            </w:r>
          </w:p>
        </w:tc>
        <w:tc>
          <w:tcPr>
            <w:tcW w:w="810" w:type="pct"/>
            <w:shd w:val="clear" w:color="auto" w:fill="auto"/>
            <w:hideMark/>
          </w:tcPr>
          <w:p w14:paraId="6F2D7864"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471,0</w:t>
            </w:r>
          </w:p>
        </w:tc>
        <w:tc>
          <w:tcPr>
            <w:tcW w:w="810" w:type="pct"/>
            <w:shd w:val="clear" w:color="auto" w:fill="auto"/>
            <w:hideMark/>
          </w:tcPr>
          <w:p w14:paraId="3E707DAE"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519,1</w:t>
            </w:r>
          </w:p>
        </w:tc>
        <w:tc>
          <w:tcPr>
            <w:tcW w:w="810" w:type="pct"/>
          </w:tcPr>
          <w:p w14:paraId="7C923EAB"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10,2</w:t>
            </w:r>
          </w:p>
        </w:tc>
        <w:tc>
          <w:tcPr>
            <w:tcW w:w="809" w:type="pct"/>
            <w:shd w:val="clear" w:color="auto" w:fill="auto"/>
            <w:hideMark/>
          </w:tcPr>
          <w:p w14:paraId="117B2ABF"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12,3</w:t>
            </w:r>
          </w:p>
        </w:tc>
      </w:tr>
      <w:tr w:rsidR="001A087F" w:rsidRPr="001A087F" w14:paraId="012449FE" w14:textId="77777777" w:rsidTr="006272DB">
        <w:trPr>
          <w:trHeight w:val="263"/>
          <w:tblHeader/>
          <w:jc w:val="right"/>
        </w:trPr>
        <w:tc>
          <w:tcPr>
            <w:tcW w:w="1761" w:type="pct"/>
            <w:shd w:val="clear" w:color="auto" w:fill="auto"/>
            <w:noWrap/>
            <w:vAlign w:val="center"/>
            <w:hideMark/>
          </w:tcPr>
          <w:p w14:paraId="1BFE1256"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од чега пензије</w:t>
            </w:r>
          </w:p>
        </w:tc>
        <w:tc>
          <w:tcPr>
            <w:tcW w:w="810" w:type="pct"/>
            <w:shd w:val="clear" w:color="auto" w:fill="auto"/>
            <w:hideMark/>
          </w:tcPr>
          <w:p w14:paraId="7D1222F6"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315,8</w:t>
            </w:r>
          </w:p>
        </w:tc>
        <w:tc>
          <w:tcPr>
            <w:tcW w:w="810" w:type="pct"/>
            <w:shd w:val="clear" w:color="auto" w:fill="auto"/>
            <w:hideMark/>
          </w:tcPr>
          <w:p w14:paraId="3BD440A3"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380,4</w:t>
            </w:r>
          </w:p>
        </w:tc>
        <w:tc>
          <w:tcPr>
            <w:tcW w:w="810" w:type="pct"/>
          </w:tcPr>
          <w:p w14:paraId="58C07E10"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20,4</w:t>
            </w:r>
          </w:p>
        </w:tc>
        <w:tc>
          <w:tcPr>
            <w:tcW w:w="809" w:type="pct"/>
            <w:shd w:val="clear" w:color="auto" w:fill="auto"/>
            <w:hideMark/>
          </w:tcPr>
          <w:p w14:paraId="6BB10546"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20,7</w:t>
            </w:r>
          </w:p>
        </w:tc>
      </w:tr>
      <w:tr w:rsidR="001A087F" w:rsidRPr="001A087F" w14:paraId="2C67FE6C" w14:textId="77777777" w:rsidTr="006272DB">
        <w:trPr>
          <w:trHeight w:val="263"/>
          <w:tblHeader/>
          <w:jc w:val="right"/>
        </w:trPr>
        <w:tc>
          <w:tcPr>
            <w:tcW w:w="1761" w:type="pct"/>
            <w:shd w:val="clear" w:color="auto" w:fill="auto"/>
            <w:noWrap/>
            <w:vAlign w:val="center"/>
            <w:hideMark/>
          </w:tcPr>
          <w:p w14:paraId="6837369D"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Остали текући расходи</w:t>
            </w:r>
          </w:p>
        </w:tc>
        <w:tc>
          <w:tcPr>
            <w:tcW w:w="810" w:type="pct"/>
            <w:shd w:val="clear" w:color="auto" w:fill="auto"/>
            <w:hideMark/>
          </w:tcPr>
          <w:p w14:paraId="29371EB9"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76,3</w:t>
            </w:r>
          </w:p>
        </w:tc>
        <w:tc>
          <w:tcPr>
            <w:tcW w:w="810" w:type="pct"/>
            <w:shd w:val="clear" w:color="auto" w:fill="auto"/>
            <w:hideMark/>
          </w:tcPr>
          <w:p w14:paraId="42A25D8C"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53,2</w:t>
            </w:r>
          </w:p>
        </w:tc>
        <w:tc>
          <w:tcPr>
            <w:tcW w:w="810" w:type="pct"/>
          </w:tcPr>
          <w:p w14:paraId="69EBA27E"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-30,3</w:t>
            </w:r>
          </w:p>
        </w:tc>
        <w:tc>
          <w:tcPr>
            <w:tcW w:w="809" w:type="pct"/>
            <w:shd w:val="clear" w:color="auto" w:fill="auto"/>
            <w:hideMark/>
          </w:tcPr>
          <w:p w14:paraId="0FC5A56D"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-26,4</w:t>
            </w:r>
          </w:p>
        </w:tc>
      </w:tr>
      <w:tr w:rsidR="001A087F" w:rsidRPr="001A087F" w14:paraId="6FBC6D0F" w14:textId="77777777" w:rsidTr="006272DB">
        <w:trPr>
          <w:trHeight w:val="263"/>
          <w:tblHeader/>
          <w:jc w:val="right"/>
        </w:trPr>
        <w:tc>
          <w:tcPr>
            <w:tcW w:w="1761" w:type="pct"/>
            <w:shd w:val="clear" w:color="auto" w:fill="auto"/>
            <w:noWrap/>
            <w:vAlign w:val="center"/>
            <w:hideMark/>
          </w:tcPr>
          <w:p w14:paraId="2C983513"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Капитални расходи</w:t>
            </w:r>
          </w:p>
        </w:tc>
        <w:tc>
          <w:tcPr>
            <w:tcW w:w="810" w:type="pct"/>
            <w:shd w:val="clear" w:color="auto" w:fill="auto"/>
            <w:hideMark/>
          </w:tcPr>
          <w:p w14:paraId="6638EA73"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206,4</w:t>
            </w:r>
          </w:p>
        </w:tc>
        <w:tc>
          <w:tcPr>
            <w:tcW w:w="810" w:type="pct"/>
            <w:shd w:val="clear" w:color="auto" w:fill="auto"/>
            <w:hideMark/>
          </w:tcPr>
          <w:p w14:paraId="308721BC"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192,9</w:t>
            </w:r>
          </w:p>
        </w:tc>
        <w:tc>
          <w:tcPr>
            <w:tcW w:w="810" w:type="pct"/>
          </w:tcPr>
          <w:p w14:paraId="4B25E89C"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-6,5</w:t>
            </w:r>
          </w:p>
        </w:tc>
        <w:tc>
          <w:tcPr>
            <w:tcW w:w="809" w:type="pct"/>
            <w:shd w:val="clear" w:color="auto" w:fill="auto"/>
            <w:hideMark/>
          </w:tcPr>
          <w:p w14:paraId="0859952C"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11,8</w:t>
            </w:r>
          </w:p>
        </w:tc>
      </w:tr>
      <w:tr w:rsidR="001A087F" w:rsidRPr="001A087F" w14:paraId="748F2FBD" w14:textId="77777777" w:rsidTr="006272DB">
        <w:trPr>
          <w:trHeight w:val="263"/>
          <w:tblHeader/>
          <w:jc w:val="right"/>
        </w:trPr>
        <w:tc>
          <w:tcPr>
            <w:tcW w:w="1761" w:type="pct"/>
            <w:shd w:val="clear" w:color="auto" w:fill="auto"/>
            <w:noWrap/>
            <w:vAlign w:val="center"/>
            <w:hideMark/>
          </w:tcPr>
          <w:p w14:paraId="2AB0BB82"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Нето буџетске позајмице</w:t>
            </w:r>
          </w:p>
        </w:tc>
        <w:tc>
          <w:tcPr>
            <w:tcW w:w="810" w:type="pct"/>
            <w:shd w:val="clear" w:color="auto" w:fill="auto"/>
            <w:hideMark/>
          </w:tcPr>
          <w:p w14:paraId="591622CC"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12,7</w:t>
            </w:r>
          </w:p>
        </w:tc>
        <w:tc>
          <w:tcPr>
            <w:tcW w:w="810" w:type="pct"/>
            <w:shd w:val="clear" w:color="auto" w:fill="auto"/>
            <w:hideMark/>
          </w:tcPr>
          <w:p w14:paraId="4141CB45"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47,6</w:t>
            </w:r>
          </w:p>
        </w:tc>
        <w:tc>
          <w:tcPr>
            <w:tcW w:w="810" w:type="pct"/>
          </w:tcPr>
          <w:p w14:paraId="141FE3C5"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275,9</w:t>
            </w:r>
          </w:p>
        </w:tc>
        <w:tc>
          <w:tcPr>
            <w:tcW w:w="809" w:type="pct"/>
            <w:shd w:val="clear" w:color="auto" w:fill="auto"/>
            <w:hideMark/>
          </w:tcPr>
          <w:p w14:paraId="2671BDE8"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-43,0</w:t>
            </w:r>
          </w:p>
        </w:tc>
      </w:tr>
      <w:tr w:rsidR="001A087F" w:rsidRPr="001A087F" w14:paraId="2AACA8D2" w14:textId="77777777" w:rsidTr="006272DB">
        <w:trPr>
          <w:trHeight w:val="263"/>
          <w:tblHeader/>
          <w:jc w:val="right"/>
        </w:trPr>
        <w:tc>
          <w:tcPr>
            <w:tcW w:w="1761" w:type="pct"/>
            <w:shd w:val="clear" w:color="auto" w:fill="auto"/>
            <w:noWrap/>
            <w:vAlign w:val="center"/>
            <w:hideMark/>
          </w:tcPr>
          <w:p w14:paraId="34276A49" w14:textId="77777777" w:rsidR="00252AA2" w:rsidRPr="001A087F" w:rsidRDefault="00252AA2" w:rsidP="006272DB">
            <w:pPr>
              <w:spacing w:after="0" w:line="240" w:lineRule="auto"/>
              <w:jc w:val="left"/>
              <w:rPr>
                <w:rFonts w:eastAsia="MS PGothic" w:cstheme="minorHAnsi"/>
                <w:color w:val="002060"/>
                <w:sz w:val="16"/>
                <w:szCs w:val="16"/>
                <w:lang w:val="sr-Cyrl-RS" w:eastAsia="ja-JP"/>
              </w:rPr>
            </w:pPr>
            <w:r w:rsidRPr="001A087F">
              <w:rPr>
                <w:rFonts w:eastAsia="MS PGothic" w:cstheme="minorHAnsi"/>
                <w:color w:val="002060"/>
                <w:sz w:val="16"/>
                <w:szCs w:val="16"/>
                <w:lang w:val="sr-Cyrl-RS" w:eastAsia="ja-JP"/>
              </w:rPr>
              <w:t>Активиране гаранције</w:t>
            </w:r>
          </w:p>
        </w:tc>
        <w:tc>
          <w:tcPr>
            <w:tcW w:w="810" w:type="pct"/>
            <w:shd w:val="clear" w:color="auto" w:fill="auto"/>
            <w:hideMark/>
          </w:tcPr>
          <w:p w14:paraId="67253979"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4,6</w:t>
            </w:r>
          </w:p>
        </w:tc>
        <w:tc>
          <w:tcPr>
            <w:tcW w:w="810" w:type="pct"/>
            <w:shd w:val="clear" w:color="auto" w:fill="auto"/>
            <w:hideMark/>
          </w:tcPr>
          <w:p w14:paraId="1A1AD7B0" w14:textId="77777777" w:rsidR="00252AA2" w:rsidRPr="001A087F" w:rsidRDefault="00252AA2" w:rsidP="006272DB">
            <w:pPr>
              <w:spacing w:after="0" w:line="240" w:lineRule="auto"/>
              <w:ind w:right="340"/>
              <w:jc w:val="right"/>
              <w:rPr>
                <w:rFonts w:cstheme="minorHAnsi"/>
                <w:color w:val="002060"/>
                <w:sz w:val="16"/>
                <w:szCs w:val="16"/>
                <w:lang w:val="sr-Cyrl-RS"/>
              </w:rPr>
            </w:pPr>
            <w:r w:rsidRPr="001A087F">
              <w:rPr>
                <w:color w:val="002060"/>
                <w:sz w:val="16"/>
                <w:szCs w:val="16"/>
                <w:lang w:val="sr-Cyrl-RS"/>
              </w:rPr>
              <w:t>11,2</w:t>
            </w:r>
          </w:p>
        </w:tc>
        <w:tc>
          <w:tcPr>
            <w:tcW w:w="810" w:type="pct"/>
          </w:tcPr>
          <w:p w14:paraId="12D130AA"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143,3</w:t>
            </w:r>
          </w:p>
        </w:tc>
        <w:tc>
          <w:tcPr>
            <w:tcW w:w="809" w:type="pct"/>
            <w:shd w:val="clear" w:color="auto" w:fill="auto"/>
            <w:hideMark/>
          </w:tcPr>
          <w:p w14:paraId="7E44A64C" w14:textId="77777777" w:rsidR="00252AA2" w:rsidRPr="001A087F" w:rsidRDefault="00252AA2" w:rsidP="006272DB">
            <w:pPr>
              <w:spacing w:after="0" w:line="240" w:lineRule="auto"/>
              <w:ind w:right="510"/>
              <w:jc w:val="right"/>
              <w:rPr>
                <w:rFonts w:cstheme="minorHAnsi"/>
                <w:color w:val="002060"/>
                <w:sz w:val="16"/>
                <w:szCs w:val="16"/>
                <w:lang w:val="sr-Cyrl-RS"/>
              </w:rPr>
            </w:pPr>
            <w:r w:rsidRPr="001A087F">
              <w:rPr>
                <w:color w:val="002060"/>
                <w:sz w:val="16"/>
                <w:szCs w:val="16"/>
                <w:lang w:val="sr-Cyrl-RS"/>
              </w:rPr>
              <w:t>43,7</w:t>
            </w:r>
          </w:p>
        </w:tc>
      </w:tr>
      <w:tr w:rsidR="001A087F" w:rsidRPr="001A087F" w14:paraId="5EE59601" w14:textId="77777777" w:rsidTr="006272DB">
        <w:trPr>
          <w:trHeight w:val="263"/>
          <w:tblHeader/>
          <w:jc w:val="right"/>
        </w:trPr>
        <w:tc>
          <w:tcPr>
            <w:tcW w:w="1761" w:type="pct"/>
            <w:tcBorders>
              <w:bottom w:val="single" w:sz="4" w:space="0" w:color="002060"/>
            </w:tcBorders>
            <w:shd w:val="clear" w:color="auto" w:fill="E7E6E6" w:themeFill="background2"/>
            <w:noWrap/>
            <w:vAlign w:val="center"/>
            <w:hideMark/>
          </w:tcPr>
          <w:p w14:paraId="3CD559D4" w14:textId="77777777" w:rsidR="00252AA2" w:rsidRPr="001A087F" w:rsidRDefault="00252AA2" w:rsidP="006272DB">
            <w:pPr>
              <w:spacing w:after="0" w:line="240" w:lineRule="auto"/>
              <w:jc w:val="left"/>
              <w:rPr>
                <w:rFonts w:cstheme="minorHAnsi"/>
                <w:color w:val="002060"/>
                <w:sz w:val="18"/>
                <w:szCs w:val="18"/>
                <w:lang w:val="sr-Cyrl-RS"/>
              </w:rPr>
            </w:pPr>
            <w:r w:rsidRPr="001A087F">
              <w:rPr>
                <w:rFonts w:eastAsia="MS PGothic" w:cstheme="minorHAnsi"/>
                <w:color w:val="002060"/>
                <w:sz w:val="18"/>
                <w:szCs w:val="18"/>
                <w:lang w:val="sr-Cyrl-RS" w:eastAsia="ja-JP"/>
              </w:rPr>
              <w:t>Фискални резултат</w:t>
            </w:r>
          </w:p>
        </w:tc>
        <w:tc>
          <w:tcPr>
            <w:tcW w:w="810" w:type="pct"/>
            <w:tcBorders>
              <w:bottom w:val="single" w:sz="4" w:space="0" w:color="002060"/>
            </w:tcBorders>
            <w:shd w:val="clear" w:color="auto" w:fill="E7E6E6" w:themeFill="background2"/>
            <w:hideMark/>
          </w:tcPr>
          <w:p w14:paraId="5FE3F62D" w14:textId="77777777" w:rsidR="00252AA2" w:rsidRPr="001A087F" w:rsidRDefault="00252AA2" w:rsidP="006272DB">
            <w:pPr>
              <w:spacing w:after="0" w:line="240" w:lineRule="auto"/>
              <w:ind w:right="340"/>
              <w:jc w:val="right"/>
              <w:rPr>
                <w:rFonts w:cstheme="minorHAnsi"/>
                <w:color w:val="002060"/>
                <w:sz w:val="18"/>
                <w:szCs w:val="18"/>
                <w:lang w:val="sr-Cyrl-RS"/>
              </w:rPr>
            </w:pPr>
            <w:r w:rsidRPr="001A087F">
              <w:rPr>
                <w:color w:val="002060"/>
                <w:sz w:val="18"/>
                <w:szCs w:val="18"/>
                <w:lang w:val="sr-Cyrl-RS"/>
              </w:rPr>
              <w:t>-21,1</w:t>
            </w:r>
          </w:p>
        </w:tc>
        <w:tc>
          <w:tcPr>
            <w:tcW w:w="810" w:type="pct"/>
            <w:tcBorders>
              <w:bottom w:val="single" w:sz="4" w:space="0" w:color="002060"/>
            </w:tcBorders>
            <w:shd w:val="clear" w:color="auto" w:fill="E7E6E6" w:themeFill="background2"/>
            <w:hideMark/>
          </w:tcPr>
          <w:p w14:paraId="47680639" w14:textId="77777777" w:rsidR="00252AA2" w:rsidRPr="001A087F" w:rsidRDefault="00252AA2" w:rsidP="006272DB">
            <w:pPr>
              <w:spacing w:after="0" w:line="240" w:lineRule="auto"/>
              <w:ind w:right="340"/>
              <w:jc w:val="right"/>
              <w:rPr>
                <w:rFonts w:cstheme="minorHAnsi"/>
                <w:color w:val="002060"/>
                <w:sz w:val="18"/>
                <w:szCs w:val="18"/>
                <w:lang w:val="sr-Cyrl-RS"/>
              </w:rPr>
            </w:pPr>
            <w:r w:rsidRPr="001A087F">
              <w:rPr>
                <w:color w:val="002060"/>
                <w:sz w:val="18"/>
                <w:szCs w:val="18"/>
                <w:lang w:val="sr-Cyrl-RS"/>
              </w:rPr>
              <w:t>45,0</w:t>
            </w:r>
          </w:p>
        </w:tc>
        <w:tc>
          <w:tcPr>
            <w:tcW w:w="810" w:type="pct"/>
            <w:tcBorders>
              <w:bottom w:val="single" w:sz="4" w:space="0" w:color="002060"/>
            </w:tcBorders>
            <w:shd w:val="clear" w:color="auto" w:fill="E7E6E6" w:themeFill="background2"/>
          </w:tcPr>
          <w:p w14:paraId="7CC3856E" w14:textId="77777777" w:rsidR="00252AA2" w:rsidRPr="001A087F" w:rsidRDefault="00252AA2" w:rsidP="006272DB">
            <w:pPr>
              <w:spacing w:after="0" w:line="240" w:lineRule="auto"/>
              <w:ind w:right="737"/>
              <w:jc w:val="right"/>
              <w:rPr>
                <w:rFonts w:cstheme="minorHAnsi"/>
                <w:color w:val="002060"/>
                <w:sz w:val="18"/>
                <w:szCs w:val="18"/>
                <w:lang w:val="sr-Cyrl-RS"/>
              </w:rPr>
            </w:pPr>
          </w:p>
        </w:tc>
        <w:tc>
          <w:tcPr>
            <w:tcW w:w="809" w:type="pct"/>
            <w:tcBorders>
              <w:bottom w:val="single" w:sz="4" w:space="0" w:color="002060"/>
            </w:tcBorders>
            <w:shd w:val="clear" w:color="auto" w:fill="E7E6E6" w:themeFill="background2"/>
            <w:hideMark/>
          </w:tcPr>
          <w:p w14:paraId="73E2CD29" w14:textId="77777777" w:rsidR="00252AA2" w:rsidRPr="001A087F" w:rsidRDefault="00252AA2" w:rsidP="006272DB">
            <w:pPr>
              <w:spacing w:after="0" w:line="240" w:lineRule="auto"/>
              <w:ind w:right="737"/>
              <w:jc w:val="right"/>
              <w:rPr>
                <w:rFonts w:cstheme="minorHAnsi"/>
                <w:color w:val="002060"/>
                <w:sz w:val="18"/>
                <w:szCs w:val="18"/>
                <w:lang w:val="sr-Cyrl-RS"/>
              </w:rPr>
            </w:pPr>
          </w:p>
        </w:tc>
      </w:tr>
    </w:tbl>
    <w:p w14:paraId="28B884CC" w14:textId="77777777" w:rsidR="00252AA2" w:rsidRPr="00E13B1A" w:rsidRDefault="00252AA2" w:rsidP="000D3688">
      <w:pPr>
        <w:tabs>
          <w:tab w:val="left" w:pos="623"/>
        </w:tabs>
        <w:spacing w:after="0" w:line="240" w:lineRule="auto"/>
        <w:rPr>
          <w:rFonts w:cstheme="minorHAnsi"/>
          <w:sz w:val="16"/>
          <w:szCs w:val="16"/>
          <w:lang w:val="sr-Cyrl-RS"/>
        </w:rPr>
      </w:pPr>
      <w:r w:rsidRPr="00E13B1A">
        <w:rPr>
          <w:rFonts w:eastAsia="Calibri" w:cstheme="minorHAnsi"/>
          <w:bCs/>
          <w:sz w:val="16"/>
          <w:szCs w:val="16"/>
          <w:lang w:val="sr-Cyrl-RS" w:eastAsia="ja-JP"/>
        </w:rPr>
        <w:t xml:space="preserve">Извор: </w:t>
      </w:r>
      <w:r w:rsidRPr="00E13B1A">
        <w:rPr>
          <w:rFonts w:cstheme="minorHAnsi"/>
          <w:sz w:val="16"/>
          <w:szCs w:val="16"/>
          <w:lang w:val="sr-Cyrl-RS"/>
        </w:rPr>
        <w:t>Министарство финансија</w:t>
      </w:r>
    </w:p>
    <w:p w14:paraId="49CB572E" w14:textId="77777777" w:rsidR="00252AA2" w:rsidRPr="00E13B1A" w:rsidRDefault="00252AA2" w:rsidP="006272DB">
      <w:pPr>
        <w:tabs>
          <w:tab w:val="left" w:pos="623"/>
        </w:tabs>
        <w:spacing w:after="0" w:line="240" w:lineRule="auto"/>
        <w:rPr>
          <w:rFonts w:cstheme="minorHAnsi"/>
          <w:sz w:val="16"/>
          <w:szCs w:val="16"/>
          <w:lang w:val="sr-Cyrl-RS"/>
        </w:rPr>
      </w:pPr>
      <w:r w:rsidRPr="00E13B1A">
        <w:rPr>
          <w:rFonts w:cstheme="minorHAnsi"/>
          <w:sz w:val="16"/>
          <w:szCs w:val="16"/>
          <w:lang w:val="sr-Cyrl-RS"/>
        </w:rPr>
        <w:t xml:space="preserve"> *  Консолидовани извештај РФЗО се израђује на кварталном нивоу, па су због упоредивости у табели дати подаци за прва два квартала.</w:t>
      </w:r>
    </w:p>
    <w:p w14:paraId="18DC6E15" w14:textId="77777777" w:rsidR="00252AA2" w:rsidRPr="00E13B1A" w:rsidRDefault="00252AA2" w:rsidP="006272DB">
      <w:pPr>
        <w:tabs>
          <w:tab w:val="left" w:pos="623"/>
        </w:tabs>
        <w:spacing w:after="120" w:line="240" w:lineRule="auto"/>
        <w:rPr>
          <w:rFonts w:cstheme="minorHAnsi"/>
          <w:sz w:val="16"/>
          <w:szCs w:val="16"/>
          <w:lang w:val="sr-Cyrl-RS"/>
        </w:rPr>
      </w:pPr>
      <w:r w:rsidRPr="00E13B1A">
        <w:rPr>
          <w:rFonts w:cstheme="minorHAnsi"/>
          <w:sz w:val="16"/>
          <w:szCs w:val="16"/>
          <w:lang w:val="sr-Cyrl-RS"/>
        </w:rPr>
        <w:t>** Подаци за обе године сада обухватају сопствене приходе здравствених установа и расходе настале по том основу.</w:t>
      </w:r>
    </w:p>
    <w:p w14:paraId="5B77E475" w14:textId="77777777" w:rsidR="00252AA2" w:rsidRPr="00E13B1A" w:rsidRDefault="00252AA2" w:rsidP="006272DB">
      <w:pPr>
        <w:tabs>
          <w:tab w:val="left" w:pos="623"/>
        </w:tabs>
        <w:spacing w:after="120" w:line="240" w:lineRule="auto"/>
        <w:rPr>
          <w:rFonts w:cstheme="minorHAnsi"/>
          <w:sz w:val="16"/>
          <w:szCs w:val="16"/>
          <w:lang w:val="sr-Cyrl-RS"/>
        </w:rPr>
        <w:sectPr w:rsidR="00252AA2" w:rsidRPr="00E13B1A" w:rsidSect="000D3688">
          <w:type w:val="continuous"/>
          <w:pgSz w:w="12240" w:h="15840" w:code="1"/>
          <w:pgMar w:top="1440" w:right="1440" w:bottom="1440" w:left="1440" w:header="720" w:footer="720" w:gutter="0"/>
          <w:cols w:space="720"/>
          <w:docGrid w:linePitch="360"/>
        </w:sectPr>
      </w:pPr>
    </w:p>
    <w:p w14:paraId="21844BA0" w14:textId="77777777" w:rsidR="00252AA2" w:rsidRPr="00E13B1A" w:rsidRDefault="00252AA2" w:rsidP="006272DB">
      <w:pPr>
        <w:spacing w:after="120"/>
        <w:rPr>
          <w:rFonts w:eastAsia="MS PGothic" w:cstheme="minorHAnsi"/>
          <w:szCs w:val="20"/>
          <w:lang w:val="sr-Cyrl-RS" w:eastAsia="ja-JP"/>
        </w:rPr>
      </w:pPr>
      <w:r w:rsidRPr="00E13B1A">
        <w:rPr>
          <w:rFonts w:eastAsia="MS PGothic" w:cstheme="minorHAnsi"/>
          <w:szCs w:val="20"/>
          <w:lang w:val="sr-Cyrl-RS" w:eastAsia="ja-JP"/>
        </w:rPr>
        <w:t xml:space="preserve">Стање доцњи (преко 60 дана кашњења)* буџетских корисника и организација обавезног социјалног осигурања последњег дана </w:t>
      </w:r>
      <w:r w:rsidRPr="00E13B1A">
        <w:rPr>
          <w:lang w:val="sr-Cyrl-RS"/>
        </w:rPr>
        <w:t xml:space="preserve">јуна </w:t>
      </w:r>
      <w:r w:rsidRPr="00E13B1A">
        <w:rPr>
          <w:rFonts w:eastAsia="MS PGothic" w:cstheme="minorHAnsi"/>
          <w:szCs w:val="20"/>
          <w:lang w:val="sr-Cyrl-RS" w:eastAsia="ja-JP"/>
        </w:rPr>
        <w:t>2023. године износило је 4,1 млрд динара (око 0,04% БДП), и смањено је у односу на крај 2022. године.</w:t>
      </w:r>
    </w:p>
    <w:p w14:paraId="6B55FAE9" w14:textId="77777777" w:rsidR="00252AA2" w:rsidRPr="00E13B1A" w:rsidRDefault="00252AA2" w:rsidP="006272DB">
      <w:pPr>
        <w:spacing w:after="120"/>
        <w:rPr>
          <w:rFonts w:eastAsia="MS PGothic" w:cstheme="minorHAnsi"/>
          <w:szCs w:val="20"/>
          <w:lang w:val="sr-Cyrl-RS" w:eastAsia="ja-JP"/>
        </w:rPr>
      </w:pPr>
      <w:r w:rsidRPr="00E13B1A">
        <w:rPr>
          <w:rFonts w:eastAsia="MS PGothic" w:cstheme="minorHAnsi"/>
          <w:szCs w:val="20"/>
          <w:lang w:val="sr-Cyrl-RS" w:eastAsia="ja-JP"/>
        </w:rPr>
        <w:t>Корисници буџета и ЈП „Путеви Србије” креирали су доцње у плаћању од 1,6 млрд динара, док је стање доцњи организација обавезног социјалног осигурања 1,4 млрд динара.</w:t>
      </w:r>
    </w:p>
    <w:p w14:paraId="5C87A8EA" w14:textId="77777777" w:rsidR="00252AA2" w:rsidRPr="00E13B1A" w:rsidRDefault="00252AA2" w:rsidP="006272DB">
      <w:pPr>
        <w:spacing w:after="120"/>
        <w:rPr>
          <w:rFonts w:eastAsia="MS PGothic" w:cstheme="minorHAnsi"/>
          <w:szCs w:val="20"/>
          <w:lang w:val="sr-Cyrl-RS" w:eastAsia="ja-JP"/>
        </w:rPr>
        <w:sectPr w:rsidR="00252AA2" w:rsidRPr="00E13B1A" w:rsidSect="000D3688">
          <w:headerReference w:type="even" r:id="rId116"/>
          <w:headerReference w:type="default" r:id="rId117"/>
          <w:footerReference w:type="even" r:id="rId118"/>
          <w:footerReference w:type="default" r:id="rId119"/>
          <w:headerReference w:type="first" r:id="rId120"/>
          <w:type w:val="continuous"/>
          <w:pgSz w:w="12240" w:h="15840" w:code="1"/>
          <w:pgMar w:top="1440" w:right="1440" w:bottom="1440" w:left="1440" w:header="720" w:footer="720" w:gutter="0"/>
          <w:cols w:num="2" w:space="720"/>
          <w:docGrid w:linePitch="360"/>
        </w:sectPr>
      </w:pPr>
    </w:p>
    <w:p w14:paraId="5B6804FA" w14:textId="77777777" w:rsidR="00252AA2" w:rsidRPr="00E13B1A" w:rsidRDefault="00252AA2" w:rsidP="006272DB">
      <w:pPr>
        <w:spacing w:after="120"/>
        <w:jc w:val="center"/>
        <w:rPr>
          <w:rFonts w:eastAsia="MS PGothic" w:cstheme="minorHAnsi"/>
          <w:b/>
          <w:color w:val="002060"/>
          <w:szCs w:val="20"/>
          <w:lang w:val="sr-Cyrl-RS" w:eastAsia="ja-JP"/>
        </w:rPr>
      </w:pPr>
      <w:r w:rsidRPr="00E13B1A">
        <w:rPr>
          <w:rFonts w:eastAsia="MS PGothic" w:cstheme="minorHAnsi"/>
          <w:b/>
          <w:color w:val="002060"/>
          <w:szCs w:val="20"/>
          <w:lang w:val="sr-Cyrl-RS" w:eastAsia="ja-JP"/>
        </w:rPr>
        <w:t xml:space="preserve">Табела 7. Стање доцњи буџетских корисника и ООСО, крај 2022. године и </w:t>
      </w:r>
      <w:r w:rsidRPr="00E13B1A">
        <w:rPr>
          <w:rFonts w:eastAsia="MS PGothic" w:cstheme="minorHAnsi"/>
          <w:b/>
          <w:color w:val="002060"/>
          <w:szCs w:val="20"/>
          <w:lang w:val="sr-Cyrl-RS" w:eastAsia="ja-JP"/>
        </w:rPr>
        <w:br w:type="textWrapping" w:clear="all"/>
        <w:t>јун 2023. године, у млрд динара</w:t>
      </w:r>
    </w:p>
    <w:tbl>
      <w:tblPr>
        <w:tblStyle w:val="LightShading-Accent335"/>
        <w:tblpPr w:leftFromText="180" w:rightFromText="180" w:vertAnchor="text" w:horzAnchor="margin" w:tblpY="56"/>
        <w:tblW w:w="4879" w:type="pct"/>
        <w:tblBorders>
          <w:top w:val="none" w:sz="0" w:space="0" w:color="auto"/>
          <w:bottom w:val="none" w:sz="0" w:space="0" w:color="auto"/>
        </w:tblBorders>
        <w:tblLook w:val="04A0" w:firstRow="1" w:lastRow="0" w:firstColumn="1" w:lastColumn="0" w:noHBand="0" w:noVBand="1"/>
      </w:tblPr>
      <w:tblGrid>
        <w:gridCol w:w="5451"/>
        <w:gridCol w:w="1841"/>
        <w:gridCol w:w="1841"/>
      </w:tblGrid>
      <w:tr w:rsidR="00252AA2" w:rsidRPr="00E13B1A" w14:paraId="76927827" w14:textId="77777777" w:rsidTr="0004786A">
        <w:trPr>
          <w:cnfStyle w:val="100000000000" w:firstRow="1" w:lastRow="0" w:firstColumn="0" w:lastColumn="0" w:oddVBand="0" w:evenVBand="0" w:oddHBand="0"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2984" w:type="pct"/>
            <w:tcBorders>
              <w:top w:val="single" w:sz="4" w:space="0" w:color="002060"/>
              <w:bottom w:val="single" w:sz="4" w:space="0" w:color="002060"/>
            </w:tcBorders>
            <w:shd w:val="clear" w:color="auto" w:fill="auto"/>
            <w:noWrap/>
            <w:hideMark/>
          </w:tcPr>
          <w:p w14:paraId="4093E135" w14:textId="77777777" w:rsidR="00252AA2" w:rsidRPr="00E13B1A" w:rsidRDefault="00252AA2" w:rsidP="00E124CF">
            <w:pPr>
              <w:jc w:val="right"/>
              <w:rPr>
                <w:rFonts w:asciiTheme="minorHAnsi" w:hAnsiTheme="minorHAnsi" w:cstheme="minorHAnsi"/>
                <w:b w:val="0"/>
                <w:color w:val="002060"/>
                <w:sz w:val="18"/>
                <w:szCs w:val="18"/>
                <w:lang w:val="sr-Cyrl-RS"/>
              </w:rPr>
            </w:pPr>
            <w:r w:rsidRPr="00E13B1A">
              <w:rPr>
                <w:rFonts w:asciiTheme="minorHAnsi" w:hAnsiTheme="minorHAnsi" w:cstheme="minorHAnsi"/>
                <w:b w:val="0"/>
                <w:color w:val="002060"/>
                <w:sz w:val="18"/>
                <w:szCs w:val="18"/>
                <w:lang w:val="sr-Cyrl-RS"/>
              </w:rPr>
              <w:t> </w:t>
            </w:r>
          </w:p>
        </w:tc>
        <w:tc>
          <w:tcPr>
            <w:tcW w:w="1008" w:type="pct"/>
            <w:tcBorders>
              <w:top w:val="single" w:sz="4" w:space="0" w:color="002060"/>
              <w:bottom w:val="single" w:sz="4" w:space="0" w:color="002060"/>
            </w:tcBorders>
            <w:shd w:val="clear" w:color="auto" w:fill="auto"/>
          </w:tcPr>
          <w:p w14:paraId="043387CC" w14:textId="77777777" w:rsidR="00252AA2" w:rsidRPr="00E13B1A" w:rsidRDefault="00252AA2" w:rsidP="00FE1A26">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E13B1A">
              <w:rPr>
                <w:rFonts w:asciiTheme="minorHAnsi" w:hAnsiTheme="minorHAnsi" w:cstheme="minorHAnsi"/>
                <w:b w:val="0"/>
                <w:color w:val="002060"/>
                <w:sz w:val="18"/>
                <w:szCs w:val="18"/>
                <w:lang w:val="sr-Cyrl-RS"/>
              </w:rPr>
              <w:t>31.12.2022.</w:t>
            </w:r>
          </w:p>
        </w:tc>
        <w:tc>
          <w:tcPr>
            <w:tcW w:w="1008" w:type="pct"/>
            <w:tcBorders>
              <w:top w:val="single" w:sz="4" w:space="0" w:color="002060"/>
              <w:bottom w:val="single" w:sz="4" w:space="0" w:color="002060"/>
            </w:tcBorders>
            <w:shd w:val="clear" w:color="auto" w:fill="auto"/>
          </w:tcPr>
          <w:p w14:paraId="47ED52E8" w14:textId="77777777" w:rsidR="00252AA2" w:rsidRPr="00E13B1A" w:rsidRDefault="00252AA2" w:rsidP="00FE1A26">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E13B1A">
              <w:rPr>
                <w:rFonts w:asciiTheme="minorHAnsi" w:hAnsiTheme="minorHAnsi" w:cstheme="minorHAnsi"/>
                <w:b w:val="0"/>
                <w:color w:val="002060"/>
                <w:sz w:val="18"/>
                <w:szCs w:val="18"/>
                <w:lang w:val="sr-Cyrl-RS"/>
              </w:rPr>
              <w:t>30.6.2023.</w:t>
            </w:r>
          </w:p>
        </w:tc>
      </w:tr>
      <w:tr w:rsidR="00252AA2" w:rsidRPr="00E13B1A" w14:paraId="5B96B1EA" w14:textId="77777777" w:rsidTr="0004786A">
        <w:trPr>
          <w:cnfStyle w:val="000000100000" w:firstRow="0" w:lastRow="0" w:firstColumn="0" w:lastColumn="0" w:oddVBand="0" w:evenVBand="0" w:oddHBand="1"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2984" w:type="pct"/>
            <w:tcBorders>
              <w:top w:val="single" w:sz="4" w:space="0" w:color="002060"/>
            </w:tcBorders>
            <w:shd w:val="clear" w:color="auto" w:fill="auto"/>
            <w:noWrap/>
            <w:hideMark/>
          </w:tcPr>
          <w:p w14:paraId="6C186341" w14:textId="77777777" w:rsidR="00252AA2" w:rsidRPr="00E13B1A" w:rsidRDefault="00252AA2" w:rsidP="00FE1A26">
            <w:pPr>
              <w:rPr>
                <w:rFonts w:asciiTheme="minorHAnsi" w:hAnsiTheme="minorHAnsi" w:cstheme="minorHAnsi"/>
                <w:b w:val="0"/>
                <w:color w:val="002060"/>
                <w:sz w:val="18"/>
                <w:szCs w:val="18"/>
                <w:lang w:val="sr-Cyrl-RS"/>
              </w:rPr>
            </w:pPr>
            <w:r w:rsidRPr="00E13B1A">
              <w:rPr>
                <w:rFonts w:asciiTheme="minorHAnsi" w:hAnsiTheme="minorHAnsi" w:cstheme="minorHAnsi"/>
                <w:b w:val="0"/>
                <w:color w:val="002060"/>
                <w:sz w:val="18"/>
                <w:szCs w:val="18"/>
                <w:lang w:val="sr-Cyrl-RS"/>
              </w:rPr>
              <w:t xml:space="preserve">Буџетски корисници и ЈП „Путеви Србије” </w:t>
            </w:r>
          </w:p>
        </w:tc>
        <w:tc>
          <w:tcPr>
            <w:tcW w:w="1008" w:type="pct"/>
            <w:tcBorders>
              <w:top w:val="single" w:sz="4" w:space="0" w:color="002060"/>
            </w:tcBorders>
            <w:shd w:val="clear" w:color="auto" w:fill="auto"/>
          </w:tcPr>
          <w:p w14:paraId="7EA4B4D0" w14:textId="77777777" w:rsidR="00252AA2" w:rsidRPr="00E13B1A" w:rsidRDefault="00252AA2"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13B1A">
              <w:rPr>
                <w:rFonts w:asciiTheme="minorHAnsi" w:hAnsiTheme="minorHAnsi" w:cstheme="minorHAnsi"/>
                <w:color w:val="002060"/>
                <w:sz w:val="18"/>
                <w:szCs w:val="18"/>
                <w:lang w:val="sr-Cyrl-RS"/>
              </w:rPr>
              <w:t>2,1</w:t>
            </w:r>
          </w:p>
        </w:tc>
        <w:tc>
          <w:tcPr>
            <w:tcW w:w="1008" w:type="pct"/>
            <w:tcBorders>
              <w:top w:val="single" w:sz="4" w:space="0" w:color="002060"/>
            </w:tcBorders>
            <w:shd w:val="clear" w:color="auto" w:fill="auto"/>
          </w:tcPr>
          <w:p w14:paraId="0FB987AD" w14:textId="77777777" w:rsidR="00252AA2" w:rsidRPr="00E13B1A" w:rsidRDefault="00252AA2"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13B1A">
              <w:rPr>
                <w:rFonts w:asciiTheme="minorHAnsi" w:hAnsiTheme="minorHAnsi" w:cstheme="minorHAnsi"/>
                <w:color w:val="002060"/>
                <w:sz w:val="18"/>
                <w:szCs w:val="18"/>
                <w:lang w:val="sr-Cyrl-RS"/>
              </w:rPr>
              <w:t>1,6</w:t>
            </w:r>
          </w:p>
        </w:tc>
      </w:tr>
      <w:tr w:rsidR="00252AA2" w:rsidRPr="00E13B1A" w14:paraId="286E9AEF" w14:textId="77777777" w:rsidTr="0004786A">
        <w:trPr>
          <w:trHeight w:val="239"/>
        </w:trPr>
        <w:tc>
          <w:tcPr>
            <w:cnfStyle w:val="001000000000" w:firstRow="0" w:lastRow="0" w:firstColumn="1" w:lastColumn="0" w:oddVBand="0" w:evenVBand="0" w:oddHBand="0" w:evenHBand="0" w:firstRowFirstColumn="0" w:firstRowLastColumn="0" w:lastRowFirstColumn="0" w:lastRowLastColumn="0"/>
            <w:tcW w:w="2984" w:type="pct"/>
            <w:shd w:val="clear" w:color="auto" w:fill="auto"/>
            <w:noWrap/>
            <w:hideMark/>
          </w:tcPr>
          <w:p w14:paraId="3F345572" w14:textId="77777777" w:rsidR="00252AA2" w:rsidRPr="00E13B1A" w:rsidRDefault="00252AA2" w:rsidP="00FE1A26">
            <w:pPr>
              <w:rPr>
                <w:rFonts w:asciiTheme="minorHAnsi" w:hAnsiTheme="minorHAnsi" w:cstheme="minorHAnsi"/>
                <w:b w:val="0"/>
                <w:color w:val="002060"/>
                <w:sz w:val="18"/>
                <w:szCs w:val="18"/>
                <w:lang w:val="sr-Cyrl-RS"/>
              </w:rPr>
            </w:pPr>
            <w:r w:rsidRPr="00E13B1A">
              <w:rPr>
                <w:rFonts w:asciiTheme="minorHAnsi" w:hAnsiTheme="minorHAnsi" w:cstheme="minorHAnsi"/>
                <w:b w:val="0"/>
                <w:color w:val="002060"/>
                <w:sz w:val="18"/>
                <w:szCs w:val="18"/>
                <w:lang w:val="sr-Cyrl-RS"/>
              </w:rPr>
              <w:t>ООСО</w:t>
            </w:r>
          </w:p>
        </w:tc>
        <w:tc>
          <w:tcPr>
            <w:tcW w:w="1008" w:type="pct"/>
            <w:shd w:val="clear" w:color="auto" w:fill="auto"/>
          </w:tcPr>
          <w:p w14:paraId="55BEBE6B" w14:textId="77777777" w:rsidR="00252AA2" w:rsidRPr="00E13B1A" w:rsidRDefault="00252AA2" w:rsidP="00FE1A26">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13B1A">
              <w:rPr>
                <w:rFonts w:asciiTheme="minorHAnsi" w:hAnsiTheme="minorHAnsi" w:cstheme="minorHAnsi"/>
                <w:color w:val="002060"/>
                <w:sz w:val="18"/>
                <w:szCs w:val="18"/>
                <w:lang w:val="sr-Cyrl-RS"/>
              </w:rPr>
              <w:t>1,3</w:t>
            </w:r>
          </w:p>
        </w:tc>
        <w:tc>
          <w:tcPr>
            <w:tcW w:w="1008" w:type="pct"/>
            <w:shd w:val="clear" w:color="auto" w:fill="auto"/>
          </w:tcPr>
          <w:p w14:paraId="119BFE11" w14:textId="77777777" w:rsidR="00252AA2" w:rsidRPr="00E13B1A" w:rsidRDefault="00252AA2" w:rsidP="00FE1A26">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13B1A">
              <w:rPr>
                <w:rFonts w:asciiTheme="minorHAnsi" w:hAnsiTheme="minorHAnsi" w:cstheme="minorHAnsi"/>
                <w:color w:val="002060"/>
                <w:sz w:val="18"/>
                <w:szCs w:val="18"/>
                <w:lang w:val="sr-Cyrl-RS"/>
              </w:rPr>
              <w:t>1,4</w:t>
            </w:r>
          </w:p>
        </w:tc>
      </w:tr>
      <w:tr w:rsidR="00252AA2" w:rsidRPr="00E13B1A" w14:paraId="252489D6" w14:textId="77777777" w:rsidTr="0004786A">
        <w:trPr>
          <w:cnfStyle w:val="000000100000" w:firstRow="0" w:lastRow="0" w:firstColumn="0" w:lastColumn="0" w:oddVBand="0" w:evenVBand="0" w:oddHBand="1"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2984" w:type="pct"/>
            <w:tcBorders>
              <w:bottom w:val="single" w:sz="4" w:space="0" w:color="002060"/>
            </w:tcBorders>
            <w:shd w:val="clear" w:color="auto" w:fill="auto"/>
            <w:noWrap/>
            <w:hideMark/>
          </w:tcPr>
          <w:p w14:paraId="363A849D" w14:textId="77777777" w:rsidR="00252AA2" w:rsidRPr="00E13B1A" w:rsidRDefault="00252AA2" w:rsidP="00FE1A26">
            <w:pPr>
              <w:rPr>
                <w:rFonts w:asciiTheme="minorHAnsi" w:hAnsiTheme="minorHAnsi" w:cstheme="minorHAnsi"/>
                <w:b w:val="0"/>
                <w:color w:val="002060"/>
                <w:sz w:val="18"/>
                <w:szCs w:val="18"/>
                <w:lang w:val="sr-Cyrl-RS"/>
              </w:rPr>
            </w:pPr>
            <w:r w:rsidRPr="00E13B1A">
              <w:rPr>
                <w:rFonts w:asciiTheme="minorHAnsi" w:hAnsiTheme="minorHAnsi" w:cstheme="minorHAnsi"/>
                <w:b w:val="0"/>
                <w:color w:val="002060"/>
                <w:sz w:val="18"/>
                <w:szCs w:val="18"/>
                <w:lang w:val="sr-Cyrl-RS"/>
              </w:rPr>
              <w:t>УКУПНО</w:t>
            </w:r>
          </w:p>
        </w:tc>
        <w:tc>
          <w:tcPr>
            <w:tcW w:w="1008" w:type="pct"/>
            <w:tcBorders>
              <w:bottom w:val="single" w:sz="4" w:space="0" w:color="002060"/>
            </w:tcBorders>
            <w:shd w:val="clear" w:color="auto" w:fill="auto"/>
          </w:tcPr>
          <w:p w14:paraId="7DFE40F1" w14:textId="77777777" w:rsidR="00252AA2" w:rsidRPr="00E13B1A" w:rsidRDefault="00252AA2"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13B1A">
              <w:rPr>
                <w:rFonts w:asciiTheme="minorHAnsi" w:hAnsiTheme="minorHAnsi" w:cstheme="minorHAnsi"/>
                <w:color w:val="002060"/>
                <w:sz w:val="18"/>
                <w:szCs w:val="18"/>
                <w:lang w:val="sr-Cyrl-RS"/>
              </w:rPr>
              <w:t>3,5</w:t>
            </w:r>
          </w:p>
        </w:tc>
        <w:tc>
          <w:tcPr>
            <w:tcW w:w="1008" w:type="pct"/>
            <w:tcBorders>
              <w:bottom w:val="single" w:sz="4" w:space="0" w:color="002060"/>
            </w:tcBorders>
            <w:shd w:val="clear" w:color="auto" w:fill="auto"/>
          </w:tcPr>
          <w:p w14:paraId="1E0E4973" w14:textId="77777777" w:rsidR="00252AA2" w:rsidRPr="00E13B1A" w:rsidRDefault="00252AA2"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13B1A">
              <w:rPr>
                <w:rFonts w:asciiTheme="minorHAnsi" w:hAnsiTheme="minorHAnsi" w:cstheme="minorHAnsi"/>
                <w:color w:val="002060"/>
                <w:sz w:val="18"/>
                <w:szCs w:val="18"/>
                <w:lang w:val="sr-Cyrl-RS"/>
              </w:rPr>
              <w:t>3,0</w:t>
            </w:r>
          </w:p>
        </w:tc>
      </w:tr>
    </w:tbl>
    <w:p w14:paraId="05C88E0B" w14:textId="77777777" w:rsidR="00252AA2" w:rsidRPr="00E13B1A" w:rsidRDefault="00252AA2" w:rsidP="006272DB">
      <w:pPr>
        <w:spacing w:after="120" w:line="240" w:lineRule="auto"/>
        <w:rPr>
          <w:lang w:val="sr-Cyrl-RS" w:eastAsia="ja-JP"/>
        </w:rPr>
      </w:pPr>
      <w:r w:rsidRPr="00E13B1A">
        <w:rPr>
          <w:rFonts w:eastAsia="Calibri" w:cstheme="minorHAnsi"/>
          <w:bCs/>
          <w:sz w:val="16"/>
          <w:szCs w:val="20"/>
          <w:lang w:val="sr-Cyrl-RS" w:eastAsia="ja-JP"/>
        </w:rPr>
        <w:t xml:space="preserve">Извор: </w:t>
      </w:r>
      <w:r w:rsidRPr="00E13B1A">
        <w:rPr>
          <w:rFonts w:cstheme="minorHAnsi"/>
          <w:sz w:val="16"/>
          <w:szCs w:val="20"/>
          <w:lang w:val="sr-Cyrl-RS"/>
        </w:rPr>
        <w:t xml:space="preserve">Министарство финансија; </w:t>
      </w:r>
      <w:r w:rsidRPr="00E13B1A">
        <w:rPr>
          <w:rFonts w:eastAsia="MS PGothic" w:cstheme="minorHAnsi"/>
          <w:sz w:val="16"/>
          <w:szCs w:val="16"/>
          <w:lang w:val="sr-Cyrl-RS" w:eastAsia="ja-JP"/>
        </w:rPr>
        <w:t>* У складу са дефиницијом која се користила за потребе праћења спровођења аранжмана са ММФ.</w:t>
      </w:r>
    </w:p>
    <w:p w14:paraId="79FDF16B" w14:textId="77777777" w:rsidR="00252AA2" w:rsidRPr="00E13B1A" w:rsidRDefault="00252AA2" w:rsidP="00A33AAE">
      <w:pPr>
        <w:rPr>
          <w:highlight w:val="red"/>
          <w:lang w:val="sr-Cyrl-RS"/>
        </w:rPr>
        <w:sectPr w:rsidR="00252AA2" w:rsidRPr="00E13B1A" w:rsidSect="00C95509">
          <w:headerReference w:type="even" r:id="rId121"/>
          <w:headerReference w:type="default" r:id="rId122"/>
          <w:footerReference w:type="even" r:id="rId123"/>
          <w:footerReference w:type="default" r:id="rId124"/>
          <w:headerReference w:type="first" r:id="rId125"/>
          <w:type w:val="continuous"/>
          <w:pgSz w:w="12240" w:h="15840"/>
          <w:pgMar w:top="1440" w:right="1440" w:bottom="1440" w:left="1440" w:header="720" w:footer="720" w:gutter="0"/>
          <w:cols w:space="720"/>
          <w:docGrid w:linePitch="360"/>
        </w:sectPr>
      </w:pPr>
    </w:p>
    <w:p w14:paraId="1E238345" w14:textId="77777777" w:rsidR="00252AA2" w:rsidRPr="00E13B1A" w:rsidRDefault="00252AA2" w:rsidP="00416E7C">
      <w:pPr>
        <w:rPr>
          <w:lang w:val="sr-Cyrl-RS"/>
        </w:rPr>
      </w:pPr>
      <w:bookmarkStart w:id="41" w:name="_Toc11155993"/>
    </w:p>
    <w:p w14:paraId="536FA909" w14:textId="77777777" w:rsidR="00252AA2" w:rsidRPr="00E13B1A" w:rsidRDefault="00252AA2">
      <w:pPr>
        <w:jc w:val="left"/>
        <w:rPr>
          <w:lang w:val="sr-Cyrl-RS"/>
        </w:rPr>
      </w:pPr>
    </w:p>
    <w:p w14:paraId="7DB4963B" w14:textId="77777777" w:rsidR="00252AA2" w:rsidRPr="00E13B1A" w:rsidRDefault="00252AA2" w:rsidP="00416E7C">
      <w:pPr>
        <w:rPr>
          <w:lang w:val="sr-Cyrl-RS"/>
        </w:rPr>
      </w:pPr>
    </w:p>
    <w:p w14:paraId="13F45F14" w14:textId="77777777" w:rsidR="00252AA2" w:rsidRPr="00E13B1A" w:rsidRDefault="00252AA2" w:rsidP="00E05893">
      <w:pPr>
        <w:spacing w:after="240" w:line="240" w:lineRule="auto"/>
        <w:contextualSpacing/>
        <w:jc w:val="center"/>
        <w:rPr>
          <w:rFonts w:ascii="Calibri" w:eastAsia="Calibri" w:hAnsi="Calibri" w:cs="Calibri"/>
          <w:b/>
          <w:color w:val="2F5496" w:themeColor="accent1" w:themeShade="BF"/>
          <w:sz w:val="24"/>
          <w:szCs w:val="24"/>
          <w:lang w:val="sr-Cyrl-RS"/>
        </w:rPr>
      </w:pPr>
      <w:r w:rsidRPr="00E13B1A">
        <w:rPr>
          <w:rFonts w:ascii="Calibri" w:eastAsia="Calibri" w:hAnsi="Calibri" w:cs="Calibri"/>
          <w:b/>
          <w:noProof/>
          <w:color w:val="2F5496" w:themeColor="accent1" w:themeShade="BF"/>
          <w:sz w:val="24"/>
          <w:szCs w:val="24"/>
        </w:rPr>
        <w:lastRenderedPageBreak/>
        <mc:AlternateContent>
          <mc:Choice Requires="wps">
            <w:drawing>
              <wp:anchor distT="0" distB="0" distL="114300" distR="114300" simplePos="0" relativeHeight="251695616" behindDoc="1" locked="0" layoutInCell="1" allowOverlap="1" wp14:anchorId="36FA8FCB" wp14:editId="456B300B">
                <wp:simplePos x="0" y="0"/>
                <wp:positionH relativeFrom="margin">
                  <wp:posOffset>-266700</wp:posOffset>
                </wp:positionH>
                <wp:positionV relativeFrom="paragraph">
                  <wp:posOffset>-95249</wp:posOffset>
                </wp:positionV>
                <wp:extent cx="6480000" cy="8058150"/>
                <wp:effectExtent l="0" t="0" r="0" b="0"/>
                <wp:wrapNone/>
                <wp:docPr id="308761644" name="Rectangle 308761644"/>
                <wp:cNvGraphicFramePr/>
                <a:graphic xmlns:a="http://schemas.openxmlformats.org/drawingml/2006/main">
                  <a:graphicData uri="http://schemas.microsoft.com/office/word/2010/wordprocessingShape">
                    <wps:wsp>
                      <wps:cNvSpPr/>
                      <wps:spPr>
                        <a:xfrm>
                          <a:off x="0" y="0"/>
                          <a:ext cx="6480000" cy="8058150"/>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51B6E9" id="Rectangle 308761644" o:spid="_x0000_s1026" style="position:absolute;margin-left:-21pt;margin-top:-7.5pt;width:510.25pt;height:634.5pt;z-index:-251620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" fillcolor="#d9d9d9" stroked="f" strokeweight="1pt">
                <v:fill r:id="rId14" o:title="" color2="window" type="pattern"/>
                <w10:wrap anchorx="margin"/>
              </v:rect>
            </w:pict>
          </mc:Fallback>
        </mc:AlternateContent>
      </w:r>
      <w:r w:rsidRPr="00E13B1A">
        <w:rPr>
          <w:rFonts w:ascii="Calibri" w:eastAsia="Calibri" w:hAnsi="Calibri" w:cs="Calibri"/>
          <w:b/>
          <w:color w:val="2F5496" w:themeColor="accent1" w:themeShade="BF"/>
          <w:sz w:val="24"/>
          <w:szCs w:val="24"/>
          <w:lang w:val="sr-Cyrl-RS"/>
        </w:rPr>
        <w:t>S0 индикатор краткорочне фискалне одрживости</w:t>
      </w:r>
    </w:p>
    <w:p w14:paraId="20F04FAB" w14:textId="77777777" w:rsidR="00252AA2" w:rsidRPr="00E13B1A" w:rsidRDefault="00252AA2" w:rsidP="00E05893">
      <w:pPr>
        <w:spacing w:after="60"/>
        <w:rPr>
          <w:rFonts w:cstheme="minorHAnsi"/>
          <w:color w:val="auto"/>
          <w:szCs w:val="20"/>
          <w:lang w:val="sr-Cyrl-RS"/>
        </w:rPr>
      </w:pPr>
    </w:p>
    <w:p w14:paraId="3E2D1EF3" w14:textId="77777777" w:rsidR="00252AA2" w:rsidRPr="00E13B1A" w:rsidRDefault="00252AA2" w:rsidP="00E05893">
      <w:pPr>
        <w:spacing w:after="60"/>
        <w:rPr>
          <w:rFonts w:cstheme="minorHAnsi"/>
          <w:color w:val="auto"/>
          <w:szCs w:val="20"/>
          <w:lang w:val="sr-Cyrl-RS"/>
        </w:rPr>
        <w:sectPr w:rsidR="00252AA2" w:rsidRPr="00E13B1A" w:rsidSect="00E05893">
          <w:headerReference w:type="even" r:id="rId126"/>
          <w:footerReference w:type="even" r:id="rId127"/>
          <w:footerReference w:type="default" r:id="rId128"/>
          <w:headerReference w:type="first" r:id="rId129"/>
          <w:type w:val="continuous"/>
          <w:pgSz w:w="12240" w:h="15840" w:code="1"/>
          <w:pgMar w:top="1440" w:right="1440" w:bottom="1440" w:left="1440" w:header="720" w:footer="720" w:gutter="0"/>
          <w:cols w:space="720"/>
          <w:titlePg/>
          <w:docGrid w:linePitch="360"/>
        </w:sectPr>
      </w:pPr>
    </w:p>
    <w:p w14:paraId="64092339" w14:textId="77777777" w:rsidR="00252AA2" w:rsidRPr="00E13B1A" w:rsidRDefault="00252AA2" w:rsidP="00E05893">
      <w:pPr>
        <w:rPr>
          <w:rFonts w:cstheme="minorHAnsi"/>
          <w:szCs w:val="20"/>
          <w:lang w:val="sr-Cyrl-RS"/>
        </w:rPr>
      </w:pPr>
      <w:r w:rsidRPr="00E13B1A">
        <w:rPr>
          <w:rFonts w:cstheme="minorHAnsi"/>
          <w:szCs w:val="20"/>
          <w:lang w:val="sr-Cyrl-RS"/>
        </w:rPr>
        <w:t>Европска комисија је за оцену краткорочне фискалне одрживости дизајнирала композитни индикатор S0 којим се кроз идентификацију потенцијалних краткорочних ризика у текућој години настоји да антиципира фискални стрес у наредној години. Уколико вредност S0 индикатора прелази дефинисани праг сматра се да је земља у краткорочном ризику од фискалног стреса. Поред вредности за целокупан индикатор, ради лоцирања извора из ког ризик потиче, разматрају се и вредности подиндекса и њихових компоненти. S0 композитни индикатор се састоји од два подиндекса, који у себи садрже низ варијабли фискалне и макро-финансијске одрживости. Вредности ових подиндекса испод дефинисаног прага указују на одсуство краткорочног фискалног ризика.</w:t>
      </w:r>
    </w:p>
    <w:p w14:paraId="4D991E78" w14:textId="77777777" w:rsidR="00252AA2" w:rsidRPr="00E13B1A" w:rsidRDefault="00252AA2" w:rsidP="00E05893">
      <w:pPr>
        <w:rPr>
          <w:rFonts w:cstheme="minorHAnsi"/>
          <w:szCs w:val="20"/>
          <w:lang w:val="sr-Cyrl-RS"/>
        </w:rPr>
      </w:pPr>
      <w:r w:rsidRPr="00E13B1A">
        <w:rPr>
          <w:rFonts w:cstheme="minorHAnsi"/>
          <w:szCs w:val="20"/>
          <w:lang w:val="sr-Cyrl-RS"/>
        </w:rPr>
        <w:t>У 2022. години вредности фискалног (0,22) и финансијског подиндекса (0,27) су унутар за њих дефинисаног прага, као и вредност целокупног S0 индикатора за Републику Србију (0,25), што начелно указује да не постоји опасност од појаве макроекономске нестабилности у наредном средњорочном периоду. Успешно очувана макроекономска и фискална стабилност успостављена у претходном периоду обезбедила је простор за брзе и значајне мере подршке фискалне и монетарне политике.</w:t>
      </w:r>
    </w:p>
    <w:p w14:paraId="0632B67E" w14:textId="77777777" w:rsidR="00252AA2" w:rsidRPr="00E13B1A" w:rsidRDefault="00252AA2">
      <w:pPr>
        <w:jc w:val="left"/>
        <w:rPr>
          <w:rFonts w:cstheme="minorHAnsi"/>
          <w:color w:val="auto"/>
          <w:szCs w:val="20"/>
          <w:lang w:val="sr-Cyrl-RS"/>
        </w:rPr>
      </w:pPr>
      <w:r w:rsidRPr="00E13B1A">
        <w:rPr>
          <w:noProof/>
        </w:rPr>
        <w:drawing>
          <wp:inline distT="0" distB="0" distL="0" distR="0" wp14:anchorId="3C1EF2E8" wp14:editId="0A59911E">
            <wp:extent cx="2743200" cy="4323600"/>
            <wp:effectExtent l="0" t="0" r="0" b="0"/>
            <wp:docPr id="1001145819" name="Chart 1">
              <a:extLst xmlns:a="http://schemas.openxmlformats.org/drawingml/2006/main">
                <a:ext uri="{FF2B5EF4-FFF2-40B4-BE49-F238E27FC236}">
                  <a16:creationId xmlns:a16="http://schemas.microsoft.com/office/drawing/2014/main" id="{00000000-0008-0000-09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0"/>
              </a:graphicData>
            </a:graphic>
          </wp:inline>
        </w:drawing>
      </w:r>
    </w:p>
    <w:p w14:paraId="628FAB88" w14:textId="77777777" w:rsidR="00252AA2" w:rsidRPr="00E13B1A" w:rsidRDefault="00252AA2" w:rsidP="00E05893">
      <w:pPr>
        <w:rPr>
          <w:rFonts w:cstheme="minorHAnsi"/>
          <w:color w:val="auto"/>
          <w:szCs w:val="20"/>
          <w:lang w:val="sr-Cyrl-RS"/>
        </w:rPr>
      </w:pPr>
    </w:p>
    <w:p w14:paraId="3CB45D3E" w14:textId="77777777" w:rsidR="00252AA2" w:rsidRPr="00E13B1A" w:rsidRDefault="00252AA2" w:rsidP="00E05893">
      <w:pPr>
        <w:rPr>
          <w:rFonts w:cstheme="minorHAnsi"/>
          <w:color w:val="auto"/>
          <w:szCs w:val="20"/>
          <w:lang w:val="sr-Cyrl-RS"/>
        </w:rPr>
      </w:pPr>
    </w:p>
    <w:p w14:paraId="6E69EF62" w14:textId="77777777" w:rsidR="00252AA2" w:rsidRPr="00E13B1A" w:rsidRDefault="00252AA2" w:rsidP="00E05893">
      <w:pPr>
        <w:rPr>
          <w:rFonts w:eastAsia="Calibri" w:cstheme="minorHAnsi"/>
          <w:b/>
          <w:color w:val="auto"/>
          <w:sz w:val="24"/>
          <w:szCs w:val="26"/>
          <w:lang w:val="sr-Cyrl-RS"/>
        </w:rPr>
        <w:sectPr w:rsidR="00252AA2" w:rsidRPr="00E13B1A" w:rsidSect="00C95509">
          <w:type w:val="continuous"/>
          <w:pgSz w:w="12240" w:h="15840"/>
          <w:pgMar w:top="1440" w:right="1440" w:bottom="1440" w:left="1440" w:header="720" w:footer="720" w:gutter="0"/>
          <w:cols w:num="2" w:space="720"/>
          <w:docGrid w:linePitch="360"/>
        </w:sectPr>
      </w:pPr>
    </w:p>
    <w:p w14:paraId="711176F6" w14:textId="77777777" w:rsidR="00252AA2" w:rsidRPr="00E13B1A" w:rsidRDefault="00252AA2" w:rsidP="00E05893">
      <w:pPr>
        <w:jc w:val="center"/>
        <w:rPr>
          <w:rFonts w:cstheme="minorHAnsi"/>
          <w:color w:val="auto"/>
          <w:szCs w:val="20"/>
          <w:lang w:val="sr-Cyrl-RS"/>
        </w:rPr>
      </w:pPr>
      <w:r w:rsidRPr="00E13B1A">
        <w:rPr>
          <w:noProof/>
        </w:rPr>
        <w:drawing>
          <wp:inline distT="0" distB="0" distL="0" distR="0" wp14:anchorId="2920CF6B" wp14:editId="6AC1F317">
            <wp:extent cx="5943600" cy="2343600"/>
            <wp:effectExtent l="0" t="0" r="0" b="0"/>
            <wp:docPr id="1713724737" name="Chart 1">
              <a:extLst xmlns:a="http://schemas.openxmlformats.org/drawingml/2006/main">
                <a:ext uri="{FF2B5EF4-FFF2-40B4-BE49-F238E27FC236}">
                  <a16:creationId xmlns:a16="http://schemas.microsoft.com/office/drawing/2014/main" id="{00000000-0008-0000-09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1"/>
              </a:graphicData>
            </a:graphic>
          </wp:inline>
        </w:drawing>
      </w:r>
    </w:p>
    <w:p w14:paraId="460DBF04" w14:textId="77777777" w:rsidR="00252AA2" w:rsidRPr="00E13B1A" w:rsidRDefault="00252AA2" w:rsidP="00E05893">
      <w:pPr>
        <w:jc w:val="center"/>
        <w:rPr>
          <w:rFonts w:cstheme="minorHAnsi"/>
          <w:color w:val="auto"/>
          <w:szCs w:val="20"/>
          <w:lang w:val="sr-Cyrl-RS"/>
        </w:rPr>
      </w:pPr>
    </w:p>
    <w:p w14:paraId="1865DBD7" w14:textId="77777777" w:rsidR="00252AA2" w:rsidRPr="00E13B1A" w:rsidRDefault="00252AA2" w:rsidP="00E05893">
      <w:pPr>
        <w:rPr>
          <w:rFonts w:cstheme="minorHAnsi"/>
          <w:color w:val="auto"/>
          <w:szCs w:val="20"/>
          <w:lang w:val="sr-Cyrl-RS"/>
        </w:rPr>
      </w:pPr>
    </w:p>
    <w:p w14:paraId="16AF835A" w14:textId="77777777" w:rsidR="00252AA2" w:rsidRPr="00E13B1A" w:rsidRDefault="00252AA2" w:rsidP="00E05893">
      <w:pPr>
        <w:rPr>
          <w:rFonts w:cstheme="minorHAnsi"/>
          <w:color w:val="auto"/>
          <w:szCs w:val="20"/>
          <w:lang w:val="sr-Cyrl-RS"/>
        </w:rPr>
        <w:sectPr w:rsidR="00252AA2" w:rsidRPr="00E13B1A" w:rsidSect="00C95509">
          <w:type w:val="continuous"/>
          <w:pgSz w:w="12240" w:h="15840"/>
          <w:pgMar w:top="1440" w:right="1440" w:bottom="1440" w:left="1440" w:header="720" w:footer="720" w:gutter="0"/>
          <w:cols w:space="720"/>
          <w:docGrid w:linePitch="360"/>
        </w:sectPr>
      </w:pPr>
    </w:p>
    <w:p w14:paraId="664EC8AB" w14:textId="77777777" w:rsidR="00252AA2" w:rsidRPr="00E13B1A" w:rsidRDefault="00252AA2" w:rsidP="00E05893">
      <w:pPr>
        <w:rPr>
          <w:rFonts w:cstheme="minorHAnsi"/>
          <w:szCs w:val="20"/>
          <w:lang w:val="sr-Cyrl-RS"/>
        </w:rPr>
      </w:pPr>
      <w:r w:rsidRPr="00E13B1A">
        <w:rPr>
          <w:noProof/>
        </w:rPr>
        <w:drawing>
          <wp:inline distT="0" distB="0" distL="0" distR="0" wp14:anchorId="2D97B48A" wp14:editId="2FF5DD4A">
            <wp:extent cx="3027600" cy="4050000"/>
            <wp:effectExtent l="0" t="0" r="1905" b="8255"/>
            <wp:docPr id="1961915284" name="Chart 1">
              <a:extLst xmlns:a="http://schemas.openxmlformats.org/drawingml/2006/main">
                <a:ext uri="{FF2B5EF4-FFF2-40B4-BE49-F238E27FC236}">
                  <a16:creationId xmlns:a16="http://schemas.microsoft.com/office/drawing/2014/main" id="{00000000-0008-0000-08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2"/>
              </a:graphicData>
            </a:graphic>
          </wp:inline>
        </w:drawing>
      </w:r>
    </w:p>
    <w:p w14:paraId="77753211" w14:textId="77777777" w:rsidR="00252AA2" w:rsidRPr="00E13B1A" w:rsidRDefault="00252AA2" w:rsidP="00E05893">
      <w:pPr>
        <w:rPr>
          <w:rFonts w:cstheme="minorHAnsi"/>
          <w:szCs w:val="20"/>
          <w:lang w:val="sr-Cyrl-RS"/>
        </w:rPr>
      </w:pPr>
      <w:r w:rsidRPr="00E13B1A">
        <w:rPr>
          <w:rFonts w:cstheme="minorHAnsi"/>
          <w:noProof/>
          <w:color w:val="auto"/>
        </w:rPr>
        <mc:AlternateContent>
          <mc:Choice Requires="wps">
            <w:drawing>
              <wp:anchor distT="0" distB="0" distL="114300" distR="114300" simplePos="0" relativeHeight="251696640" behindDoc="1" locked="0" layoutInCell="1" allowOverlap="1" wp14:anchorId="06371A7B" wp14:editId="0AFF95D0">
                <wp:simplePos x="0" y="0"/>
                <wp:positionH relativeFrom="margin">
                  <wp:posOffset>-239395</wp:posOffset>
                </wp:positionH>
                <wp:positionV relativeFrom="paragraph">
                  <wp:posOffset>-85725</wp:posOffset>
                </wp:positionV>
                <wp:extent cx="6480000" cy="4238625"/>
                <wp:effectExtent l="0" t="0" r="0" b="9525"/>
                <wp:wrapNone/>
                <wp:docPr id="1771899838" name="Rectangle 1771899838"/>
                <wp:cNvGraphicFramePr/>
                <a:graphic xmlns:a="http://schemas.openxmlformats.org/drawingml/2006/main">
                  <a:graphicData uri="http://schemas.microsoft.com/office/word/2010/wordprocessingShape">
                    <wps:wsp>
                      <wps:cNvSpPr/>
                      <wps:spPr>
                        <a:xfrm>
                          <a:off x="0" y="0"/>
                          <a:ext cx="6480000" cy="4238625"/>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E27198" id="Rectangle 1771899838" o:spid="_x0000_s1026" style="position:absolute;margin-left:-18.85pt;margin-top:-6.75pt;width:510.25pt;height:333.75pt;z-index:-251619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" fillcolor="#d9d9d9" stroked="f" strokeweight="1pt">
                <v:fill r:id="rId14" o:title="" color2="window" type="pattern"/>
                <w10:wrap anchorx="margin"/>
              </v:rect>
            </w:pict>
          </mc:Fallback>
        </mc:AlternateContent>
      </w:r>
      <w:r w:rsidRPr="00E13B1A">
        <w:rPr>
          <w:rFonts w:cstheme="minorHAnsi"/>
          <w:szCs w:val="20"/>
          <w:lang w:val="sr-Cyrl-RS"/>
        </w:rPr>
        <w:t>Обрачун S0 индикатора за Републику Србију, урађен је од стране Министарства финансија, и базира се на методологији ЕК.</w:t>
      </w:r>
    </w:p>
    <w:p w14:paraId="660EB03B" w14:textId="77777777" w:rsidR="00252AA2" w:rsidRPr="00E13B1A" w:rsidRDefault="00252AA2" w:rsidP="00E05893">
      <w:pPr>
        <w:rPr>
          <w:rFonts w:cstheme="minorHAnsi"/>
          <w:szCs w:val="20"/>
          <w:lang w:val="sr-Cyrl-RS"/>
        </w:rPr>
      </w:pPr>
      <w:r w:rsidRPr="00E13B1A">
        <w:rPr>
          <w:rFonts w:cstheme="minorHAnsi"/>
          <w:szCs w:val="20"/>
          <w:lang w:val="sr-Cyrl-RS"/>
        </w:rPr>
        <w:t>На основу података Европске комисије за земље ЕУ за 2022. годину и обрачуна Министарства финансија за Републику Србију, закључујемо да већина посматраних земаља, као и Србија, није била изложена краткорочном ризику реализације фискалног стреса, будући да вредност S0 нигде не премашује дефинисани праг. Минимизирање потенцијалних ризика за настанак фискалног стреса у посматраним земљама допринело је стварању простора за доношење мера економске политике без преседана по свом обиму, а као одговор на здравствену и енергетску кризу које су се прелиле у све сфере економије.</w:t>
      </w:r>
    </w:p>
    <w:p w14:paraId="5C8BC397" w14:textId="77777777" w:rsidR="00252AA2" w:rsidRPr="00E13B1A" w:rsidRDefault="00252AA2" w:rsidP="00E05893">
      <w:pPr>
        <w:rPr>
          <w:rFonts w:cstheme="minorHAnsi"/>
          <w:color w:val="auto"/>
          <w:szCs w:val="20"/>
          <w:lang w:val="sr-Cyrl-RS"/>
        </w:rPr>
        <w:sectPr w:rsidR="00252AA2" w:rsidRPr="00E13B1A" w:rsidSect="00E05893">
          <w:headerReference w:type="even" r:id="rId133"/>
          <w:headerReference w:type="default" r:id="rId134"/>
          <w:footerReference w:type="even" r:id="rId135"/>
          <w:footerReference w:type="default" r:id="rId136"/>
          <w:headerReference w:type="first" r:id="rId137"/>
          <w:type w:val="continuous"/>
          <w:pgSz w:w="12240" w:h="15840" w:code="1"/>
          <w:pgMar w:top="1440" w:right="1440" w:bottom="1440" w:left="1440" w:header="720" w:footer="720" w:gutter="0"/>
          <w:cols w:num="2" w:space="332"/>
          <w:docGrid w:linePitch="360"/>
        </w:sectPr>
      </w:pPr>
    </w:p>
    <w:p w14:paraId="78DB50DE" w14:textId="77777777" w:rsidR="00252AA2" w:rsidRPr="00E13B1A" w:rsidRDefault="00252AA2" w:rsidP="00CE2DC7">
      <w:pPr>
        <w:rPr>
          <w:lang w:val="sr-Cyrl-RS"/>
        </w:rPr>
      </w:pPr>
    </w:p>
    <w:p w14:paraId="10BA4CC3" w14:textId="77777777" w:rsidR="00252AA2" w:rsidRPr="00E13B1A" w:rsidRDefault="00252AA2" w:rsidP="00E124CF">
      <w:pPr>
        <w:rPr>
          <w:rFonts w:ascii="Calibri" w:eastAsia="Calibri" w:hAnsi="Calibri" w:cs="Calibri"/>
          <w:color w:val="auto"/>
          <w:szCs w:val="20"/>
          <w:lang w:val="sr-Cyrl-RS"/>
        </w:rPr>
        <w:sectPr w:rsidR="00252AA2" w:rsidRPr="00E13B1A" w:rsidSect="00E05893">
          <w:headerReference w:type="even" r:id="rId138"/>
          <w:footerReference w:type="even" r:id="rId139"/>
          <w:footerReference w:type="default" r:id="rId140"/>
          <w:headerReference w:type="first" r:id="rId141"/>
          <w:type w:val="continuous"/>
          <w:pgSz w:w="12240" w:h="15840"/>
          <w:pgMar w:top="1440" w:right="1440" w:bottom="1440" w:left="1440" w:header="720" w:footer="720" w:gutter="0"/>
          <w:cols w:space="720"/>
          <w:docGrid w:linePitch="360"/>
        </w:sectPr>
      </w:pPr>
    </w:p>
    <w:p w14:paraId="561F8EE9" w14:textId="77777777" w:rsidR="00252AA2" w:rsidRPr="00E13B1A" w:rsidRDefault="00252AA2" w:rsidP="006272DB">
      <w:pPr>
        <w:jc w:val="left"/>
        <w:rPr>
          <w:lang w:val="sr-Cyrl-RS"/>
        </w:rPr>
      </w:pPr>
      <w:r w:rsidRPr="00E13B1A">
        <w:rPr>
          <w:lang w:val="sr-Cyrl-RS"/>
        </w:rPr>
        <w:br w:type="page"/>
      </w:r>
      <w:bookmarkStart w:id="42" w:name="_Toc119654147"/>
      <w:bookmarkEnd w:id="41"/>
    </w:p>
    <w:p w14:paraId="47F54B1B" w14:textId="77777777" w:rsidR="001F03F4" w:rsidRPr="00590BAD" w:rsidRDefault="001F03F4" w:rsidP="00E05893">
      <w:pPr>
        <w:pStyle w:val="Heading2"/>
        <w:spacing w:before="0" w:after="320"/>
        <w:jc w:val="center"/>
        <w:rPr>
          <w:rFonts w:asciiTheme="minorHAnsi" w:eastAsia="Calibri" w:hAnsiTheme="minorHAnsi" w:cstheme="minorHAnsi"/>
          <w:b/>
          <w:sz w:val="24"/>
          <w:lang w:val="sr-Cyrl-RS"/>
        </w:rPr>
      </w:pPr>
      <w:bookmarkStart w:id="43" w:name="_Toc119654146"/>
      <w:bookmarkStart w:id="44" w:name="_Toc135994503"/>
      <w:bookmarkStart w:id="45" w:name="_Toc146277917"/>
      <w:bookmarkStart w:id="46" w:name="_Toc56667078"/>
      <w:bookmarkStart w:id="47" w:name="_Toc119326595"/>
      <w:bookmarkStart w:id="48" w:name="_Toc119654148"/>
      <w:bookmarkStart w:id="49" w:name="_Toc135994505"/>
      <w:bookmarkEnd w:id="42"/>
      <w:r w:rsidRPr="00590BAD">
        <w:rPr>
          <w:rFonts w:asciiTheme="minorHAnsi" w:eastAsia="Calibri" w:hAnsiTheme="minorHAnsi" w:cstheme="minorHAnsi"/>
          <w:b/>
          <w:sz w:val="24"/>
          <w:lang w:val="sr-Cyrl-RS"/>
        </w:rPr>
        <w:lastRenderedPageBreak/>
        <w:t>3. Фискалне пројекције у периоду 2024–2026. године</w:t>
      </w:r>
      <w:bookmarkEnd w:id="43"/>
      <w:bookmarkEnd w:id="44"/>
      <w:bookmarkEnd w:id="45"/>
    </w:p>
    <w:p w14:paraId="284F1B5C" w14:textId="77777777" w:rsidR="001F03F4" w:rsidRPr="00590BAD" w:rsidRDefault="001F03F4" w:rsidP="00E05893">
      <w:pPr>
        <w:rPr>
          <w:lang w:val="sr-Cyrl-RS" w:eastAsia="ja-JP"/>
        </w:rPr>
        <w:sectPr w:rsidR="001F03F4" w:rsidRPr="00590BAD" w:rsidSect="00D73C9A">
          <w:headerReference w:type="default" r:id="rId142"/>
          <w:footerReference w:type="even" r:id="rId143"/>
          <w:footerReference w:type="default" r:id="rId144"/>
          <w:headerReference w:type="first" r:id="rId145"/>
          <w:type w:val="continuous"/>
          <w:pgSz w:w="12240" w:h="15840" w:code="1"/>
          <w:pgMar w:top="1440" w:right="1440" w:bottom="1440" w:left="1440" w:header="720" w:footer="720" w:gutter="0"/>
          <w:cols w:space="720"/>
          <w:titlePg/>
          <w:docGrid w:linePitch="360"/>
        </w:sectPr>
      </w:pPr>
    </w:p>
    <w:p w14:paraId="7DD95602" w14:textId="77777777" w:rsidR="001F03F4" w:rsidRPr="00590BAD" w:rsidRDefault="001F03F4" w:rsidP="00D73C9A">
      <w:pPr>
        <w:spacing w:after="120"/>
        <w:rPr>
          <w:lang w:val="sr-Cyrl-RS" w:eastAsia="ja-JP"/>
        </w:rPr>
      </w:pPr>
      <w:r w:rsidRPr="00590BAD">
        <w:rPr>
          <w:lang w:val="sr-Cyrl-RS" w:eastAsia="ja-JP"/>
        </w:rPr>
        <w:t>Циљеви фискалне политике су усмерени на одржање фискалне стабилности и смањење учешћа јавног дуга у БДП. Средњорочни фискални оквир предвиђа постепено смањење дефицита сектора државе на ниво од 1,5%</w:t>
      </w:r>
      <w:r w:rsidRPr="00590BAD">
        <w:rPr>
          <w:color w:val="1F3864" w:themeColor="accent1" w:themeShade="80"/>
          <w:lang w:val="sr-Cyrl-RS" w:eastAsia="ja-JP"/>
        </w:rPr>
        <w:t xml:space="preserve"> </w:t>
      </w:r>
      <w:r w:rsidRPr="00590BAD">
        <w:rPr>
          <w:lang w:val="sr-Cyrl-RS" w:eastAsia="ja-JP"/>
        </w:rPr>
        <w:t>БДП до 2026. године и пад учешћа јавног дуга на 50%</w:t>
      </w:r>
      <w:r w:rsidRPr="00590BAD">
        <w:rPr>
          <w:color w:val="002060"/>
          <w:lang w:val="sr-Cyrl-RS" w:eastAsia="ja-JP"/>
        </w:rPr>
        <w:t xml:space="preserve"> </w:t>
      </w:r>
      <w:r w:rsidRPr="00590BAD">
        <w:rPr>
          <w:lang w:val="sr-Cyrl-RS" w:eastAsia="ja-JP"/>
        </w:rPr>
        <w:t>БДП. Пројекције фискалних агрегата у периоду од 2023. до 2026. године заснивају се на пројекцијама макроекономских показатеља за наведени период, планираној пореској политици која подразумева даље усаглашавање са законима и директивама ЕУ и фискалним и структурним мерама, укључујући и даљу реформу великих јавних предузећа.</w:t>
      </w:r>
    </w:p>
    <w:p w14:paraId="15C596C5" w14:textId="77777777" w:rsidR="001F03F4" w:rsidRPr="00590BAD" w:rsidRDefault="001F03F4" w:rsidP="00D73C9A">
      <w:pPr>
        <w:spacing w:after="120"/>
        <w:rPr>
          <w:lang w:val="sr-Cyrl-RS" w:eastAsia="ja-JP"/>
        </w:rPr>
      </w:pPr>
      <w:r w:rsidRPr="00590BAD">
        <w:rPr>
          <w:lang w:val="sr-Cyrl-RS" w:eastAsia="ja-JP"/>
        </w:rPr>
        <w:t>Захваљујући мерама фискалне консолидације у претходном периоду створен је фискални простор који је омогућио богате пакете мера у склопу борбе против ефеката кризе изазване пандемијом током 2020. и 2021. године, а у 2022. години су обезбеђена средства за ублажавање ефеката енергетске кризе, изазване сукобом у Украјини. Реакција фискалне политике у наредном периоду, креиране мере и њихове фискалне импликације биће одређени тако да не угрозе стабилност јавних финансија и темпо смањења јавног дуга, да одрже животни стандард становништва и помогну привредни развој, али и да осигурају флексибилност у случају снажнијег удара кризе.</w:t>
      </w:r>
    </w:p>
    <w:p w14:paraId="5835C9C6" w14:textId="77777777" w:rsidR="001F03F4" w:rsidRPr="00590BAD" w:rsidRDefault="001F03F4" w:rsidP="00953528">
      <w:pPr>
        <w:rPr>
          <w:rFonts w:eastAsia="MS PGothic" w:cstheme="minorHAnsi"/>
          <w:b/>
          <w:color w:val="002060"/>
          <w:szCs w:val="20"/>
          <w:lang w:val="sr-Cyrl-RS" w:eastAsia="ja-JP"/>
        </w:rPr>
        <w:sectPr w:rsidR="001F03F4" w:rsidRPr="00590BAD" w:rsidSect="00E05893">
          <w:type w:val="continuous"/>
          <w:pgSz w:w="12240" w:h="15840" w:code="1"/>
          <w:pgMar w:top="1440" w:right="1440" w:bottom="1440" w:left="1440" w:header="720" w:footer="720" w:gutter="0"/>
          <w:cols w:num="2" w:space="720"/>
          <w:docGrid w:linePitch="360"/>
        </w:sectPr>
      </w:pPr>
    </w:p>
    <w:p w14:paraId="228A9257" w14:textId="77777777" w:rsidR="001F03F4" w:rsidRPr="00590BAD" w:rsidRDefault="001F03F4" w:rsidP="00953528">
      <w:pPr>
        <w:jc w:val="center"/>
        <w:rPr>
          <w:rFonts w:eastAsia="MS PGothic" w:cstheme="minorHAnsi"/>
          <w:b/>
          <w:color w:val="002060"/>
          <w:szCs w:val="20"/>
          <w:lang w:val="sr-Cyrl-RS" w:eastAsia="ja-JP"/>
        </w:rPr>
      </w:pPr>
      <w:r w:rsidRPr="00590BAD">
        <w:rPr>
          <w:rFonts w:eastAsia="MS PGothic" w:cstheme="minorHAnsi"/>
          <w:b/>
          <w:color w:val="002060"/>
          <w:szCs w:val="20"/>
          <w:lang w:val="sr-Cyrl-RS" w:eastAsia="ja-JP"/>
        </w:rPr>
        <w:t>Табела 8. Фискални агрегати у периоду 2022–2026. године, % БДП</w:t>
      </w:r>
    </w:p>
    <w:tbl>
      <w:tblPr>
        <w:tblStyle w:val="LightShading-Accent1221"/>
        <w:tblW w:w="5000" w:type="pct"/>
        <w:tblBorders>
          <w:top w:val="none" w:sz="0" w:space="0" w:color="auto"/>
          <w:bottom w:val="none" w:sz="0" w:space="0" w:color="auto"/>
        </w:tblBorders>
        <w:tblLook w:val="0420" w:firstRow="1" w:lastRow="0" w:firstColumn="0" w:lastColumn="0" w:noHBand="0" w:noVBand="1"/>
      </w:tblPr>
      <w:tblGrid>
        <w:gridCol w:w="3971"/>
        <w:gridCol w:w="1133"/>
        <w:gridCol w:w="1133"/>
        <w:gridCol w:w="1041"/>
        <w:gridCol w:w="1041"/>
        <w:gridCol w:w="1041"/>
      </w:tblGrid>
      <w:tr w:rsidR="001F03F4" w:rsidRPr="00590BAD" w14:paraId="7CC57EEE" w14:textId="77777777" w:rsidTr="00E05893">
        <w:trPr>
          <w:cnfStyle w:val="100000000000" w:firstRow="1" w:lastRow="0" w:firstColumn="0" w:lastColumn="0" w:oddVBand="0" w:evenVBand="0" w:oddHBand="0" w:evenHBand="0" w:firstRowFirstColumn="0" w:firstRowLastColumn="0" w:lastRowFirstColumn="0" w:lastRowLastColumn="0"/>
          <w:trHeight w:val="253"/>
        </w:trPr>
        <w:tc>
          <w:tcPr>
            <w:tcW w:w="2122" w:type="pct"/>
            <w:tcBorders>
              <w:top w:val="single" w:sz="4" w:space="0" w:color="002060"/>
              <w:bottom w:val="single" w:sz="4" w:space="0" w:color="002060"/>
            </w:tcBorders>
            <w:shd w:val="clear" w:color="auto" w:fill="auto"/>
            <w:noWrap/>
            <w:vAlign w:val="center"/>
          </w:tcPr>
          <w:p w14:paraId="391CCC2D" w14:textId="77777777" w:rsidR="001F03F4" w:rsidRPr="00590BAD" w:rsidRDefault="001F03F4" w:rsidP="00C130D2">
            <w:pPr>
              <w:spacing w:line="276" w:lineRule="auto"/>
              <w:rPr>
                <w:rFonts w:asciiTheme="minorHAnsi" w:hAnsiTheme="minorHAnsi" w:cstheme="minorHAnsi"/>
                <w:b w:val="0"/>
                <w:color w:val="002060"/>
                <w:sz w:val="18"/>
                <w:lang w:val="sr-Cyrl-RS"/>
              </w:rPr>
            </w:pPr>
            <w:r w:rsidRPr="00590BAD">
              <w:rPr>
                <w:rFonts w:asciiTheme="minorHAnsi" w:hAnsiTheme="minorHAnsi" w:cstheme="minorHAnsi"/>
                <w:b w:val="0"/>
                <w:color w:val="002060"/>
                <w:sz w:val="18"/>
                <w:lang w:val="sr-Cyrl-RS"/>
              </w:rPr>
              <w:t>Опис</w:t>
            </w:r>
          </w:p>
        </w:tc>
        <w:tc>
          <w:tcPr>
            <w:tcW w:w="605" w:type="pct"/>
            <w:tcBorders>
              <w:top w:val="single" w:sz="4" w:space="0" w:color="002060"/>
              <w:bottom w:val="single" w:sz="4" w:space="0" w:color="002060"/>
            </w:tcBorders>
            <w:shd w:val="clear" w:color="auto" w:fill="auto"/>
            <w:vAlign w:val="center"/>
          </w:tcPr>
          <w:p w14:paraId="20D1B982" w14:textId="77777777" w:rsidR="001F03F4" w:rsidRPr="00590BAD" w:rsidRDefault="001F03F4" w:rsidP="00C130D2">
            <w:pPr>
              <w:spacing w:line="276" w:lineRule="auto"/>
              <w:jc w:val="right"/>
              <w:rPr>
                <w:rFonts w:asciiTheme="minorHAnsi" w:hAnsiTheme="minorHAnsi" w:cstheme="minorHAnsi"/>
                <w:b w:val="0"/>
                <w:color w:val="002060"/>
                <w:sz w:val="18"/>
                <w:lang w:val="sr-Cyrl-RS"/>
              </w:rPr>
            </w:pPr>
            <w:r w:rsidRPr="00590BAD">
              <w:rPr>
                <w:rFonts w:asciiTheme="minorHAnsi" w:hAnsiTheme="minorHAnsi" w:cstheme="minorHAnsi"/>
                <w:b w:val="0"/>
                <w:color w:val="002060"/>
                <w:sz w:val="18"/>
                <w:lang w:val="sr-Cyrl-RS"/>
              </w:rPr>
              <w:t>Извршење</w:t>
            </w:r>
          </w:p>
        </w:tc>
        <w:tc>
          <w:tcPr>
            <w:tcW w:w="605" w:type="pct"/>
            <w:tcBorders>
              <w:top w:val="single" w:sz="4" w:space="0" w:color="002060"/>
              <w:bottom w:val="single" w:sz="4" w:space="0" w:color="002060"/>
            </w:tcBorders>
            <w:shd w:val="clear" w:color="auto" w:fill="auto"/>
            <w:vAlign w:val="center"/>
          </w:tcPr>
          <w:p w14:paraId="28C67DEE" w14:textId="77777777" w:rsidR="001F03F4" w:rsidRPr="00590BAD" w:rsidRDefault="001F03F4" w:rsidP="00C130D2">
            <w:pPr>
              <w:spacing w:line="276" w:lineRule="auto"/>
              <w:jc w:val="right"/>
              <w:rPr>
                <w:rFonts w:asciiTheme="minorHAnsi" w:hAnsiTheme="minorHAnsi" w:cstheme="minorHAnsi"/>
                <w:b w:val="0"/>
                <w:color w:val="002060"/>
                <w:sz w:val="18"/>
                <w:lang w:val="sr-Cyrl-RS"/>
              </w:rPr>
            </w:pPr>
            <w:r w:rsidRPr="00590BAD">
              <w:rPr>
                <w:rFonts w:asciiTheme="minorHAnsi" w:hAnsiTheme="minorHAnsi" w:cstheme="minorHAnsi"/>
                <w:b w:val="0"/>
                <w:color w:val="002060"/>
                <w:sz w:val="18"/>
                <w:lang w:val="sr-Cyrl-RS"/>
              </w:rPr>
              <w:t>Процена</w:t>
            </w:r>
          </w:p>
        </w:tc>
        <w:tc>
          <w:tcPr>
            <w:tcW w:w="1669" w:type="pct"/>
            <w:gridSpan w:val="3"/>
            <w:tcBorders>
              <w:top w:val="single" w:sz="4" w:space="0" w:color="002060"/>
              <w:bottom w:val="single" w:sz="4" w:space="0" w:color="002060"/>
            </w:tcBorders>
            <w:shd w:val="clear" w:color="auto" w:fill="auto"/>
            <w:vAlign w:val="center"/>
          </w:tcPr>
          <w:p w14:paraId="61D9D4CC" w14:textId="77777777" w:rsidR="001F03F4" w:rsidRPr="00590BAD" w:rsidRDefault="001F03F4" w:rsidP="00C130D2">
            <w:pPr>
              <w:spacing w:line="276" w:lineRule="auto"/>
              <w:jc w:val="center"/>
              <w:rPr>
                <w:rFonts w:asciiTheme="minorHAnsi" w:hAnsiTheme="minorHAnsi" w:cstheme="minorHAnsi"/>
                <w:b w:val="0"/>
                <w:color w:val="002060"/>
                <w:sz w:val="18"/>
                <w:lang w:val="sr-Cyrl-RS"/>
              </w:rPr>
            </w:pPr>
            <w:r w:rsidRPr="00590BAD">
              <w:rPr>
                <w:rFonts w:asciiTheme="minorHAnsi" w:hAnsiTheme="minorHAnsi" w:cstheme="minorHAnsi"/>
                <w:b w:val="0"/>
                <w:color w:val="002060"/>
                <w:sz w:val="18"/>
                <w:lang w:val="sr-Cyrl-RS"/>
              </w:rPr>
              <w:t>Пројекција</w:t>
            </w:r>
          </w:p>
        </w:tc>
      </w:tr>
      <w:tr w:rsidR="001F03F4" w:rsidRPr="00590BAD" w14:paraId="23D2982E"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122" w:type="pct"/>
            <w:tcBorders>
              <w:top w:val="single" w:sz="4" w:space="0" w:color="002060"/>
            </w:tcBorders>
            <w:shd w:val="clear" w:color="auto" w:fill="auto"/>
            <w:noWrap/>
            <w:vAlign w:val="center"/>
          </w:tcPr>
          <w:p w14:paraId="3FA37516" w14:textId="77777777" w:rsidR="001F03F4" w:rsidRPr="00590BAD" w:rsidRDefault="001F03F4" w:rsidP="00C130D2">
            <w:pPr>
              <w:spacing w:line="276" w:lineRule="auto"/>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 </w:t>
            </w:r>
          </w:p>
        </w:tc>
        <w:tc>
          <w:tcPr>
            <w:tcW w:w="605" w:type="pct"/>
            <w:tcBorders>
              <w:top w:val="single" w:sz="4" w:space="0" w:color="002060"/>
              <w:bottom w:val="single" w:sz="4" w:space="0" w:color="002060"/>
            </w:tcBorders>
            <w:shd w:val="clear" w:color="auto" w:fill="auto"/>
            <w:vAlign w:val="center"/>
          </w:tcPr>
          <w:p w14:paraId="7CCF93F2"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2022</w:t>
            </w:r>
          </w:p>
        </w:tc>
        <w:tc>
          <w:tcPr>
            <w:tcW w:w="605" w:type="pct"/>
            <w:tcBorders>
              <w:top w:val="single" w:sz="4" w:space="0" w:color="002060"/>
              <w:bottom w:val="single" w:sz="4" w:space="0" w:color="002060"/>
            </w:tcBorders>
            <w:shd w:val="clear" w:color="auto" w:fill="auto"/>
            <w:vAlign w:val="center"/>
          </w:tcPr>
          <w:p w14:paraId="426BABA4"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2023</w:t>
            </w:r>
          </w:p>
        </w:tc>
        <w:tc>
          <w:tcPr>
            <w:tcW w:w="556" w:type="pct"/>
            <w:tcBorders>
              <w:top w:val="single" w:sz="4" w:space="0" w:color="002060"/>
              <w:bottom w:val="single" w:sz="4" w:space="0" w:color="002060"/>
            </w:tcBorders>
            <w:shd w:val="clear" w:color="auto" w:fill="auto"/>
            <w:vAlign w:val="center"/>
          </w:tcPr>
          <w:p w14:paraId="37A48ED1"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2024</w:t>
            </w:r>
          </w:p>
        </w:tc>
        <w:tc>
          <w:tcPr>
            <w:tcW w:w="556" w:type="pct"/>
            <w:tcBorders>
              <w:top w:val="single" w:sz="4" w:space="0" w:color="002060"/>
              <w:bottom w:val="single" w:sz="4" w:space="0" w:color="002060"/>
            </w:tcBorders>
            <w:shd w:val="clear" w:color="auto" w:fill="auto"/>
            <w:vAlign w:val="center"/>
          </w:tcPr>
          <w:p w14:paraId="3F07B268"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2025</w:t>
            </w:r>
          </w:p>
        </w:tc>
        <w:tc>
          <w:tcPr>
            <w:tcW w:w="556" w:type="pct"/>
            <w:tcBorders>
              <w:top w:val="single" w:sz="4" w:space="0" w:color="002060"/>
              <w:bottom w:val="single" w:sz="4" w:space="0" w:color="002060"/>
            </w:tcBorders>
            <w:shd w:val="clear" w:color="auto" w:fill="auto"/>
            <w:vAlign w:val="center"/>
          </w:tcPr>
          <w:p w14:paraId="25540864" w14:textId="77777777" w:rsidR="001F03F4" w:rsidRPr="00590BAD" w:rsidRDefault="001F03F4" w:rsidP="005D42AC">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2026</w:t>
            </w:r>
          </w:p>
        </w:tc>
      </w:tr>
      <w:tr w:rsidR="001F03F4" w:rsidRPr="00590BAD" w14:paraId="236073CB" w14:textId="77777777" w:rsidTr="00E05893">
        <w:trPr>
          <w:trHeight w:val="253"/>
        </w:trPr>
        <w:tc>
          <w:tcPr>
            <w:tcW w:w="2122" w:type="pct"/>
            <w:shd w:val="clear" w:color="auto" w:fill="auto"/>
            <w:vAlign w:val="center"/>
          </w:tcPr>
          <w:p w14:paraId="6124EADC" w14:textId="77777777" w:rsidR="001F03F4" w:rsidRPr="00590BAD" w:rsidRDefault="001F03F4" w:rsidP="00C130D2">
            <w:pPr>
              <w:spacing w:line="276" w:lineRule="auto"/>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Јавни приходи</w:t>
            </w:r>
          </w:p>
        </w:tc>
        <w:tc>
          <w:tcPr>
            <w:tcW w:w="605" w:type="pct"/>
            <w:tcBorders>
              <w:top w:val="single" w:sz="4" w:space="0" w:color="002060"/>
            </w:tcBorders>
            <w:shd w:val="clear" w:color="auto" w:fill="auto"/>
            <w:vAlign w:val="center"/>
          </w:tcPr>
          <w:p w14:paraId="6052E511" w14:textId="77777777" w:rsidR="001F03F4" w:rsidRPr="00590BAD" w:rsidRDefault="001F03F4" w:rsidP="00E05893">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43,8</w:t>
            </w:r>
          </w:p>
        </w:tc>
        <w:tc>
          <w:tcPr>
            <w:tcW w:w="605" w:type="pct"/>
            <w:tcBorders>
              <w:top w:val="single" w:sz="4" w:space="0" w:color="002060"/>
            </w:tcBorders>
            <w:shd w:val="clear" w:color="auto" w:fill="auto"/>
            <w:vAlign w:val="center"/>
          </w:tcPr>
          <w:p w14:paraId="672AB3A3" w14:textId="77777777" w:rsidR="001F03F4" w:rsidRPr="00590BAD" w:rsidRDefault="001F03F4" w:rsidP="00C130D2">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42,5</w:t>
            </w:r>
          </w:p>
        </w:tc>
        <w:tc>
          <w:tcPr>
            <w:tcW w:w="556" w:type="pct"/>
            <w:tcBorders>
              <w:top w:val="single" w:sz="4" w:space="0" w:color="002060"/>
            </w:tcBorders>
            <w:shd w:val="clear" w:color="auto" w:fill="auto"/>
            <w:vAlign w:val="center"/>
          </w:tcPr>
          <w:p w14:paraId="6C3A54B8" w14:textId="77777777" w:rsidR="001F03F4" w:rsidRPr="00590BAD" w:rsidRDefault="001F03F4" w:rsidP="00D73C9A">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42,6</w:t>
            </w:r>
          </w:p>
        </w:tc>
        <w:tc>
          <w:tcPr>
            <w:tcW w:w="556" w:type="pct"/>
            <w:tcBorders>
              <w:top w:val="single" w:sz="4" w:space="0" w:color="002060"/>
            </w:tcBorders>
            <w:shd w:val="clear" w:color="auto" w:fill="auto"/>
            <w:vAlign w:val="center"/>
          </w:tcPr>
          <w:p w14:paraId="14D11540" w14:textId="77777777" w:rsidR="001F03F4" w:rsidRPr="00590BAD" w:rsidRDefault="001F03F4" w:rsidP="00C130D2">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42,5</w:t>
            </w:r>
          </w:p>
        </w:tc>
        <w:tc>
          <w:tcPr>
            <w:tcW w:w="556" w:type="pct"/>
            <w:tcBorders>
              <w:top w:val="single" w:sz="4" w:space="0" w:color="002060"/>
            </w:tcBorders>
            <w:shd w:val="clear" w:color="auto" w:fill="auto"/>
            <w:vAlign w:val="center"/>
          </w:tcPr>
          <w:p w14:paraId="3428FC36" w14:textId="77777777" w:rsidR="001F03F4" w:rsidRPr="00590BAD" w:rsidRDefault="001F03F4" w:rsidP="00C130D2">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42,3</w:t>
            </w:r>
          </w:p>
        </w:tc>
      </w:tr>
      <w:tr w:rsidR="001F03F4" w:rsidRPr="00590BAD" w14:paraId="2C2B6FED"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4646F3DC" w14:textId="77777777" w:rsidR="001F03F4" w:rsidRPr="00590BAD" w:rsidRDefault="001F03F4" w:rsidP="00C130D2">
            <w:pPr>
              <w:spacing w:line="276" w:lineRule="auto"/>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Јавни расходи</w:t>
            </w:r>
          </w:p>
        </w:tc>
        <w:tc>
          <w:tcPr>
            <w:tcW w:w="605" w:type="pct"/>
            <w:shd w:val="clear" w:color="auto" w:fill="auto"/>
            <w:vAlign w:val="center"/>
          </w:tcPr>
          <w:p w14:paraId="2B0612D8"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46,9</w:t>
            </w:r>
          </w:p>
        </w:tc>
        <w:tc>
          <w:tcPr>
            <w:tcW w:w="605" w:type="pct"/>
            <w:shd w:val="clear" w:color="auto" w:fill="auto"/>
            <w:vAlign w:val="center"/>
          </w:tcPr>
          <w:p w14:paraId="230DACBB" w14:textId="77777777" w:rsidR="001F03F4" w:rsidRPr="00590BAD" w:rsidRDefault="001F03F4" w:rsidP="00C130D2">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45,3</w:t>
            </w:r>
          </w:p>
        </w:tc>
        <w:tc>
          <w:tcPr>
            <w:tcW w:w="556" w:type="pct"/>
            <w:shd w:val="clear" w:color="auto" w:fill="auto"/>
            <w:vAlign w:val="center"/>
          </w:tcPr>
          <w:p w14:paraId="5EA8479E" w14:textId="77777777" w:rsidR="001F03F4" w:rsidRPr="00590BAD" w:rsidRDefault="001F03F4" w:rsidP="005D42AC">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44,8</w:t>
            </w:r>
          </w:p>
        </w:tc>
        <w:tc>
          <w:tcPr>
            <w:tcW w:w="556" w:type="pct"/>
            <w:shd w:val="clear" w:color="auto" w:fill="auto"/>
            <w:vAlign w:val="center"/>
          </w:tcPr>
          <w:p w14:paraId="78D04F63" w14:textId="77777777" w:rsidR="001F03F4" w:rsidRPr="00590BAD" w:rsidRDefault="001F03F4" w:rsidP="00C130D2">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44,0</w:t>
            </w:r>
          </w:p>
        </w:tc>
        <w:tc>
          <w:tcPr>
            <w:tcW w:w="556" w:type="pct"/>
            <w:shd w:val="clear" w:color="auto" w:fill="auto"/>
            <w:vAlign w:val="center"/>
          </w:tcPr>
          <w:p w14:paraId="6A8284BE" w14:textId="77777777" w:rsidR="001F03F4" w:rsidRPr="00590BAD" w:rsidRDefault="001F03F4" w:rsidP="00C130D2">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43,8</w:t>
            </w:r>
          </w:p>
        </w:tc>
      </w:tr>
      <w:tr w:rsidR="001F03F4" w:rsidRPr="00590BAD" w14:paraId="55695A65" w14:textId="77777777" w:rsidTr="00E05893">
        <w:trPr>
          <w:trHeight w:val="253"/>
        </w:trPr>
        <w:tc>
          <w:tcPr>
            <w:tcW w:w="2122" w:type="pct"/>
            <w:shd w:val="clear" w:color="auto" w:fill="auto"/>
            <w:vAlign w:val="center"/>
          </w:tcPr>
          <w:p w14:paraId="19719717" w14:textId="77777777" w:rsidR="001F03F4" w:rsidRPr="00590BAD" w:rsidRDefault="001F03F4" w:rsidP="00C130D2">
            <w:pPr>
              <w:spacing w:line="276" w:lineRule="auto"/>
              <w:rPr>
                <w:rFonts w:asciiTheme="minorHAnsi" w:hAnsiTheme="minorHAnsi" w:cstheme="minorHAnsi"/>
                <w:color w:val="002060"/>
                <w:sz w:val="18"/>
                <w:szCs w:val="18"/>
                <w:lang w:val="sr-Cyrl-RS"/>
              </w:rPr>
            </w:pPr>
          </w:p>
        </w:tc>
        <w:tc>
          <w:tcPr>
            <w:tcW w:w="605" w:type="pct"/>
            <w:shd w:val="clear" w:color="auto" w:fill="auto"/>
            <w:vAlign w:val="center"/>
          </w:tcPr>
          <w:p w14:paraId="35BE057A"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p>
        </w:tc>
        <w:tc>
          <w:tcPr>
            <w:tcW w:w="605" w:type="pct"/>
            <w:shd w:val="clear" w:color="auto" w:fill="auto"/>
            <w:vAlign w:val="center"/>
          </w:tcPr>
          <w:p w14:paraId="55E4F508" w14:textId="77777777" w:rsidR="001F03F4" w:rsidRPr="00590BAD" w:rsidRDefault="001F03F4" w:rsidP="00C130D2">
            <w:pPr>
              <w:spacing w:line="276" w:lineRule="auto"/>
              <w:jc w:val="right"/>
              <w:rPr>
                <w:rFonts w:asciiTheme="minorHAnsi" w:hAnsiTheme="minorHAnsi" w:cstheme="minorHAnsi"/>
                <w:sz w:val="18"/>
                <w:szCs w:val="18"/>
                <w:lang w:val="sr-Cyrl-RS"/>
              </w:rPr>
            </w:pPr>
          </w:p>
        </w:tc>
        <w:tc>
          <w:tcPr>
            <w:tcW w:w="556" w:type="pct"/>
            <w:shd w:val="clear" w:color="auto" w:fill="auto"/>
            <w:vAlign w:val="center"/>
          </w:tcPr>
          <w:p w14:paraId="4B991A55" w14:textId="77777777" w:rsidR="001F03F4" w:rsidRPr="00590BAD" w:rsidRDefault="001F03F4" w:rsidP="00C130D2">
            <w:pPr>
              <w:spacing w:line="276" w:lineRule="auto"/>
              <w:jc w:val="right"/>
              <w:rPr>
                <w:rFonts w:asciiTheme="minorHAnsi" w:hAnsiTheme="minorHAnsi" w:cstheme="minorHAnsi"/>
                <w:sz w:val="18"/>
                <w:szCs w:val="18"/>
                <w:lang w:val="sr-Cyrl-RS"/>
              </w:rPr>
            </w:pPr>
          </w:p>
        </w:tc>
        <w:tc>
          <w:tcPr>
            <w:tcW w:w="556" w:type="pct"/>
            <w:shd w:val="clear" w:color="auto" w:fill="auto"/>
            <w:vAlign w:val="center"/>
          </w:tcPr>
          <w:p w14:paraId="4B941455" w14:textId="77777777" w:rsidR="001F03F4" w:rsidRPr="00590BAD" w:rsidRDefault="001F03F4" w:rsidP="00C130D2">
            <w:pPr>
              <w:spacing w:line="276" w:lineRule="auto"/>
              <w:jc w:val="right"/>
              <w:rPr>
                <w:rFonts w:asciiTheme="minorHAnsi" w:hAnsiTheme="minorHAnsi" w:cstheme="minorHAnsi"/>
                <w:sz w:val="18"/>
                <w:szCs w:val="18"/>
                <w:lang w:val="sr-Cyrl-RS"/>
              </w:rPr>
            </w:pPr>
          </w:p>
        </w:tc>
        <w:tc>
          <w:tcPr>
            <w:tcW w:w="556" w:type="pct"/>
            <w:shd w:val="clear" w:color="auto" w:fill="auto"/>
            <w:vAlign w:val="center"/>
          </w:tcPr>
          <w:p w14:paraId="0ADCD879" w14:textId="77777777" w:rsidR="001F03F4" w:rsidRPr="00590BAD" w:rsidRDefault="001F03F4" w:rsidP="00C130D2">
            <w:pPr>
              <w:spacing w:line="276" w:lineRule="auto"/>
              <w:jc w:val="right"/>
              <w:rPr>
                <w:rFonts w:asciiTheme="minorHAnsi" w:hAnsiTheme="minorHAnsi" w:cstheme="minorHAnsi"/>
                <w:sz w:val="18"/>
                <w:szCs w:val="18"/>
                <w:lang w:val="sr-Cyrl-RS"/>
              </w:rPr>
            </w:pPr>
          </w:p>
        </w:tc>
      </w:tr>
      <w:tr w:rsidR="001F03F4" w:rsidRPr="00590BAD" w14:paraId="1290AFB6"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45BDB69F" w14:textId="77777777" w:rsidR="001F03F4" w:rsidRPr="00590BAD" w:rsidRDefault="001F03F4" w:rsidP="00C130D2">
            <w:pPr>
              <w:spacing w:line="276" w:lineRule="auto"/>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Консолидовани фискални резултат</w:t>
            </w:r>
          </w:p>
        </w:tc>
        <w:tc>
          <w:tcPr>
            <w:tcW w:w="605" w:type="pct"/>
            <w:shd w:val="clear" w:color="auto" w:fill="auto"/>
            <w:vAlign w:val="center"/>
          </w:tcPr>
          <w:p w14:paraId="1A13DB1D" w14:textId="77777777" w:rsidR="001F03F4" w:rsidRPr="00590BAD" w:rsidRDefault="001F03F4" w:rsidP="00953528">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-3,2</w:t>
            </w:r>
          </w:p>
        </w:tc>
        <w:tc>
          <w:tcPr>
            <w:tcW w:w="605" w:type="pct"/>
            <w:shd w:val="clear" w:color="auto" w:fill="auto"/>
            <w:vAlign w:val="center"/>
          </w:tcPr>
          <w:p w14:paraId="06C9A9DA" w14:textId="77777777" w:rsidR="001F03F4" w:rsidRPr="00590BAD" w:rsidRDefault="001F03F4" w:rsidP="00953528">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-2,8</w:t>
            </w:r>
          </w:p>
        </w:tc>
        <w:tc>
          <w:tcPr>
            <w:tcW w:w="556" w:type="pct"/>
            <w:shd w:val="clear" w:color="auto" w:fill="auto"/>
            <w:vAlign w:val="center"/>
          </w:tcPr>
          <w:p w14:paraId="0185BA29" w14:textId="77777777" w:rsidR="001F03F4" w:rsidRPr="00590BAD" w:rsidRDefault="001F03F4" w:rsidP="00953528">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-2,2</w:t>
            </w:r>
          </w:p>
        </w:tc>
        <w:tc>
          <w:tcPr>
            <w:tcW w:w="556" w:type="pct"/>
            <w:shd w:val="clear" w:color="auto" w:fill="auto"/>
            <w:vAlign w:val="center"/>
          </w:tcPr>
          <w:p w14:paraId="02435F96" w14:textId="77777777" w:rsidR="001F03F4" w:rsidRPr="00590BAD" w:rsidRDefault="001F03F4" w:rsidP="00953528">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-1,5</w:t>
            </w:r>
          </w:p>
        </w:tc>
        <w:tc>
          <w:tcPr>
            <w:tcW w:w="556" w:type="pct"/>
            <w:shd w:val="clear" w:color="auto" w:fill="auto"/>
            <w:vAlign w:val="center"/>
          </w:tcPr>
          <w:p w14:paraId="6DB6A2CE" w14:textId="77777777" w:rsidR="001F03F4" w:rsidRPr="00590BAD" w:rsidRDefault="001F03F4" w:rsidP="00E05893">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-1,5</w:t>
            </w:r>
          </w:p>
        </w:tc>
      </w:tr>
      <w:tr w:rsidR="001F03F4" w:rsidRPr="00590BAD" w14:paraId="0A71C8F6" w14:textId="77777777" w:rsidTr="00E05893">
        <w:trPr>
          <w:trHeight w:val="253"/>
        </w:trPr>
        <w:tc>
          <w:tcPr>
            <w:tcW w:w="2122" w:type="pct"/>
            <w:shd w:val="clear" w:color="auto" w:fill="auto"/>
            <w:vAlign w:val="center"/>
          </w:tcPr>
          <w:p w14:paraId="53B18F70" w14:textId="77777777" w:rsidR="001F03F4" w:rsidRPr="00590BAD" w:rsidRDefault="001F03F4" w:rsidP="00C130D2">
            <w:pPr>
              <w:spacing w:line="276" w:lineRule="auto"/>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Примарни консолидовани резултат</w:t>
            </w:r>
          </w:p>
        </w:tc>
        <w:tc>
          <w:tcPr>
            <w:tcW w:w="605" w:type="pct"/>
            <w:shd w:val="clear" w:color="auto" w:fill="auto"/>
            <w:vAlign w:val="center"/>
          </w:tcPr>
          <w:p w14:paraId="5DD8AFFA" w14:textId="77777777" w:rsidR="001F03F4" w:rsidRPr="00590BAD" w:rsidRDefault="001F03F4" w:rsidP="00E05893">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-1,7</w:t>
            </w:r>
          </w:p>
        </w:tc>
        <w:tc>
          <w:tcPr>
            <w:tcW w:w="605" w:type="pct"/>
            <w:shd w:val="clear" w:color="auto" w:fill="auto"/>
            <w:vAlign w:val="center"/>
          </w:tcPr>
          <w:p w14:paraId="5CE3E010" w14:textId="77777777" w:rsidR="001F03F4" w:rsidRPr="00590BAD" w:rsidRDefault="001F03F4" w:rsidP="00953528">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-1,0</w:t>
            </w:r>
          </w:p>
        </w:tc>
        <w:tc>
          <w:tcPr>
            <w:tcW w:w="556" w:type="pct"/>
            <w:shd w:val="clear" w:color="auto" w:fill="auto"/>
            <w:vAlign w:val="center"/>
          </w:tcPr>
          <w:p w14:paraId="2D17A247" w14:textId="77777777" w:rsidR="001F03F4" w:rsidRPr="00590BAD" w:rsidRDefault="001F03F4" w:rsidP="00E05893">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-0,1</w:t>
            </w:r>
          </w:p>
        </w:tc>
        <w:tc>
          <w:tcPr>
            <w:tcW w:w="556" w:type="pct"/>
            <w:shd w:val="clear" w:color="auto" w:fill="auto"/>
            <w:vAlign w:val="center"/>
          </w:tcPr>
          <w:p w14:paraId="7EB936CF" w14:textId="77777777" w:rsidR="001F03F4" w:rsidRPr="00590BAD" w:rsidRDefault="001F03F4" w:rsidP="00C130D2">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0,6</w:t>
            </w:r>
          </w:p>
        </w:tc>
        <w:tc>
          <w:tcPr>
            <w:tcW w:w="556" w:type="pct"/>
            <w:shd w:val="clear" w:color="auto" w:fill="auto"/>
            <w:vAlign w:val="center"/>
          </w:tcPr>
          <w:p w14:paraId="2278AC2C" w14:textId="77777777" w:rsidR="001F03F4" w:rsidRPr="00590BAD" w:rsidRDefault="001F03F4" w:rsidP="00C130D2">
            <w:pPr>
              <w:spacing w:line="276" w:lineRule="auto"/>
              <w:jc w:val="right"/>
              <w:rPr>
                <w:rFonts w:asciiTheme="minorHAnsi" w:hAnsiTheme="minorHAnsi" w:cstheme="minorHAnsi"/>
                <w:color w:val="1F3864" w:themeColor="accent1" w:themeShade="80"/>
                <w:sz w:val="18"/>
                <w:szCs w:val="18"/>
                <w:lang w:val="sr-Cyrl-RS"/>
              </w:rPr>
            </w:pPr>
            <w:r w:rsidRPr="00590BAD">
              <w:rPr>
                <w:rFonts w:asciiTheme="minorHAnsi" w:hAnsiTheme="minorHAnsi" w:cstheme="minorHAnsi"/>
                <w:color w:val="1F3864" w:themeColor="accent1" w:themeShade="80"/>
                <w:sz w:val="18"/>
                <w:szCs w:val="18"/>
                <w:lang w:val="sr-Cyrl-RS"/>
              </w:rPr>
              <w:t>0,8</w:t>
            </w:r>
          </w:p>
        </w:tc>
      </w:tr>
      <w:tr w:rsidR="001F03F4" w:rsidRPr="00590BAD" w14:paraId="500C768C"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4A3748F4" w14:textId="77777777" w:rsidR="001F03F4" w:rsidRPr="00590BAD" w:rsidRDefault="001F03F4" w:rsidP="00C130D2">
            <w:pPr>
              <w:spacing w:line="276" w:lineRule="auto"/>
              <w:rPr>
                <w:rFonts w:asciiTheme="minorHAnsi" w:hAnsiTheme="minorHAnsi" w:cstheme="minorHAnsi"/>
                <w:color w:val="002060"/>
                <w:sz w:val="18"/>
                <w:szCs w:val="18"/>
                <w:lang w:val="sr-Cyrl-RS"/>
              </w:rPr>
            </w:pPr>
          </w:p>
        </w:tc>
        <w:tc>
          <w:tcPr>
            <w:tcW w:w="605" w:type="pct"/>
            <w:shd w:val="clear" w:color="auto" w:fill="auto"/>
            <w:vAlign w:val="center"/>
          </w:tcPr>
          <w:p w14:paraId="45F68C56"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p>
        </w:tc>
        <w:tc>
          <w:tcPr>
            <w:tcW w:w="605" w:type="pct"/>
            <w:shd w:val="clear" w:color="auto" w:fill="auto"/>
            <w:vAlign w:val="center"/>
          </w:tcPr>
          <w:p w14:paraId="1E7294F6"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p>
        </w:tc>
        <w:tc>
          <w:tcPr>
            <w:tcW w:w="556" w:type="pct"/>
            <w:shd w:val="clear" w:color="auto" w:fill="auto"/>
            <w:vAlign w:val="center"/>
          </w:tcPr>
          <w:p w14:paraId="2CC9736A"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p>
        </w:tc>
        <w:tc>
          <w:tcPr>
            <w:tcW w:w="556" w:type="pct"/>
            <w:shd w:val="clear" w:color="auto" w:fill="auto"/>
            <w:vAlign w:val="center"/>
          </w:tcPr>
          <w:p w14:paraId="475D7F60"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p>
        </w:tc>
        <w:tc>
          <w:tcPr>
            <w:tcW w:w="556" w:type="pct"/>
            <w:shd w:val="clear" w:color="auto" w:fill="auto"/>
            <w:vAlign w:val="center"/>
          </w:tcPr>
          <w:p w14:paraId="68EC65DB"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p>
        </w:tc>
      </w:tr>
      <w:tr w:rsidR="001F03F4" w:rsidRPr="00590BAD" w14:paraId="18D5FA17" w14:textId="77777777" w:rsidTr="00E05893">
        <w:trPr>
          <w:trHeight w:val="253"/>
        </w:trPr>
        <w:tc>
          <w:tcPr>
            <w:tcW w:w="2122" w:type="pct"/>
            <w:shd w:val="clear" w:color="auto" w:fill="auto"/>
            <w:vAlign w:val="center"/>
          </w:tcPr>
          <w:p w14:paraId="092CB998" w14:textId="77777777" w:rsidR="001F03F4" w:rsidRPr="00590BAD" w:rsidRDefault="001F03F4">
            <w:pPr>
              <w:spacing w:line="276" w:lineRule="auto"/>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Дуг сектора државе</w:t>
            </w:r>
          </w:p>
        </w:tc>
        <w:tc>
          <w:tcPr>
            <w:tcW w:w="605" w:type="pct"/>
            <w:shd w:val="clear" w:color="auto" w:fill="auto"/>
            <w:vAlign w:val="center"/>
          </w:tcPr>
          <w:p w14:paraId="13D8C2CE"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55,6</w:t>
            </w:r>
          </w:p>
        </w:tc>
        <w:tc>
          <w:tcPr>
            <w:tcW w:w="605" w:type="pct"/>
            <w:shd w:val="clear" w:color="auto" w:fill="auto"/>
            <w:vAlign w:val="center"/>
          </w:tcPr>
          <w:p w14:paraId="7DB6105B" w14:textId="77777777" w:rsidR="001F03F4" w:rsidRPr="00590BAD" w:rsidRDefault="001F03F4" w:rsidP="00D73C9A">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53,3</w:t>
            </w:r>
          </w:p>
        </w:tc>
        <w:tc>
          <w:tcPr>
            <w:tcW w:w="556" w:type="pct"/>
            <w:shd w:val="clear" w:color="auto" w:fill="auto"/>
            <w:vAlign w:val="center"/>
          </w:tcPr>
          <w:p w14:paraId="4C9E63C0" w14:textId="77777777" w:rsidR="001F03F4" w:rsidRPr="00590BAD" w:rsidRDefault="001F03F4" w:rsidP="005D42AC">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51,7</w:t>
            </w:r>
          </w:p>
        </w:tc>
        <w:tc>
          <w:tcPr>
            <w:tcW w:w="556" w:type="pct"/>
            <w:shd w:val="clear" w:color="auto" w:fill="auto"/>
            <w:vAlign w:val="center"/>
          </w:tcPr>
          <w:p w14:paraId="73659DC8"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50,7</w:t>
            </w:r>
          </w:p>
        </w:tc>
        <w:tc>
          <w:tcPr>
            <w:tcW w:w="556" w:type="pct"/>
            <w:shd w:val="clear" w:color="auto" w:fill="auto"/>
            <w:vAlign w:val="center"/>
          </w:tcPr>
          <w:p w14:paraId="1C62E41D" w14:textId="77777777" w:rsidR="001F03F4" w:rsidRPr="00590BAD" w:rsidRDefault="001F03F4" w:rsidP="00953528">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50,0</w:t>
            </w:r>
          </w:p>
        </w:tc>
      </w:tr>
      <w:tr w:rsidR="001F03F4" w:rsidRPr="00590BAD" w14:paraId="696B8BE4"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122" w:type="pct"/>
            <w:tcBorders>
              <w:bottom w:val="single" w:sz="4" w:space="0" w:color="002060"/>
            </w:tcBorders>
            <w:shd w:val="clear" w:color="auto" w:fill="auto"/>
            <w:vAlign w:val="center"/>
          </w:tcPr>
          <w:p w14:paraId="63E7F7C1" w14:textId="77777777" w:rsidR="001F03F4" w:rsidRPr="00590BAD" w:rsidRDefault="001F03F4" w:rsidP="00C130D2">
            <w:pPr>
              <w:spacing w:line="276" w:lineRule="auto"/>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Реална стопа раста БДП</w:t>
            </w:r>
          </w:p>
        </w:tc>
        <w:tc>
          <w:tcPr>
            <w:tcW w:w="605" w:type="pct"/>
            <w:tcBorders>
              <w:bottom w:val="single" w:sz="4" w:space="0" w:color="002060"/>
            </w:tcBorders>
            <w:shd w:val="clear" w:color="auto" w:fill="auto"/>
            <w:vAlign w:val="center"/>
          </w:tcPr>
          <w:p w14:paraId="5518982E" w14:textId="77777777" w:rsidR="001F03F4" w:rsidRPr="00590BAD" w:rsidRDefault="001F03F4" w:rsidP="00953528">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2,3%</w:t>
            </w:r>
          </w:p>
        </w:tc>
        <w:tc>
          <w:tcPr>
            <w:tcW w:w="605" w:type="pct"/>
            <w:tcBorders>
              <w:bottom w:val="single" w:sz="4" w:space="0" w:color="002060"/>
            </w:tcBorders>
            <w:shd w:val="clear" w:color="auto" w:fill="auto"/>
            <w:vAlign w:val="center"/>
          </w:tcPr>
          <w:p w14:paraId="2B92FA39" w14:textId="77777777" w:rsidR="001F03F4" w:rsidRPr="00590BAD" w:rsidRDefault="001F03F4" w:rsidP="005D42AC">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2,5%</w:t>
            </w:r>
          </w:p>
        </w:tc>
        <w:tc>
          <w:tcPr>
            <w:tcW w:w="556" w:type="pct"/>
            <w:tcBorders>
              <w:bottom w:val="single" w:sz="4" w:space="0" w:color="002060"/>
            </w:tcBorders>
            <w:shd w:val="clear" w:color="auto" w:fill="auto"/>
            <w:vAlign w:val="center"/>
          </w:tcPr>
          <w:p w14:paraId="40962A8F"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3,5%</w:t>
            </w:r>
          </w:p>
        </w:tc>
        <w:tc>
          <w:tcPr>
            <w:tcW w:w="556" w:type="pct"/>
            <w:tcBorders>
              <w:bottom w:val="single" w:sz="4" w:space="0" w:color="002060"/>
            </w:tcBorders>
            <w:shd w:val="clear" w:color="auto" w:fill="auto"/>
            <w:vAlign w:val="center"/>
          </w:tcPr>
          <w:p w14:paraId="5BEB7F39"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4,0%</w:t>
            </w:r>
          </w:p>
        </w:tc>
        <w:tc>
          <w:tcPr>
            <w:tcW w:w="556" w:type="pct"/>
            <w:tcBorders>
              <w:bottom w:val="single" w:sz="4" w:space="0" w:color="002060"/>
            </w:tcBorders>
            <w:shd w:val="clear" w:color="auto" w:fill="auto"/>
            <w:vAlign w:val="center"/>
          </w:tcPr>
          <w:p w14:paraId="747C8E49" w14:textId="77777777" w:rsidR="001F03F4" w:rsidRPr="00590BAD" w:rsidRDefault="001F03F4" w:rsidP="00C130D2">
            <w:pPr>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4,3%</w:t>
            </w:r>
          </w:p>
        </w:tc>
      </w:tr>
    </w:tbl>
    <w:p w14:paraId="5DE28FF4" w14:textId="77777777" w:rsidR="001F03F4" w:rsidRPr="00590BAD" w:rsidRDefault="001F03F4" w:rsidP="00E05893">
      <w:pPr>
        <w:spacing w:before="40" w:after="240" w:line="276" w:lineRule="auto"/>
        <w:rPr>
          <w:rFonts w:cstheme="minorHAnsi"/>
          <w:sz w:val="16"/>
          <w:szCs w:val="20"/>
          <w:lang w:val="sr-Cyrl-RS"/>
        </w:rPr>
      </w:pPr>
      <w:r w:rsidRPr="00590BAD">
        <w:rPr>
          <w:rFonts w:eastAsia="Calibri" w:cstheme="minorHAnsi"/>
          <w:bCs/>
          <w:sz w:val="16"/>
          <w:szCs w:val="20"/>
          <w:lang w:val="sr-Cyrl-RS" w:eastAsia="ja-JP"/>
        </w:rPr>
        <w:t xml:space="preserve">Извор: </w:t>
      </w:r>
      <w:r w:rsidRPr="00590BAD">
        <w:rPr>
          <w:rFonts w:cstheme="minorHAnsi"/>
          <w:sz w:val="16"/>
          <w:szCs w:val="20"/>
          <w:lang w:val="sr-Cyrl-RS"/>
        </w:rPr>
        <w:t>Министарство финансија</w:t>
      </w:r>
    </w:p>
    <w:p w14:paraId="57B97395" w14:textId="77777777" w:rsidR="001F03F4" w:rsidRPr="00590BAD" w:rsidRDefault="001F03F4" w:rsidP="00E05893">
      <w:pPr>
        <w:spacing w:before="40" w:after="240" w:line="276" w:lineRule="auto"/>
        <w:rPr>
          <w:rFonts w:eastAsia="MS PGothic" w:cstheme="minorHAnsi"/>
          <w:szCs w:val="20"/>
          <w:lang w:val="sr-Cyrl-RS" w:eastAsia="ja-JP"/>
        </w:rPr>
        <w:sectPr w:rsidR="001F03F4" w:rsidRPr="00590BAD" w:rsidSect="00E05893">
          <w:type w:val="continuous"/>
          <w:pgSz w:w="12240" w:h="15840" w:code="1"/>
          <w:pgMar w:top="1440" w:right="1440" w:bottom="1440" w:left="1440" w:header="720" w:footer="720" w:gutter="0"/>
          <w:cols w:space="720"/>
          <w:docGrid w:linePitch="360"/>
        </w:sectPr>
      </w:pPr>
    </w:p>
    <w:p w14:paraId="00940335" w14:textId="77777777" w:rsidR="001F03F4" w:rsidRPr="00590BAD" w:rsidRDefault="001F03F4" w:rsidP="00D73C9A">
      <w:pPr>
        <w:spacing w:after="120"/>
        <w:rPr>
          <w:rFonts w:cstheme="minorHAnsi"/>
          <w:lang w:val="sr-Cyrl-RS"/>
        </w:rPr>
      </w:pPr>
      <w:r w:rsidRPr="00590BAD">
        <w:rPr>
          <w:rFonts w:eastAsia="MS PGothic" w:cstheme="minorHAnsi"/>
          <w:szCs w:val="20"/>
          <w:lang w:val="sr-Cyrl-RS" w:eastAsia="ja-JP"/>
        </w:rPr>
        <w:t>Циљеви фискалне политике у наредном средњорочном периоду биће обезбеђење стабилне позиције јавних финансија и опадајућа путања јавног дуга. Смањење</w:t>
      </w:r>
      <w:r w:rsidRPr="00590BAD">
        <w:rPr>
          <w:rFonts w:cstheme="minorHAnsi"/>
          <w:lang w:val="sr-Cyrl-RS"/>
        </w:rPr>
        <w:t xml:space="preserve"> учешћа дуга је уско везано за снижавање дефицита као главног фактора задуживања, тако да динамика спуштања дефицита опредељује и промену кретања дуга. Растући трошкови задуживања на међународном финансијском тржишту такође захтевају опрез и рестриктивност фискалне политике.</w:t>
      </w:r>
    </w:p>
    <w:p w14:paraId="494BC732" w14:textId="77777777" w:rsidR="001F03F4" w:rsidRPr="00590BAD" w:rsidRDefault="001F03F4" w:rsidP="00D73C9A">
      <w:pPr>
        <w:spacing w:after="120"/>
        <w:jc w:val="center"/>
        <w:rPr>
          <w:rFonts w:cstheme="minorHAnsi"/>
          <w:b/>
          <w:color w:val="002060"/>
          <w:lang w:val="sr-Cyrl-RS"/>
        </w:rPr>
      </w:pPr>
      <w:r w:rsidRPr="00590BAD">
        <w:rPr>
          <w:rFonts w:cstheme="minorHAnsi"/>
          <w:b/>
          <w:color w:val="002060"/>
          <w:lang w:val="sr-Cyrl-RS"/>
        </w:rPr>
        <w:br w:type="column"/>
      </w:r>
      <w:r w:rsidRPr="00590BAD">
        <w:rPr>
          <w:rFonts w:cstheme="minorHAnsi"/>
          <w:b/>
          <w:color w:val="002060"/>
          <w:lang w:val="sr-Cyrl-RS"/>
        </w:rPr>
        <w:t>Фискални резултат и дуг сектора државе, % БДП</w:t>
      </w:r>
    </w:p>
    <w:p w14:paraId="7B2592D1" w14:textId="77777777" w:rsidR="001F03F4" w:rsidRPr="001F03F4" w:rsidRDefault="001F03F4" w:rsidP="00D73C9A">
      <w:pPr>
        <w:spacing w:after="120"/>
        <w:jc w:val="right"/>
      </w:pPr>
      <w:r w:rsidRPr="00590BAD">
        <w:rPr>
          <w:noProof/>
        </w:rPr>
        <w:drawing>
          <wp:inline distT="0" distB="0" distL="0" distR="0" wp14:anchorId="15471554" wp14:editId="6309E838">
            <wp:extent cx="2743200" cy="2160270"/>
            <wp:effectExtent l="0" t="0" r="0" b="0"/>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6"/>
              </a:graphicData>
            </a:graphic>
          </wp:inline>
        </w:drawing>
      </w:r>
    </w:p>
    <w:p w14:paraId="6B7E566E" w14:textId="77777777" w:rsidR="001F03F4" w:rsidRDefault="001F03F4">
      <w:pPr>
        <w:jc w:val="left"/>
        <w:rPr>
          <w:rFonts w:eastAsia="MS PGothic" w:cstheme="minorHAnsi"/>
          <w:szCs w:val="20"/>
          <w:lang w:val="sr-Cyrl-RS" w:eastAsia="ja-JP"/>
        </w:rPr>
      </w:pPr>
      <w:r>
        <w:rPr>
          <w:rFonts w:eastAsia="MS PGothic" w:cstheme="minorHAnsi"/>
          <w:szCs w:val="20"/>
          <w:lang w:val="sr-Cyrl-RS" w:eastAsia="ja-JP"/>
        </w:rPr>
        <w:br w:type="page"/>
      </w:r>
    </w:p>
    <w:p w14:paraId="68C6B990" w14:textId="77777777" w:rsidR="001F03F4" w:rsidRPr="003E4BF0" w:rsidRDefault="001F03F4" w:rsidP="00D73C9A">
      <w:pPr>
        <w:spacing w:after="120"/>
        <w:rPr>
          <w:rFonts w:eastAsia="Times New Roman" w:cstheme="minorHAnsi"/>
          <w:b/>
          <w:bCs/>
          <w:spacing w:val="-2"/>
          <w:szCs w:val="20"/>
          <w:lang w:val="sr-Cyrl-RS" w:eastAsia="ja-JP"/>
        </w:rPr>
      </w:pPr>
      <w:r w:rsidRPr="003E4BF0">
        <w:rPr>
          <w:rFonts w:eastAsia="MS PGothic" w:cstheme="minorHAnsi"/>
          <w:spacing w:val="-2"/>
          <w:szCs w:val="20"/>
          <w:lang w:val="sr-Cyrl-RS" w:eastAsia="ja-JP"/>
        </w:rPr>
        <w:lastRenderedPageBreak/>
        <w:t xml:space="preserve">Експанзивна фискална политика током 2020. и 2021. године умањила је негативне економске последице пандемије. У 2022. години фокус је пребачен на заштиту привреде и становништва од енергетске кризе. У наредном средњорочном периоду предвиђено је умерено смањење дефицита сектора државе како би се фискалном политиком обезбедила флексибилност националне економије, те правовремени и ефикасан одговор на евентуалне екстерне шокове. То се, </w:t>
      </w:r>
      <w:r w:rsidRPr="003E4BF0">
        <w:rPr>
          <w:rFonts w:eastAsia="Calibri" w:cstheme="minorHAnsi"/>
          <w:spacing w:val="-2"/>
          <w:szCs w:val="20"/>
          <w:lang w:val="sr-Cyrl-RS" w:eastAsia="ja-JP"/>
        </w:rPr>
        <w:t xml:space="preserve">пре свега, односи на расходну страну. На приходној страни приоритет ће остати даље смањење пореског </w:t>
      </w:r>
      <w:r w:rsidRPr="003E4BF0">
        <w:rPr>
          <w:rFonts w:eastAsia="Calibri" w:cstheme="minorHAnsi"/>
          <w:spacing w:val="-2"/>
          <w:szCs w:val="20"/>
          <w:lang w:val="sr-Cyrl-RS" w:eastAsia="ja-JP"/>
        </w:rPr>
        <w:t>оптерећења зарада и наставак борбе против пореске евазије и сиве економије.</w:t>
      </w:r>
    </w:p>
    <w:p w14:paraId="2AC9B00A" w14:textId="77777777" w:rsidR="001F03F4" w:rsidRPr="00590BAD" w:rsidRDefault="001F03F4" w:rsidP="00D73C9A">
      <w:pPr>
        <w:keepNext/>
        <w:spacing w:after="120"/>
        <w:rPr>
          <w:rFonts w:eastAsia="MS PGothic" w:cstheme="minorHAnsi"/>
          <w:szCs w:val="20"/>
          <w:lang w:val="sr-Cyrl-RS" w:eastAsia="ja-JP"/>
        </w:rPr>
      </w:pPr>
      <w:r w:rsidRPr="00590BAD">
        <w:rPr>
          <w:rFonts w:eastAsia="MS PGothic" w:cstheme="minorHAnsi"/>
          <w:szCs w:val="20"/>
          <w:lang w:val="sr-Cyrl-RS" w:eastAsia="ja-JP"/>
        </w:rPr>
        <w:t>Пројекција прихода у периоду од 2023. до 2026. године израђена је на основу:</w:t>
      </w:r>
    </w:p>
    <w:p w14:paraId="16734A99" w14:textId="77777777" w:rsidR="001F03F4" w:rsidRPr="00590BAD" w:rsidRDefault="001F03F4" w:rsidP="00D73C9A">
      <w:pPr>
        <w:numPr>
          <w:ilvl w:val="0"/>
          <w:numId w:val="1"/>
        </w:numPr>
        <w:spacing w:after="120"/>
        <w:ind w:left="181" w:hanging="181"/>
        <w:contextualSpacing/>
        <w:rPr>
          <w:rFonts w:eastAsia="Calibri" w:cstheme="minorHAnsi"/>
          <w:lang w:val="sr-Cyrl-RS"/>
        </w:rPr>
      </w:pPr>
      <w:r w:rsidRPr="00590BAD">
        <w:rPr>
          <w:rFonts w:eastAsia="Calibri" w:cstheme="minorHAnsi"/>
          <w:lang w:val="sr-Cyrl-RS"/>
        </w:rPr>
        <w:t>пројекције кретања најважнијих макроекономских показатеља: БДП и његових компоненти, инфлације, девизног курса, спољнотрговинске размене, запослености и зарада;</w:t>
      </w:r>
    </w:p>
    <w:p w14:paraId="600196B0" w14:textId="77777777" w:rsidR="001F03F4" w:rsidRPr="00590BAD" w:rsidRDefault="001F03F4" w:rsidP="00D73C9A">
      <w:pPr>
        <w:numPr>
          <w:ilvl w:val="0"/>
          <w:numId w:val="1"/>
        </w:numPr>
        <w:spacing w:after="120"/>
        <w:ind w:left="181" w:hanging="181"/>
        <w:contextualSpacing/>
        <w:rPr>
          <w:rFonts w:eastAsia="Calibri" w:cstheme="minorHAnsi"/>
          <w:lang w:val="sr-Cyrl-RS"/>
        </w:rPr>
      </w:pPr>
      <w:r w:rsidRPr="00590BAD">
        <w:rPr>
          <w:rFonts w:eastAsia="Calibri" w:cstheme="minorHAnsi"/>
          <w:lang w:val="sr-Cyrl-RS"/>
        </w:rPr>
        <w:t>важеће и планиране измене пореске политике;</w:t>
      </w:r>
    </w:p>
    <w:p w14:paraId="37FEC63D" w14:textId="77777777" w:rsidR="001F03F4" w:rsidRPr="00590BAD" w:rsidRDefault="001F03F4" w:rsidP="00D73C9A">
      <w:pPr>
        <w:numPr>
          <w:ilvl w:val="0"/>
          <w:numId w:val="1"/>
        </w:numPr>
        <w:spacing w:after="120"/>
        <w:ind w:left="181" w:hanging="181"/>
        <w:rPr>
          <w:rFonts w:eastAsia="Calibri" w:cstheme="minorHAnsi"/>
          <w:lang w:val="sr-Cyrl-RS"/>
        </w:rPr>
      </w:pPr>
      <w:r w:rsidRPr="00590BAD">
        <w:rPr>
          <w:rFonts w:eastAsia="Calibri" w:cstheme="minorHAnsi"/>
          <w:lang w:val="sr-Cyrl-RS"/>
        </w:rPr>
        <w:t>процењених ефеката фискалних и структурних мера у наредном периоду.</w:t>
      </w:r>
    </w:p>
    <w:p w14:paraId="4407E601" w14:textId="77777777" w:rsidR="001F03F4" w:rsidRPr="00590BAD" w:rsidRDefault="001F03F4" w:rsidP="00451097">
      <w:pPr>
        <w:spacing w:before="240" w:after="120" w:line="276" w:lineRule="auto"/>
        <w:jc w:val="center"/>
        <w:rPr>
          <w:rFonts w:eastAsia="MS PGothic" w:cstheme="minorHAnsi"/>
          <w:b/>
          <w:color w:val="002060"/>
          <w:szCs w:val="20"/>
          <w:lang w:val="sr-Cyrl-RS" w:eastAsia="ja-JP"/>
        </w:rPr>
        <w:sectPr w:rsidR="001F03F4" w:rsidRPr="00590BAD" w:rsidSect="00E05893">
          <w:type w:val="continuous"/>
          <w:pgSz w:w="12240" w:h="15840" w:code="1"/>
          <w:pgMar w:top="1440" w:right="1440" w:bottom="1440" w:left="1440" w:header="720" w:footer="720" w:gutter="0"/>
          <w:cols w:num="2" w:space="720"/>
          <w:docGrid w:linePitch="360"/>
        </w:sectPr>
      </w:pPr>
    </w:p>
    <w:p w14:paraId="7E0F9804" w14:textId="77777777" w:rsidR="001F03F4" w:rsidRPr="00590BAD" w:rsidRDefault="001F03F4" w:rsidP="00E05893">
      <w:pPr>
        <w:spacing w:before="120" w:after="120" w:line="276" w:lineRule="auto"/>
        <w:jc w:val="center"/>
        <w:rPr>
          <w:rFonts w:eastAsia="MS PGothic" w:cstheme="minorHAnsi"/>
          <w:b/>
          <w:color w:val="002060"/>
          <w:szCs w:val="20"/>
          <w:lang w:val="sr-Cyrl-RS" w:eastAsia="ja-JP"/>
        </w:rPr>
      </w:pPr>
      <w:r w:rsidRPr="00590BAD">
        <w:rPr>
          <w:rFonts w:eastAsia="MS PGothic" w:cstheme="minorHAnsi"/>
          <w:b/>
          <w:color w:val="002060"/>
          <w:szCs w:val="20"/>
          <w:lang w:val="sr-Cyrl-RS" w:eastAsia="ja-JP"/>
        </w:rPr>
        <w:t>Табела 9. Укупни приходи и донације у периоду 2022–2026. године, % БДП</w:t>
      </w:r>
    </w:p>
    <w:tbl>
      <w:tblPr>
        <w:tblStyle w:val="LightShading-Accent1211"/>
        <w:tblW w:w="5000" w:type="pct"/>
        <w:tblBorders>
          <w:top w:val="none" w:sz="0" w:space="0" w:color="auto"/>
          <w:bottom w:val="none" w:sz="0" w:space="0" w:color="auto"/>
        </w:tblBorders>
        <w:tblLook w:val="0420" w:firstRow="1" w:lastRow="0" w:firstColumn="0" w:lastColumn="0" w:noHBand="0" w:noVBand="1"/>
      </w:tblPr>
      <w:tblGrid>
        <w:gridCol w:w="3824"/>
        <w:gridCol w:w="1133"/>
        <w:gridCol w:w="1134"/>
        <w:gridCol w:w="1088"/>
        <w:gridCol w:w="1090"/>
        <w:gridCol w:w="1091"/>
      </w:tblGrid>
      <w:tr w:rsidR="001F03F4" w:rsidRPr="00590BAD" w14:paraId="69295817" w14:textId="77777777" w:rsidTr="00953528">
        <w:trPr>
          <w:cnfStyle w:val="100000000000" w:firstRow="1" w:lastRow="0" w:firstColumn="0" w:lastColumn="0" w:oddVBand="0" w:evenVBand="0" w:oddHBand="0" w:evenHBand="0" w:firstRowFirstColumn="0" w:firstRowLastColumn="0" w:lastRowFirstColumn="0" w:lastRowLastColumn="0"/>
          <w:trHeight w:val="253"/>
        </w:trPr>
        <w:tc>
          <w:tcPr>
            <w:tcW w:w="2043" w:type="pct"/>
            <w:tcBorders>
              <w:top w:val="single" w:sz="4" w:space="0" w:color="002060"/>
              <w:bottom w:val="single" w:sz="4" w:space="0" w:color="002060"/>
            </w:tcBorders>
            <w:noWrap/>
            <w:vAlign w:val="center"/>
          </w:tcPr>
          <w:p w14:paraId="3747C19F" w14:textId="77777777" w:rsidR="001F03F4" w:rsidRPr="00590BAD" w:rsidRDefault="001F03F4" w:rsidP="00C130D2">
            <w:pPr>
              <w:keepLines/>
              <w:widowControl w:val="0"/>
              <w:shd w:val="clear" w:color="auto" w:fill="FFFFFF" w:themeFill="background1"/>
              <w:spacing w:line="276" w:lineRule="auto"/>
              <w:rPr>
                <w:rFonts w:asciiTheme="minorHAnsi" w:eastAsia="Times New Roman" w:hAnsiTheme="minorHAnsi" w:cstheme="minorHAnsi"/>
                <w:b w:val="0"/>
                <w:color w:val="002060"/>
                <w:sz w:val="18"/>
                <w:szCs w:val="18"/>
                <w:lang w:val="sr-Cyrl-RS"/>
              </w:rPr>
            </w:pPr>
            <w:r w:rsidRPr="00590BAD">
              <w:rPr>
                <w:rFonts w:asciiTheme="minorHAnsi" w:hAnsiTheme="minorHAnsi" w:cstheme="minorHAnsi"/>
                <w:b w:val="0"/>
                <w:color w:val="002060"/>
                <w:sz w:val="18"/>
                <w:lang w:val="sr-Cyrl-RS"/>
              </w:rPr>
              <w:t>Опис</w:t>
            </w:r>
          </w:p>
        </w:tc>
        <w:tc>
          <w:tcPr>
            <w:tcW w:w="605" w:type="pct"/>
            <w:tcBorders>
              <w:top w:val="single" w:sz="4" w:space="0" w:color="002060"/>
              <w:bottom w:val="single" w:sz="4" w:space="0" w:color="002060"/>
            </w:tcBorders>
            <w:vAlign w:val="center"/>
          </w:tcPr>
          <w:p w14:paraId="56DBC774" w14:textId="77777777" w:rsidR="001F03F4" w:rsidRPr="00590BAD" w:rsidRDefault="001F03F4"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590BAD">
              <w:rPr>
                <w:rFonts w:asciiTheme="minorHAnsi" w:hAnsiTheme="minorHAnsi" w:cstheme="minorHAnsi"/>
                <w:b w:val="0"/>
                <w:color w:val="002060"/>
                <w:sz w:val="18"/>
                <w:lang w:val="sr-Cyrl-RS"/>
              </w:rPr>
              <w:t>Извршење</w:t>
            </w:r>
          </w:p>
        </w:tc>
        <w:tc>
          <w:tcPr>
            <w:tcW w:w="606" w:type="pct"/>
            <w:tcBorders>
              <w:top w:val="single" w:sz="4" w:space="0" w:color="002060"/>
              <w:bottom w:val="single" w:sz="4" w:space="0" w:color="002060"/>
            </w:tcBorders>
            <w:vAlign w:val="center"/>
          </w:tcPr>
          <w:p w14:paraId="487F8D0C" w14:textId="77777777" w:rsidR="001F03F4" w:rsidRPr="00590BAD" w:rsidRDefault="001F03F4"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590BAD">
              <w:rPr>
                <w:rFonts w:asciiTheme="minorHAnsi" w:hAnsiTheme="minorHAnsi" w:cstheme="minorHAnsi"/>
                <w:b w:val="0"/>
                <w:color w:val="002060"/>
                <w:sz w:val="18"/>
                <w:lang w:val="sr-Cyrl-RS"/>
              </w:rPr>
              <w:t>Процена</w:t>
            </w:r>
          </w:p>
        </w:tc>
        <w:tc>
          <w:tcPr>
            <w:tcW w:w="1746" w:type="pct"/>
            <w:gridSpan w:val="3"/>
            <w:tcBorders>
              <w:top w:val="single" w:sz="4" w:space="0" w:color="002060"/>
              <w:bottom w:val="single" w:sz="4" w:space="0" w:color="002060"/>
            </w:tcBorders>
            <w:vAlign w:val="center"/>
          </w:tcPr>
          <w:p w14:paraId="6052F261" w14:textId="77777777" w:rsidR="001F03F4" w:rsidRPr="00590BAD" w:rsidRDefault="001F03F4" w:rsidP="001940DA">
            <w:pPr>
              <w:keepNext/>
              <w:widowControl w:val="0"/>
              <w:shd w:val="clear" w:color="auto" w:fill="FFFFFF" w:themeFill="background1"/>
              <w:spacing w:line="276" w:lineRule="auto"/>
              <w:jc w:val="center"/>
              <w:rPr>
                <w:rFonts w:asciiTheme="minorHAnsi" w:eastAsia="Times New Roman" w:hAnsiTheme="minorHAnsi" w:cstheme="minorHAnsi"/>
                <w:b w:val="0"/>
                <w:color w:val="002060"/>
                <w:sz w:val="18"/>
                <w:szCs w:val="18"/>
                <w:lang w:val="sr-Cyrl-RS"/>
              </w:rPr>
            </w:pPr>
            <w:r w:rsidRPr="00590BAD">
              <w:rPr>
                <w:rFonts w:asciiTheme="minorHAnsi" w:hAnsiTheme="minorHAnsi" w:cstheme="minorHAnsi"/>
                <w:b w:val="0"/>
                <w:color w:val="002060"/>
                <w:sz w:val="18"/>
                <w:lang w:val="sr-Cyrl-RS"/>
              </w:rPr>
              <w:t>Пројекција</w:t>
            </w:r>
          </w:p>
        </w:tc>
      </w:tr>
      <w:tr w:rsidR="001F03F4" w:rsidRPr="00590BAD" w14:paraId="111FD79E"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043" w:type="pct"/>
            <w:tcBorders>
              <w:top w:val="single" w:sz="4" w:space="0" w:color="002060"/>
            </w:tcBorders>
            <w:shd w:val="clear" w:color="auto" w:fill="FFFFFF" w:themeFill="background1"/>
            <w:noWrap/>
          </w:tcPr>
          <w:p w14:paraId="722556EC" w14:textId="77777777" w:rsidR="001F03F4" w:rsidRPr="00590BAD" w:rsidRDefault="001F03F4" w:rsidP="00E0589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p>
        </w:tc>
        <w:tc>
          <w:tcPr>
            <w:tcW w:w="605" w:type="pct"/>
            <w:tcBorders>
              <w:top w:val="single" w:sz="4" w:space="0" w:color="002060"/>
              <w:bottom w:val="single" w:sz="4" w:space="0" w:color="002060"/>
            </w:tcBorders>
            <w:shd w:val="clear" w:color="auto" w:fill="FFFFFF" w:themeFill="background1"/>
          </w:tcPr>
          <w:p w14:paraId="1D84A382" w14:textId="77777777" w:rsidR="001F03F4" w:rsidRPr="00590BAD" w:rsidRDefault="001F03F4"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2022</w:t>
            </w:r>
          </w:p>
        </w:tc>
        <w:tc>
          <w:tcPr>
            <w:tcW w:w="606" w:type="pct"/>
            <w:tcBorders>
              <w:top w:val="single" w:sz="4" w:space="0" w:color="002060"/>
              <w:bottom w:val="single" w:sz="4" w:space="0" w:color="002060"/>
            </w:tcBorders>
            <w:shd w:val="clear" w:color="auto" w:fill="FFFFFF" w:themeFill="background1"/>
          </w:tcPr>
          <w:p w14:paraId="04816ACD" w14:textId="77777777" w:rsidR="001F03F4" w:rsidRPr="00590BAD" w:rsidRDefault="001F03F4"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2023</w:t>
            </w:r>
          </w:p>
        </w:tc>
        <w:tc>
          <w:tcPr>
            <w:tcW w:w="581" w:type="pct"/>
            <w:tcBorders>
              <w:top w:val="single" w:sz="4" w:space="0" w:color="002060"/>
              <w:bottom w:val="single" w:sz="4" w:space="0" w:color="002060"/>
            </w:tcBorders>
            <w:shd w:val="clear" w:color="auto" w:fill="FFFFFF" w:themeFill="background1"/>
          </w:tcPr>
          <w:p w14:paraId="73EAF344" w14:textId="77777777" w:rsidR="001F03F4" w:rsidRPr="00590BAD" w:rsidRDefault="001F03F4"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2024</w:t>
            </w:r>
          </w:p>
        </w:tc>
        <w:tc>
          <w:tcPr>
            <w:tcW w:w="582" w:type="pct"/>
            <w:tcBorders>
              <w:top w:val="single" w:sz="4" w:space="0" w:color="002060"/>
              <w:bottom w:val="single" w:sz="4" w:space="0" w:color="002060"/>
            </w:tcBorders>
            <w:shd w:val="clear" w:color="auto" w:fill="FFFFFF" w:themeFill="background1"/>
          </w:tcPr>
          <w:p w14:paraId="17836BC5" w14:textId="77777777" w:rsidR="001F03F4" w:rsidRPr="00590BAD" w:rsidRDefault="001F03F4"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2025</w:t>
            </w:r>
          </w:p>
        </w:tc>
        <w:tc>
          <w:tcPr>
            <w:tcW w:w="583" w:type="pct"/>
            <w:tcBorders>
              <w:top w:val="single" w:sz="4" w:space="0" w:color="002060"/>
              <w:bottom w:val="single" w:sz="4" w:space="0" w:color="002060"/>
            </w:tcBorders>
            <w:shd w:val="clear" w:color="auto" w:fill="FFFFFF" w:themeFill="background1"/>
          </w:tcPr>
          <w:p w14:paraId="27CA25FB" w14:textId="77777777" w:rsidR="001F03F4" w:rsidRPr="00590BAD" w:rsidRDefault="001F03F4"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2026</w:t>
            </w:r>
          </w:p>
        </w:tc>
      </w:tr>
      <w:tr w:rsidR="001F03F4" w:rsidRPr="00590BAD" w14:paraId="5CBF21E3" w14:textId="77777777" w:rsidTr="00E05893">
        <w:trPr>
          <w:trHeight w:val="253"/>
        </w:trPr>
        <w:tc>
          <w:tcPr>
            <w:tcW w:w="2043" w:type="pct"/>
            <w:shd w:val="clear" w:color="auto" w:fill="FFFFFF" w:themeFill="background1"/>
          </w:tcPr>
          <w:p w14:paraId="0D9F7C2D" w14:textId="77777777" w:rsidR="001F03F4" w:rsidRPr="00590BAD" w:rsidRDefault="001F03F4" w:rsidP="00E0589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ЈАВНИ ПРИХОДИ</w:t>
            </w:r>
          </w:p>
        </w:tc>
        <w:tc>
          <w:tcPr>
            <w:tcW w:w="605" w:type="pct"/>
            <w:tcBorders>
              <w:top w:val="single" w:sz="4" w:space="0" w:color="002060"/>
            </w:tcBorders>
            <w:shd w:val="clear" w:color="auto" w:fill="auto"/>
            <w:vAlign w:val="center"/>
          </w:tcPr>
          <w:p w14:paraId="3A6B9188"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43,8</w:t>
            </w:r>
          </w:p>
        </w:tc>
        <w:tc>
          <w:tcPr>
            <w:tcW w:w="606" w:type="pct"/>
            <w:tcBorders>
              <w:top w:val="single" w:sz="4" w:space="0" w:color="002060"/>
            </w:tcBorders>
            <w:shd w:val="clear" w:color="auto" w:fill="auto"/>
            <w:noWrap/>
            <w:vAlign w:val="center"/>
          </w:tcPr>
          <w:p w14:paraId="4BBAD750"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42,5</w:t>
            </w:r>
          </w:p>
        </w:tc>
        <w:tc>
          <w:tcPr>
            <w:tcW w:w="581" w:type="pct"/>
            <w:tcBorders>
              <w:top w:val="single" w:sz="4" w:space="0" w:color="002060"/>
            </w:tcBorders>
            <w:shd w:val="clear" w:color="auto" w:fill="auto"/>
            <w:noWrap/>
            <w:vAlign w:val="center"/>
          </w:tcPr>
          <w:p w14:paraId="59E2E7C9" w14:textId="3F7DABA5" w:rsidR="001F03F4" w:rsidRPr="00590BAD" w:rsidRDefault="000979D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Pr>
                <w:rFonts w:asciiTheme="minorHAnsi" w:hAnsiTheme="minorHAnsi" w:cstheme="minorHAnsi"/>
                <w:color w:val="002060"/>
                <w:sz w:val="18"/>
                <w:szCs w:val="18"/>
                <w:lang w:val="sr-Cyrl-RS"/>
              </w:rPr>
              <w:t>42,6</w:t>
            </w:r>
          </w:p>
        </w:tc>
        <w:tc>
          <w:tcPr>
            <w:tcW w:w="582" w:type="pct"/>
            <w:tcBorders>
              <w:top w:val="single" w:sz="4" w:space="0" w:color="002060"/>
            </w:tcBorders>
            <w:shd w:val="clear" w:color="auto" w:fill="auto"/>
            <w:noWrap/>
            <w:vAlign w:val="center"/>
          </w:tcPr>
          <w:p w14:paraId="70E2EE0C" w14:textId="2C4669F2" w:rsidR="001F03F4" w:rsidRPr="00590BAD" w:rsidRDefault="000979D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Pr>
                <w:rFonts w:asciiTheme="minorHAnsi" w:hAnsiTheme="minorHAnsi" w:cstheme="minorHAnsi"/>
                <w:color w:val="002060"/>
                <w:sz w:val="18"/>
                <w:szCs w:val="18"/>
                <w:lang w:val="sr-Cyrl-RS"/>
              </w:rPr>
              <w:t>42,5</w:t>
            </w:r>
          </w:p>
        </w:tc>
        <w:tc>
          <w:tcPr>
            <w:tcW w:w="583" w:type="pct"/>
            <w:tcBorders>
              <w:top w:val="single" w:sz="4" w:space="0" w:color="002060"/>
            </w:tcBorders>
            <w:shd w:val="clear" w:color="auto" w:fill="auto"/>
            <w:noWrap/>
            <w:vAlign w:val="center"/>
          </w:tcPr>
          <w:p w14:paraId="4CD32F01" w14:textId="4143CEBA" w:rsidR="001F03F4" w:rsidRPr="00590BAD" w:rsidRDefault="000979D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Pr>
                <w:rFonts w:asciiTheme="minorHAnsi" w:hAnsiTheme="minorHAnsi" w:cstheme="minorHAnsi"/>
                <w:color w:val="002060"/>
                <w:sz w:val="18"/>
                <w:szCs w:val="18"/>
                <w:lang w:val="sr-Cyrl-RS"/>
              </w:rPr>
              <w:t>42,3</w:t>
            </w:r>
          </w:p>
        </w:tc>
      </w:tr>
      <w:tr w:rsidR="001F03F4" w:rsidRPr="00590BAD" w14:paraId="528A3199"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2B83EA37" w14:textId="77777777" w:rsidR="001F03F4" w:rsidRPr="00590BAD" w:rsidRDefault="001F03F4" w:rsidP="00E0589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Текући приходи</w:t>
            </w:r>
          </w:p>
        </w:tc>
        <w:tc>
          <w:tcPr>
            <w:tcW w:w="605" w:type="pct"/>
            <w:shd w:val="clear" w:color="auto" w:fill="FFFFFF" w:themeFill="background1"/>
          </w:tcPr>
          <w:p w14:paraId="7EBD1745"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43,5</w:t>
            </w:r>
          </w:p>
        </w:tc>
        <w:tc>
          <w:tcPr>
            <w:tcW w:w="606" w:type="pct"/>
            <w:shd w:val="clear" w:color="auto" w:fill="FFFFFF" w:themeFill="background1"/>
            <w:noWrap/>
          </w:tcPr>
          <w:p w14:paraId="3732A35C" w14:textId="77777777" w:rsidR="001F03F4" w:rsidRPr="00590BAD" w:rsidRDefault="001F03F4" w:rsidP="00D73C9A">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41,9</w:t>
            </w:r>
          </w:p>
        </w:tc>
        <w:tc>
          <w:tcPr>
            <w:tcW w:w="581" w:type="pct"/>
            <w:shd w:val="clear" w:color="auto" w:fill="FFFFFF" w:themeFill="background1"/>
            <w:noWrap/>
          </w:tcPr>
          <w:p w14:paraId="2CB1CC7A"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42,1</w:t>
            </w:r>
          </w:p>
        </w:tc>
        <w:tc>
          <w:tcPr>
            <w:tcW w:w="582" w:type="pct"/>
            <w:shd w:val="clear" w:color="auto" w:fill="FFFFFF" w:themeFill="background1"/>
            <w:noWrap/>
          </w:tcPr>
          <w:p w14:paraId="3BFE25CF" w14:textId="77777777" w:rsidR="001F03F4" w:rsidRPr="00590BAD" w:rsidRDefault="001F03F4" w:rsidP="00D73C9A">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42,1</w:t>
            </w:r>
          </w:p>
        </w:tc>
        <w:tc>
          <w:tcPr>
            <w:tcW w:w="583" w:type="pct"/>
            <w:shd w:val="clear" w:color="auto" w:fill="FFFFFF" w:themeFill="background1"/>
            <w:noWrap/>
          </w:tcPr>
          <w:p w14:paraId="1FFD4699"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41,9</w:t>
            </w:r>
          </w:p>
        </w:tc>
      </w:tr>
      <w:tr w:rsidR="001F03F4" w:rsidRPr="00590BAD" w14:paraId="53A37030" w14:textId="77777777" w:rsidTr="00E05893">
        <w:trPr>
          <w:trHeight w:val="253"/>
        </w:trPr>
        <w:tc>
          <w:tcPr>
            <w:tcW w:w="2043" w:type="pct"/>
            <w:shd w:val="clear" w:color="auto" w:fill="FFFFFF" w:themeFill="background1"/>
          </w:tcPr>
          <w:p w14:paraId="1A9DA881" w14:textId="77777777" w:rsidR="001F03F4" w:rsidRPr="00590BAD" w:rsidRDefault="001F03F4" w:rsidP="00E0589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 xml:space="preserve"> Порески приходи</w:t>
            </w:r>
          </w:p>
        </w:tc>
        <w:tc>
          <w:tcPr>
            <w:tcW w:w="605" w:type="pct"/>
            <w:shd w:val="clear" w:color="auto" w:fill="FFFFFF" w:themeFill="background1"/>
          </w:tcPr>
          <w:p w14:paraId="2D562240"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38,9</w:t>
            </w:r>
          </w:p>
        </w:tc>
        <w:tc>
          <w:tcPr>
            <w:tcW w:w="606" w:type="pct"/>
            <w:shd w:val="clear" w:color="auto" w:fill="FFFFFF" w:themeFill="background1"/>
            <w:noWrap/>
          </w:tcPr>
          <w:p w14:paraId="5C6CAC5E"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37,6</w:t>
            </w:r>
          </w:p>
        </w:tc>
        <w:tc>
          <w:tcPr>
            <w:tcW w:w="581" w:type="pct"/>
            <w:shd w:val="clear" w:color="auto" w:fill="FFFFFF" w:themeFill="background1"/>
            <w:noWrap/>
          </w:tcPr>
          <w:p w14:paraId="501D780D"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38,0</w:t>
            </w:r>
          </w:p>
        </w:tc>
        <w:tc>
          <w:tcPr>
            <w:tcW w:w="582" w:type="pct"/>
            <w:shd w:val="clear" w:color="auto" w:fill="FFFFFF" w:themeFill="background1"/>
            <w:noWrap/>
          </w:tcPr>
          <w:p w14:paraId="159365C3"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38,0</w:t>
            </w:r>
          </w:p>
        </w:tc>
        <w:tc>
          <w:tcPr>
            <w:tcW w:w="583" w:type="pct"/>
            <w:shd w:val="clear" w:color="auto" w:fill="FFFFFF" w:themeFill="background1"/>
            <w:noWrap/>
          </w:tcPr>
          <w:p w14:paraId="52B3B7EA"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38,0</w:t>
            </w:r>
          </w:p>
        </w:tc>
      </w:tr>
      <w:tr w:rsidR="001F03F4" w:rsidRPr="00590BAD" w14:paraId="46B8B698"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4013B5A8" w14:textId="77777777" w:rsidR="001F03F4" w:rsidRPr="00590BAD" w:rsidRDefault="001F03F4" w:rsidP="00E0589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Порез на доходак грађана</w:t>
            </w:r>
          </w:p>
        </w:tc>
        <w:tc>
          <w:tcPr>
            <w:tcW w:w="605" w:type="pct"/>
            <w:shd w:val="clear" w:color="auto" w:fill="FFFFFF" w:themeFill="background1"/>
          </w:tcPr>
          <w:p w14:paraId="4F2CCE2A"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4,3</w:t>
            </w:r>
          </w:p>
        </w:tc>
        <w:tc>
          <w:tcPr>
            <w:tcW w:w="606" w:type="pct"/>
            <w:shd w:val="clear" w:color="auto" w:fill="FFFFFF" w:themeFill="background1"/>
            <w:noWrap/>
          </w:tcPr>
          <w:p w14:paraId="04EDFCD3"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4,2</w:t>
            </w:r>
          </w:p>
        </w:tc>
        <w:tc>
          <w:tcPr>
            <w:tcW w:w="581" w:type="pct"/>
            <w:shd w:val="clear" w:color="auto" w:fill="FFFFFF" w:themeFill="background1"/>
            <w:noWrap/>
          </w:tcPr>
          <w:p w14:paraId="3908DCC8"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4,3</w:t>
            </w:r>
          </w:p>
        </w:tc>
        <w:tc>
          <w:tcPr>
            <w:tcW w:w="582" w:type="pct"/>
            <w:shd w:val="clear" w:color="auto" w:fill="FFFFFF" w:themeFill="background1"/>
            <w:noWrap/>
          </w:tcPr>
          <w:p w14:paraId="240AABFD"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4,4</w:t>
            </w:r>
          </w:p>
        </w:tc>
        <w:tc>
          <w:tcPr>
            <w:tcW w:w="583" w:type="pct"/>
            <w:shd w:val="clear" w:color="auto" w:fill="FFFFFF" w:themeFill="background1"/>
            <w:noWrap/>
          </w:tcPr>
          <w:p w14:paraId="4874DFC0"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4,5</w:t>
            </w:r>
          </w:p>
        </w:tc>
      </w:tr>
      <w:tr w:rsidR="001F03F4" w:rsidRPr="00590BAD" w14:paraId="56AE315A" w14:textId="77777777" w:rsidTr="00E05893">
        <w:trPr>
          <w:trHeight w:val="253"/>
        </w:trPr>
        <w:tc>
          <w:tcPr>
            <w:tcW w:w="2043" w:type="pct"/>
            <w:shd w:val="clear" w:color="auto" w:fill="FFFFFF" w:themeFill="background1"/>
          </w:tcPr>
          <w:p w14:paraId="3741CA00" w14:textId="77777777" w:rsidR="001F03F4" w:rsidRPr="00590BAD" w:rsidRDefault="001F03F4" w:rsidP="00E0589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Порез на добит правних лица</w:t>
            </w:r>
          </w:p>
        </w:tc>
        <w:tc>
          <w:tcPr>
            <w:tcW w:w="605" w:type="pct"/>
            <w:shd w:val="clear" w:color="auto" w:fill="FFFFFF" w:themeFill="background1"/>
          </w:tcPr>
          <w:p w14:paraId="71EF213D"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3,0</w:t>
            </w:r>
          </w:p>
        </w:tc>
        <w:tc>
          <w:tcPr>
            <w:tcW w:w="606" w:type="pct"/>
            <w:shd w:val="clear" w:color="auto" w:fill="FFFFFF" w:themeFill="background1"/>
            <w:noWrap/>
          </w:tcPr>
          <w:p w14:paraId="7DDB06AF"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3,4</w:t>
            </w:r>
          </w:p>
        </w:tc>
        <w:tc>
          <w:tcPr>
            <w:tcW w:w="581" w:type="pct"/>
            <w:shd w:val="clear" w:color="auto" w:fill="FFFFFF" w:themeFill="background1"/>
            <w:noWrap/>
          </w:tcPr>
          <w:p w14:paraId="569C6C92"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2,9</w:t>
            </w:r>
          </w:p>
        </w:tc>
        <w:tc>
          <w:tcPr>
            <w:tcW w:w="582" w:type="pct"/>
            <w:shd w:val="clear" w:color="auto" w:fill="FFFFFF" w:themeFill="background1"/>
            <w:noWrap/>
          </w:tcPr>
          <w:p w14:paraId="49FE06C3"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2,9</w:t>
            </w:r>
          </w:p>
        </w:tc>
        <w:tc>
          <w:tcPr>
            <w:tcW w:w="583" w:type="pct"/>
            <w:shd w:val="clear" w:color="auto" w:fill="FFFFFF" w:themeFill="background1"/>
            <w:noWrap/>
          </w:tcPr>
          <w:p w14:paraId="31564BFF"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2,8</w:t>
            </w:r>
          </w:p>
        </w:tc>
      </w:tr>
      <w:tr w:rsidR="001F03F4" w:rsidRPr="00590BAD" w14:paraId="2FC6A4B2"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73A840FA" w14:textId="77777777" w:rsidR="001F03F4" w:rsidRPr="00590BAD" w:rsidRDefault="001F03F4" w:rsidP="00E0589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ПДВ</w:t>
            </w:r>
          </w:p>
        </w:tc>
        <w:tc>
          <w:tcPr>
            <w:tcW w:w="605" w:type="pct"/>
            <w:shd w:val="clear" w:color="auto" w:fill="FFFFFF" w:themeFill="background1"/>
          </w:tcPr>
          <w:p w14:paraId="18D1BD9E"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11,0</w:t>
            </w:r>
          </w:p>
        </w:tc>
        <w:tc>
          <w:tcPr>
            <w:tcW w:w="606" w:type="pct"/>
            <w:shd w:val="clear" w:color="auto" w:fill="FFFFFF" w:themeFill="background1"/>
            <w:noWrap/>
          </w:tcPr>
          <w:p w14:paraId="4164278C"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10,2</w:t>
            </w:r>
          </w:p>
        </w:tc>
        <w:tc>
          <w:tcPr>
            <w:tcW w:w="581" w:type="pct"/>
            <w:shd w:val="clear" w:color="auto" w:fill="FFFFFF" w:themeFill="background1"/>
            <w:noWrap/>
          </w:tcPr>
          <w:p w14:paraId="3A4DF4D6"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10,3</w:t>
            </w:r>
          </w:p>
        </w:tc>
        <w:tc>
          <w:tcPr>
            <w:tcW w:w="582" w:type="pct"/>
            <w:shd w:val="clear" w:color="auto" w:fill="FFFFFF" w:themeFill="background1"/>
            <w:noWrap/>
          </w:tcPr>
          <w:p w14:paraId="5BB67A73"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10,4</w:t>
            </w:r>
          </w:p>
        </w:tc>
        <w:tc>
          <w:tcPr>
            <w:tcW w:w="583" w:type="pct"/>
            <w:shd w:val="clear" w:color="auto" w:fill="FFFFFF" w:themeFill="background1"/>
            <w:noWrap/>
          </w:tcPr>
          <w:p w14:paraId="02847D46"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10,3</w:t>
            </w:r>
          </w:p>
        </w:tc>
      </w:tr>
      <w:tr w:rsidR="001F03F4" w:rsidRPr="00590BAD" w14:paraId="362FC683" w14:textId="77777777" w:rsidTr="00E05893">
        <w:trPr>
          <w:trHeight w:val="253"/>
        </w:trPr>
        <w:tc>
          <w:tcPr>
            <w:tcW w:w="2043" w:type="pct"/>
            <w:shd w:val="clear" w:color="auto" w:fill="FFFFFF" w:themeFill="background1"/>
          </w:tcPr>
          <w:p w14:paraId="72A91854" w14:textId="77777777" w:rsidR="001F03F4" w:rsidRPr="00590BAD" w:rsidRDefault="001F03F4" w:rsidP="00E0589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Акцизе</w:t>
            </w:r>
          </w:p>
        </w:tc>
        <w:tc>
          <w:tcPr>
            <w:tcW w:w="605" w:type="pct"/>
            <w:shd w:val="clear" w:color="auto" w:fill="FFFFFF" w:themeFill="background1"/>
          </w:tcPr>
          <w:p w14:paraId="5C17534A"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4,8</w:t>
            </w:r>
          </w:p>
        </w:tc>
        <w:tc>
          <w:tcPr>
            <w:tcW w:w="606" w:type="pct"/>
            <w:shd w:val="clear" w:color="auto" w:fill="FFFFFF" w:themeFill="background1"/>
            <w:noWrap/>
          </w:tcPr>
          <w:p w14:paraId="05E312A1"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4,5</w:t>
            </w:r>
          </w:p>
        </w:tc>
        <w:tc>
          <w:tcPr>
            <w:tcW w:w="581" w:type="pct"/>
            <w:shd w:val="clear" w:color="auto" w:fill="FFFFFF" w:themeFill="background1"/>
            <w:noWrap/>
          </w:tcPr>
          <w:p w14:paraId="734E6EAC"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4,5</w:t>
            </w:r>
          </w:p>
        </w:tc>
        <w:tc>
          <w:tcPr>
            <w:tcW w:w="582" w:type="pct"/>
            <w:shd w:val="clear" w:color="auto" w:fill="FFFFFF" w:themeFill="background1"/>
            <w:noWrap/>
          </w:tcPr>
          <w:p w14:paraId="22F8A191"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4,3</w:t>
            </w:r>
          </w:p>
        </w:tc>
        <w:tc>
          <w:tcPr>
            <w:tcW w:w="583" w:type="pct"/>
            <w:shd w:val="clear" w:color="auto" w:fill="FFFFFF" w:themeFill="background1"/>
            <w:noWrap/>
          </w:tcPr>
          <w:p w14:paraId="375AEC80"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4,1</w:t>
            </w:r>
          </w:p>
        </w:tc>
      </w:tr>
      <w:tr w:rsidR="001F03F4" w:rsidRPr="00590BAD" w14:paraId="24B8B851"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61DF6B86" w14:textId="77777777" w:rsidR="001F03F4" w:rsidRPr="00590BAD" w:rsidRDefault="001F03F4" w:rsidP="00E0589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Царине</w:t>
            </w:r>
          </w:p>
        </w:tc>
        <w:tc>
          <w:tcPr>
            <w:tcW w:w="605" w:type="pct"/>
            <w:shd w:val="clear" w:color="auto" w:fill="FFFFFF" w:themeFill="background1"/>
          </w:tcPr>
          <w:p w14:paraId="532CEF03"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1,1</w:t>
            </w:r>
          </w:p>
        </w:tc>
        <w:tc>
          <w:tcPr>
            <w:tcW w:w="606" w:type="pct"/>
            <w:shd w:val="clear" w:color="auto" w:fill="FFFFFF" w:themeFill="background1"/>
            <w:noWrap/>
          </w:tcPr>
          <w:p w14:paraId="7DDA1F2D"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1,0</w:t>
            </w:r>
          </w:p>
        </w:tc>
        <w:tc>
          <w:tcPr>
            <w:tcW w:w="581" w:type="pct"/>
            <w:shd w:val="clear" w:color="auto" w:fill="FFFFFF" w:themeFill="background1"/>
            <w:noWrap/>
          </w:tcPr>
          <w:p w14:paraId="33EB006D"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1,0</w:t>
            </w:r>
          </w:p>
        </w:tc>
        <w:tc>
          <w:tcPr>
            <w:tcW w:w="582" w:type="pct"/>
            <w:shd w:val="clear" w:color="auto" w:fill="FFFFFF" w:themeFill="background1"/>
            <w:noWrap/>
          </w:tcPr>
          <w:p w14:paraId="597C31D5"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1,0</w:t>
            </w:r>
          </w:p>
        </w:tc>
        <w:tc>
          <w:tcPr>
            <w:tcW w:w="583" w:type="pct"/>
            <w:shd w:val="clear" w:color="auto" w:fill="FFFFFF" w:themeFill="background1"/>
            <w:noWrap/>
          </w:tcPr>
          <w:p w14:paraId="0C90A939"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1,1</w:t>
            </w:r>
          </w:p>
        </w:tc>
      </w:tr>
      <w:tr w:rsidR="001F03F4" w:rsidRPr="00590BAD" w14:paraId="25358D94" w14:textId="77777777" w:rsidTr="00E05893">
        <w:trPr>
          <w:trHeight w:val="253"/>
        </w:trPr>
        <w:tc>
          <w:tcPr>
            <w:tcW w:w="2043" w:type="pct"/>
            <w:shd w:val="clear" w:color="auto" w:fill="FFFFFF" w:themeFill="background1"/>
          </w:tcPr>
          <w:p w14:paraId="5D83AF46" w14:textId="77777777" w:rsidR="001F03F4" w:rsidRPr="00590BAD" w:rsidRDefault="001F03F4" w:rsidP="00E0589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Остали порески приходи</w:t>
            </w:r>
          </w:p>
        </w:tc>
        <w:tc>
          <w:tcPr>
            <w:tcW w:w="605" w:type="pct"/>
            <w:shd w:val="clear" w:color="auto" w:fill="FFFFFF" w:themeFill="background1"/>
          </w:tcPr>
          <w:p w14:paraId="1FE804F2"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1,4</w:t>
            </w:r>
          </w:p>
        </w:tc>
        <w:tc>
          <w:tcPr>
            <w:tcW w:w="606" w:type="pct"/>
            <w:shd w:val="clear" w:color="auto" w:fill="FFFFFF" w:themeFill="background1"/>
            <w:noWrap/>
          </w:tcPr>
          <w:p w14:paraId="23127CB3"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1,3</w:t>
            </w:r>
          </w:p>
        </w:tc>
        <w:tc>
          <w:tcPr>
            <w:tcW w:w="581" w:type="pct"/>
            <w:shd w:val="clear" w:color="auto" w:fill="FFFFFF" w:themeFill="background1"/>
            <w:noWrap/>
          </w:tcPr>
          <w:p w14:paraId="1746AF21"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1,3</w:t>
            </w:r>
          </w:p>
        </w:tc>
        <w:tc>
          <w:tcPr>
            <w:tcW w:w="582" w:type="pct"/>
            <w:shd w:val="clear" w:color="auto" w:fill="FFFFFF" w:themeFill="background1"/>
            <w:noWrap/>
          </w:tcPr>
          <w:p w14:paraId="0DB93F23"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1,3</w:t>
            </w:r>
          </w:p>
        </w:tc>
        <w:tc>
          <w:tcPr>
            <w:tcW w:w="583" w:type="pct"/>
            <w:shd w:val="clear" w:color="auto" w:fill="FFFFFF" w:themeFill="background1"/>
            <w:noWrap/>
          </w:tcPr>
          <w:p w14:paraId="16B7D365"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1,2</w:t>
            </w:r>
          </w:p>
        </w:tc>
      </w:tr>
      <w:tr w:rsidR="001F03F4" w:rsidRPr="00590BAD" w14:paraId="17DF84F7"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12852FF9" w14:textId="77777777" w:rsidR="001F03F4" w:rsidRPr="00590BAD" w:rsidRDefault="001F03F4" w:rsidP="00E0589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Доприноси</w:t>
            </w:r>
          </w:p>
        </w:tc>
        <w:tc>
          <w:tcPr>
            <w:tcW w:w="605" w:type="pct"/>
            <w:shd w:val="clear" w:color="auto" w:fill="FFFFFF" w:themeFill="background1"/>
          </w:tcPr>
          <w:p w14:paraId="1A8E28B2"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13,4</w:t>
            </w:r>
          </w:p>
        </w:tc>
        <w:tc>
          <w:tcPr>
            <w:tcW w:w="606" w:type="pct"/>
            <w:shd w:val="clear" w:color="auto" w:fill="FFFFFF" w:themeFill="background1"/>
            <w:noWrap/>
          </w:tcPr>
          <w:p w14:paraId="5ABBE1D8"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13,0</w:t>
            </w:r>
          </w:p>
        </w:tc>
        <w:tc>
          <w:tcPr>
            <w:tcW w:w="581" w:type="pct"/>
            <w:shd w:val="clear" w:color="auto" w:fill="FFFFFF" w:themeFill="background1"/>
            <w:noWrap/>
          </w:tcPr>
          <w:p w14:paraId="74D4099C"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13,6</w:t>
            </w:r>
          </w:p>
        </w:tc>
        <w:tc>
          <w:tcPr>
            <w:tcW w:w="582" w:type="pct"/>
            <w:shd w:val="clear" w:color="auto" w:fill="FFFFFF" w:themeFill="background1"/>
            <w:noWrap/>
          </w:tcPr>
          <w:p w14:paraId="0581A654"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13,8</w:t>
            </w:r>
          </w:p>
        </w:tc>
        <w:tc>
          <w:tcPr>
            <w:tcW w:w="583" w:type="pct"/>
            <w:shd w:val="clear" w:color="auto" w:fill="FFFFFF" w:themeFill="background1"/>
            <w:noWrap/>
          </w:tcPr>
          <w:p w14:paraId="59D69358"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14,1</w:t>
            </w:r>
          </w:p>
        </w:tc>
      </w:tr>
      <w:tr w:rsidR="001F03F4" w:rsidRPr="00590BAD" w14:paraId="3E4EB271" w14:textId="77777777" w:rsidTr="00E05893">
        <w:trPr>
          <w:trHeight w:val="253"/>
        </w:trPr>
        <w:tc>
          <w:tcPr>
            <w:tcW w:w="2043" w:type="pct"/>
            <w:shd w:val="clear" w:color="auto" w:fill="FFFFFF" w:themeFill="background1"/>
          </w:tcPr>
          <w:p w14:paraId="74FCC414" w14:textId="77777777" w:rsidR="001F03F4" w:rsidRPr="00590BAD" w:rsidRDefault="001F03F4" w:rsidP="00E0589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 xml:space="preserve"> Непорески приходи</w:t>
            </w:r>
          </w:p>
        </w:tc>
        <w:tc>
          <w:tcPr>
            <w:tcW w:w="605" w:type="pct"/>
            <w:shd w:val="clear" w:color="auto" w:fill="FFFFFF" w:themeFill="background1"/>
          </w:tcPr>
          <w:p w14:paraId="1FFB36FE"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4,6</w:t>
            </w:r>
          </w:p>
        </w:tc>
        <w:tc>
          <w:tcPr>
            <w:tcW w:w="606" w:type="pct"/>
            <w:shd w:val="clear" w:color="auto" w:fill="FFFFFF" w:themeFill="background1"/>
            <w:noWrap/>
          </w:tcPr>
          <w:p w14:paraId="03796E57"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4,3</w:t>
            </w:r>
          </w:p>
        </w:tc>
        <w:tc>
          <w:tcPr>
            <w:tcW w:w="581" w:type="pct"/>
            <w:shd w:val="clear" w:color="auto" w:fill="FFFFFF" w:themeFill="background1"/>
            <w:noWrap/>
          </w:tcPr>
          <w:p w14:paraId="648ABEB1"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4,2</w:t>
            </w:r>
          </w:p>
        </w:tc>
        <w:tc>
          <w:tcPr>
            <w:tcW w:w="582" w:type="pct"/>
            <w:shd w:val="clear" w:color="auto" w:fill="FFFFFF" w:themeFill="background1"/>
            <w:noWrap/>
          </w:tcPr>
          <w:p w14:paraId="39C28A42"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4,0</w:t>
            </w:r>
          </w:p>
        </w:tc>
        <w:tc>
          <w:tcPr>
            <w:tcW w:w="583" w:type="pct"/>
            <w:shd w:val="clear" w:color="auto" w:fill="FFFFFF" w:themeFill="background1"/>
            <w:noWrap/>
          </w:tcPr>
          <w:p w14:paraId="773EC669"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3,8</w:t>
            </w:r>
          </w:p>
        </w:tc>
      </w:tr>
      <w:tr w:rsidR="001F03F4" w:rsidRPr="00590BAD" w14:paraId="5D69004B"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043" w:type="pct"/>
            <w:tcBorders>
              <w:bottom w:val="single" w:sz="4" w:space="0" w:color="002060"/>
            </w:tcBorders>
            <w:shd w:val="clear" w:color="auto" w:fill="FFFFFF" w:themeFill="background1"/>
          </w:tcPr>
          <w:p w14:paraId="6C205C1C" w14:textId="77777777" w:rsidR="001F03F4" w:rsidRPr="00590BAD" w:rsidRDefault="001F03F4" w:rsidP="00E0589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Донације</w:t>
            </w:r>
          </w:p>
        </w:tc>
        <w:tc>
          <w:tcPr>
            <w:tcW w:w="605" w:type="pct"/>
            <w:tcBorders>
              <w:bottom w:val="single" w:sz="4" w:space="0" w:color="002060"/>
            </w:tcBorders>
            <w:shd w:val="clear" w:color="auto" w:fill="FFFFFF" w:themeFill="background1"/>
          </w:tcPr>
          <w:p w14:paraId="307A8DD1"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0,2</w:t>
            </w:r>
          </w:p>
        </w:tc>
        <w:tc>
          <w:tcPr>
            <w:tcW w:w="606" w:type="pct"/>
            <w:tcBorders>
              <w:bottom w:val="single" w:sz="4" w:space="0" w:color="002060"/>
            </w:tcBorders>
            <w:shd w:val="clear" w:color="auto" w:fill="FFFFFF" w:themeFill="background1"/>
            <w:noWrap/>
          </w:tcPr>
          <w:p w14:paraId="689F5747"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0,6</w:t>
            </w:r>
          </w:p>
        </w:tc>
        <w:tc>
          <w:tcPr>
            <w:tcW w:w="581" w:type="pct"/>
            <w:tcBorders>
              <w:bottom w:val="single" w:sz="4" w:space="0" w:color="002060"/>
            </w:tcBorders>
            <w:shd w:val="clear" w:color="auto" w:fill="FFFFFF" w:themeFill="background1"/>
            <w:noWrap/>
          </w:tcPr>
          <w:p w14:paraId="43E41C27"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0,4</w:t>
            </w:r>
          </w:p>
        </w:tc>
        <w:tc>
          <w:tcPr>
            <w:tcW w:w="582" w:type="pct"/>
            <w:tcBorders>
              <w:bottom w:val="single" w:sz="4" w:space="0" w:color="002060"/>
            </w:tcBorders>
            <w:shd w:val="clear" w:color="auto" w:fill="FFFFFF" w:themeFill="background1"/>
            <w:noWrap/>
          </w:tcPr>
          <w:p w14:paraId="2118EA73"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0,4</w:t>
            </w:r>
          </w:p>
        </w:tc>
        <w:tc>
          <w:tcPr>
            <w:tcW w:w="583" w:type="pct"/>
            <w:tcBorders>
              <w:bottom w:val="single" w:sz="4" w:space="0" w:color="002060"/>
            </w:tcBorders>
            <w:shd w:val="clear" w:color="auto" w:fill="FFFFFF" w:themeFill="background1"/>
            <w:noWrap/>
          </w:tcPr>
          <w:p w14:paraId="53E6EEEE"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0,4</w:t>
            </w:r>
          </w:p>
        </w:tc>
      </w:tr>
    </w:tbl>
    <w:p w14:paraId="203D234D" w14:textId="77777777" w:rsidR="001F03F4" w:rsidRPr="00590BAD" w:rsidRDefault="001F03F4" w:rsidP="00953528">
      <w:pPr>
        <w:spacing w:before="40" w:after="120" w:line="276" w:lineRule="auto"/>
        <w:jc w:val="left"/>
        <w:rPr>
          <w:rFonts w:cstheme="minorHAnsi"/>
          <w:sz w:val="16"/>
          <w:szCs w:val="20"/>
          <w:lang w:val="sr-Cyrl-RS"/>
        </w:rPr>
        <w:sectPr w:rsidR="001F03F4" w:rsidRPr="00590BAD" w:rsidSect="00E05893">
          <w:type w:val="continuous"/>
          <w:pgSz w:w="12240" w:h="15840" w:code="1"/>
          <w:pgMar w:top="1440" w:right="1440" w:bottom="1440" w:left="1440" w:header="720" w:footer="720" w:gutter="0"/>
          <w:cols w:space="720"/>
          <w:docGrid w:linePitch="360"/>
        </w:sectPr>
      </w:pPr>
      <w:r w:rsidRPr="00590BAD">
        <w:rPr>
          <w:rFonts w:eastAsia="Calibri" w:cstheme="minorHAnsi"/>
          <w:bCs/>
          <w:sz w:val="16"/>
          <w:szCs w:val="20"/>
          <w:lang w:val="sr-Cyrl-RS" w:eastAsia="ja-JP"/>
        </w:rPr>
        <w:t xml:space="preserve">Извор: </w:t>
      </w:r>
      <w:r w:rsidRPr="00590BAD">
        <w:rPr>
          <w:rFonts w:cstheme="minorHAnsi"/>
          <w:sz w:val="16"/>
          <w:szCs w:val="20"/>
          <w:lang w:val="sr-Cyrl-RS"/>
        </w:rPr>
        <w:t>Министарство финансија</w:t>
      </w:r>
    </w:p>
    <w:p w14:paraId="64800395"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Благо опадајући тренд прихода у смислу учешћа у БДП је очекиван с обзиром на пројектовану структуру средњорочног раста српске привреде. Наплата одложених обавеза из 2020. године је повећала ниво прихода изнад трендног у 2021. и 2022. години, али, такође, појачава ефекат пада учешћа прихода у БДП у 2023. години. Пројекција пореских прихода подразумева одржавање постојећег степена наплате.</w:t>
      </w:r>
    </w:p>
    <w:p w14:paraId="1E165754"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У 2024. години предвиђен је наставак политике смањења оптерећења пореза на зараде и доприноса. У 2023. години смањени су доприноси за пензијско и инвалидско осигурање на терет послодавца за 1 п.п</w:t>
      </w:r>
      <w:r>
        <w:rPr>
          <w:rFonts w:eastAsia="MS PGothic" w:cstheme="minorHAnsi"/>
          <w:szCs w:val="20"/>
          <w:lang w:val="sr-Cyrl-RS" w:eastAsia="ja-JP"/>
        </w:rPr>
        <w:t>.</w:t>
      </w:r>
      <w:r w:rsidRPr="00590BAD">
        <w:rPr>
          <w:rFonts w:eastAsia="MS PGothic" w:cstheme="minorHAnsi"/>
          <w:szCs w:val="20"/>
          <w:lang w:val="sr-Cyrl-RS" w:eastAsia="ja-JP"/>
        </w:rPr>
        <w:t xml:space="preserve"> и повећан је неопорезиви износ зараде на 21.712 РСД, а у 2024. години предвиђа се повећања неопрезивог дела зараде на 25.000 РСД. </w:t>
      </w:r>
      <w:r>
        <w:rPr>
          <w:rFonts w:eastAsia="MS PGothic" w:cstheme="minorHAnsi"/>
          <w:szCs w:val="20"/>
          <w:lang w:val="sr-Cyrl-RS" w:eastAsia="ja-JP"/>
        </w:rPr>
        <w:t>Ефекат ове мере је</w:t>
      </w:r>
      <w:r w:rsidRPr="00590BAD">
        <w:rPr>
          <w:rFonts w:eastAsia="MS PGothic" w:cstheme="minorHAnsi"/>
          <w:szCs w:val="20"/>
          <w:lang w:val="sr-Cyrl-RS" w:eastAsia="ja-JP"/>
        </w:rPr>
        <w:t xml:space="preserve"> пр</w:t>
      </w:r>
      <w:r>
        <w:rPr>
          <w:rFonts w:eastAsia="MS PGothic" w:cstheme="minorHAnsi"/>
          <w:szCs w:val="20"/>
          <w:lang w:val="sr-Cyrl-RS" w:eastAsia="ja-JP"/>
        </w:rPr>
        <w:t>о</w:t>
      </w:r>
      <w:r w:rsidRPr="00590BAD">
        <w:rPr>
          <w:rFonts w:eastAsia="MS PGothic" w:cstheme="minorHAnsi"/>
          <w:szCs w:val="20"/>
          <w:lang w:val="sr-Cyrl-RS" w:eastAsia="ja-JP"/>
        </w:rPr>
        <w:t>цењ</w:t>
      </w:r>
      <w:r>
        <w:rPr>
          <w:rFonts w:eastAsia="MS PGothic" w:cstheme="minorHAnsi"/>
          <w:szCs w:val="20"/>
          <w:lang w:val="sr-Cyrl-RS" w:eastAsia="ja-JP"/>
        </w:rPr>
        <w:t>е</w:t>
      </w:r>
      <w:r w:rsidRPr="00590BAD">
        <w:rPr>
          <w:rFonts w:eastAsia="MS PGothic" w:cstheme="minorHAnsi"/>
          <w:szCs w:val="20"/>
          <w:lang w:val="sr-Cyrl-RS" w:eastAsia="ja-JP"/>
        </w:rPr>
        <w:t xml:space="preserve">н на око </w:t>
      </w:r>
      <w:r w:rsidRPr="00590BAD">
        <w:rPr>
          <w:rFonts w:eastAsia="MS PGothic" w:cstheme="minorHAnsi"/>
          <w:szCs w:val="20"/>
          <w:lang w:val="sr-Cyrl-RS" w:eastAsia="ja-JP"/>
        </w:rPr>
        <w:t>14 млрд динара, од чега је око 10 млрд ефекат смањења прих</w:t>
      </w:r>
      <w:r>
        <w:rPr>
          <w:rFonts w:eastAsia="MS PGothic" w:cstheme="minorHAnsi"/>
          <w:szCs w:val="20"/>
          <w:lang w:val="sr-Cyrl-RS" w:eastAsia="ja-JP"/>
        </w:rPr>
        <w:t>ода по основу пореза на зараде.</w:t>
      </w:r>
    </w:p>
    <w:p w14:paraId="5A20F014"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Преовлађујући облик пореза на доходак је порез на зараде, тако да су кретање масе зарада и запослености главни фактори који утичу на кретање овог пореског облика. С обзиром да се очекује бржи раст ове две компоненте од номиналног раста БДП очекује се благи раст учешћа пореза на доходак у БДП. Виши ниво ових прихода у 2022. години (као и у 2021. години) резултат је наплате дела одложеног пореза на зараде из 2020. године у склопу пакета мера у борби против пандемије.</w:t>
      </w:r>
    </w:p>
    <w:p w14:paraId="3CA722CE"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Остали облици пореза на доходак (порез на дивиденде, порез на приходе од камата, годишњи порез на доходак, итд.) ће расти спорије, то јест у складу са кретањем опште економске активности.</w:t>
      </w:r>
    </w:p>
    <w:p w14:paraId="72EF161E"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lastRenderedPageBreak/>
        <w:t>Код пореза на зараде кључна је борба против сиве економије, с обзиром на знатан број непријављених радника и исплате зарада „на руке”. У последњим годинама интензивиране су контроле и појачане санкције што је дало резултате у сузбијању сиве економије у области рада и запошљавања, али је значајно да се на овом пољу настави са континуираним ангажманом и у наредном периоду.</w:t>
      </w:r>
    </w:p>
    <w:p w14:paraId="59308292"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Кретање учешћа доприноса у БДП има сличну путању као и кретање учешћа пореза на зараде, с обзиром да су за њихову пројекцију коришћене исте претпоставке о кретању зарада и запослености. Након смањења у 2023. години, у односу на период 2021–2022. година у коме су наплаћиване заостале обавезе по основу одложених доприноса из 2020. године, предвиђа се раст нивоа доприноса у односу на БДП. У пројекције је урачунат негативан ефекат повећања неопорезивог цензуса на приходе од доприноса у 2024. години који износи око 4 млрд динара.</w:t>
      </w:r>
    </w:p>
    <w:p w14:paraId="350DF6AD"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Приходи од пореза на добит правних лица у периоду 2023–2026. године зависиће од путање привредног раста, релативне стабилности курса динара и опште профитабилности привреде. Процена прихода по овом основу је неизвесна како због економских фактора, тако и због могућности коришћења пореског кредита или повраћаја, као и разлика између рачуноводствених и пореских биланса. Раст профитабилности привреде у 2022. години допринео је значајном скоку пореза на добит у 2023. години с обзиром да се порез на добит по коначном обрачуну уплаћује у наредној години. Очекује се да се у периоду до 2026. године наплата пореза на добит стабилизује у складу са кретањем БДП.</w:t>
      </w:r>
    </w:p>
    <w:p w14:paraId="73BD2A4E"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Главна детерминанта кретања ПДВ је домаћа тражња вођена расположивим дохотком становништва. Расположиви доходак као највећа детерминанта потрошње зависи од кретања зарада, пензија, социјалне помоћи и осталих облика доходака, укључујући и дознаке, као и од динамике кредитне активности банака према становништву.</w:t>
      </w:r>
    </w:p>
    <w:p w14:paraId="3B0CDBE9"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 xml:space="preserve">Као и код пореза на доходак грађана, ризици за остварење пројекције ПДВ у наредном периоду, </w:t>
      </w:r>
      <w:r w:rsidRPr="00590BAD">
        <w:rPr>
          <w:rFonts w:eastAsia="MS PGothic" w:cstheme="minorHAnsi"/>
          <w:szCs w:val="20"/>
          <w:lang w:val="sr-Cyrl-RS" w:eastAsia="ja-JP"/>
        </w:rPr>
        <w:t>поред опште неизвесности међународног економског окружења, односе се и на кретање зарада у приватном сектору, раст привредне активности, као и на степен сиве економије, односно ефикасност у њеном смањењу.</w:t>
      </w:r>
    </w:p>
    <w:p w14:paraId="775D50EF"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Подизање ефикасности наплате и контроле пореских обвезника ће бити настављено у наредном периоду, с тим што ефекти борбе против сиве економије нису експлицитно укључени у средњорочну пројекцију јавних прихода. У овом сегменту простор за даља побољшања створиће се јачањем и модернизацијом пореске администрације.</w:t>
      </w:r>
    </w:p>
    <w:p w14:paraId="51F6D21D" w14:textId="77777777" w:rsidR="001F03F4" w:rsidRPr="00B67C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Пројекција прихода од акциза сачињена је на основу важеће акцизне политике и пројектоване потрошње акцизних производа</w:t>
      </w:r>
      <w:r w:rsidRPr="00B67CAD">
        <w:rPr>
          <w:rFonts w:eastAsia="MS PGothic" w:cstheme="minorHAnsi"/>
          <w:szCs w:val="20"/>
          <w:lang w:val="sr-Cyrl-RS" w:eastAsia="ja-JP"/>
        </w:rPr>
        <w:t>. Ванредно повећање акциза од 8% предвиђено је у октобру ове године, а у јануару ће бити примењено усклађивање са растом потрошачких цена, први пут након 2020. године.</w:t>
      </w:r>
    </w:p>
    <w:p w14:paraId="04E794F4" w14:textId="3932F808"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У претходном периоду од марта 2022. године до 30. априла 2023. године, Влада је због повећања произвођачких цена деривата нафте услед раста цене сирове нафте на светском тржишту, а у циљу очувања стабилности и стандарда грађана и неометаног снабдевања тржишта дериватима нафте, у више наврата вршила привремено смањење износа акцизе на деривате нафте (безоловни и оловни бензин и гасна уља – дизел гориво) тако што је последње важеће усклађене износе акцизе на наведене деривате нафте смањивала од 20% до 5%, у зависности од периода примене. Истовремено, током 2023. године акцизе нису индексиране растом потрошачких цена у 2022. години, а умањење акциза на деривате нафте важило је до 30. априла 2023. године. У наредним годинама, услед опрезности, није претпостављен раст потрошње нафтних деривата.</w:t>
      </w:r>
    </w:p>
    <w:p w14:paraId="434A1621"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У оквиру акцизне политике код дуванских производа очекује се даље постепено усклађивање са директивама ЕУ у складу са средњорочним планом поступног повећавања акцизног оптерећења. Код цигарета оно ће бити усмерено кроз постепено повећање акциза, како би се у прихватљивом временском року достигао ЕУ минимум од 1,8 евра по паклици</w:t>
      </w:r>
      <w:r w:rsidRPr="00590BAD">
        <w:rPr>
          <w:lang w:val="sr-Cyrl-RS"/>
        </w:rPr>
        <w:t xml:space="preserve"> </w:t>
      </w:r>
      <w:r w:rsidRPr="00590BAD">
        <w:rPr>
          <w:rFonts w:eastAsia="MS PGothic" w:cstheme="minorHAnsi"/>
          <w:szCs w:val="20"/>
          <w:lang w:val="sr-Cyrl-RS" w:eastAsia="ja-JP"/>
        </w:rPr>
        <w:t xml:space="preserve">у динарској </w:t>
      </w:r>
      <w:r w:rsidRPr="00590BAD">
        <w:rPr>
          <w:rFonts w:eastAsia="MS PGothic" w:cstheme="minorHAnsi"/>
          <w:szCs w:val="20"/>
          <w:lang w:val="sr-Cyrl-RS" w:eastAsia="ja-JP"/>
        </w:rPr>
        <w:lastRenderedPageBreak/>
        <w:t>противвредности прерачунато по званичном средњем курсу НБС. У наредном периоду је за потребе пројекције прихода од акциза, услед опрезности, предвиђен даљи очекивани пад тржишта дуванских производа.</w:t>
      </w:r>
    </w:p>
    <w:p w14:paraId="0C3FC064"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Приходи од акциза на алкохолна пића, кафу и електричну енергију су пројектовани у складу са постојећом структуром потрошње и актуелном акцизном политиком, а од 2025. године предвиђено је увођење акцизе на природни гас који се користи за грејање и погон моторних возила.</w:t>
      </w:r>
    </w:p>
    <w:p w14:paraId="04C46BFD"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Приходи од царина ће се стабилизовати на нивоу од око 1% БДП у наредном периоду. Приходи од царина пројектовани су на у складу са очекиваним кретањем увоза, девизног курса и потрошње.</w:t>
      </w:r>
    </w:p>
    <w:p w14:paraId="7E6F6A1A"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Пројектује се стабилизација учешћа у БДП осталих пореских прихода. Најзначајнији порески приход у овој категорији је порез на имовину чије учешће износи око 70%. Номинално повећање овог прихода може се очекивати по основу проширења основице. Повећање степена наплате, кроз повећање обухвата непокретности на које се порез плаћа (то јест по основу проширења пореске базе), није укључено у пројекције у средњем року и представља позитиван ризик. Поред пореза на имовину, у остале пореске приходе укључују се и порези на употребу, држање и ношење добара, те други облици пореза на локалном нивоу. Они су пројектовани у складу са кретањем инфлације, будући да је инфлаторна компонента уграђена у значајан део ових пореских облика.</w:t>
      </w:r>
    </w:p>
    <w:p w14:paraId="13465332"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 xml:space="preserve">Предвиђено је смањење учешћа непореских прихода у БДП, са 4,6% колико је приходовано у 2022. години на 3,8% колико се очекује да ће износити у 2026. години. Разлог за смањење пројектованог учешћа непореских прихода у БДП је искључивање из базне </w:t>
      </w:r>
      <w:r w:rsidRPr="00590BAD">
        <w:rPr>
          <w:rFonts w:eastAsia="MS PGothic" w:cstheme="minorHAnsi"/>
          <w:szCs w:val="20"/>
          <w:shd w:val="clear" w:color="auto" w:fill="FFFFFF" w:themeFill="background1"/>
          <w:lang w:val="sr-Cyrl-RS" w:eastAsia="ja-JP"/>
        </w:rPr>
        <w:t>2022.</w:t>
      </w:r>
      <w:r w:rsidRPr="00590BAD">
        <w:rPr>
          <w:rFonts w:eastAsia="MS PGothic" w:cstheme="minorHAnsi"/>
          <w:szCs w:val="20"/>
          <w:lang w:val="sr-Cyrl-RS" w:eastAsia="ja-JP"/>
        </w:rPr>
        <w:t xml:space="preserve"> године, као и из 2023. године, свих оних прихода који се не сматрају структурним тј. трајним, првенствено ванредних непореских прихода. Ванредни </w:t>
      </w:r>
      <w:r w:rsidRPr="00590BAD">
        <w:rPr>
          <w:rFonts w:eastAsia="MS PGothic" w:cstheme="minorHAnsi"/>
          <w:szCs w:val="20"/>
          <w:lang w:val="sr-Cyrl-RS" w:eastAsia="ja-JP"/>
        </w:rPr>
        <w:t>непорески приходи су углавном једнократни, у одређеној мери неизвесни, како по питању износа, тако и по питању тренутка уплате. Највећи део ових прихода представљају ванредне уплате добити јавних предузећа и агенција, дивиденде буџета, приходи по основу наплаћених потраживања АОД, емисионе премије, итд. Редовни непорески приходи обухватају различите таксе, накнаде, казне, приходе органа и организација и све остале приходе који се остварују устаљеном динамиком током године. Овај тип непореских прихода индексира се са оствареном инфлацијом у претходној години, или пак прати промену у вредности основице на коју се примењују, и услед тога се коригује пројектованом инфлацијом.</w:t>
      </w:r>
    </w:p>
    <w:p w14:paraId="0BF26070" w14:textId="77777777" w:rsidR="001F03F4" w:rsidRPr="00590BAD" w:rsidRDefault="001F03F4" w:rsidP="00D73C9A">
      <w:pPr>
        <w:spacing w:after="120"/>
        <w:rPr>
          <w:rFonts w:eastAsia="MS PGothic" w:cstheme="minorHAnsi"/>
          <w:szCs w:val="20"/>
          <w:lang w:val="sr-Cyrl-RS" w:eastAsia="ja-JP"/>
        </w:rPr>
      </w:pPr>
      <w:r w:rsidRPr="00590BAD">
        <w:rPr>
          <w:rFonts w:eastAsia="MS PGothic" w:cstheme="minorHAnsi"/>
          <w:szCs w:val="20"/>
          <w:lang w:val="sr-Cyrl-RS" w:eastAsia="ja-JP"/>
        </w:rPr>
        <w:t>Процесом приближавања државе чланству у ЕУ повећавају се расположива средства из ИПА и ИПАРД фондова која чине преовлађујући део прихода од донација. У пројектоване износе по основу донација укључена су и средства по основу секторске буџетске подршке ЕУ. У 2023. години, изузетно, укупан прилив донација по основу помоћи за ублажавање енергетске кризе од ЕУ износиће 18,4 млрд динара. Приходи по основу донација су неутрални у односу на резултат, с обзиром да су једнаки расходима по овом основу.</w:t>
      </w:r>
    </w:p>
    <w:p w14:paraId="45843E45" w14:textId="1F05B559" w:rsidR="001F03F4" w:rsidRPr="00590BAD" w:rsidRDefault="001F03F4" w:rsidP="00AC00F3">
      <w:pPr>
        <w:spacing w:after="120"/>
        <w:rPr>
          <w:rFonts w:eastAsia="MS PGothic" w:cstheme="minorHAnsi"/>
          <w:szCs w:val="20"/>
          <w:lang w:val="sr-Cyrl-RS" w:eastAsia="ja-JP"/>
        </w:rPr>
      </w:pPr>
      <w:r w:rsidRPr="00590BAD">
        <w:rPr>
          <w:rFonts w:eastAsia="MS PGothic" w:cstheme="minorHAnsi"/>
          <w:szCs w:val="20"/>
          <w:lang w:val="sr-Cyrl-RS" w:eastAsia="ja-JP"/>
        </w:rPr>
        <w:t xml:space="preserve">Одговорном фискалном политиком у комбинацији са добрим макроекономским перформансама у протеклом периоду обезбеђено је релаксирање политике плата и пензија и значајно повећање капиталних инвестиција као битне компоненте развоја привреде. Посебна пажња је посвећена унапређењу ефикасности реализације капиталних инвестиција државе. Социјална компонента буџета је побољшана бољим таргетирањем програма социјалне помоћи и већим издвајањем за функције здравства и образовања. Плате и пензије заједно чине преко </w:t>
      </w:r>
      <w:r w:rsidRPr="00590BAD">
        <w:rPr>
          <w:rFonts w:eastAsia="MS PGothic" w:cstheme="minorHAnsi"/>
          <w:szCs w:val="20"/>
          <w:shd w:val="clear" w:color="auto" w:fill="FFFFFF" w:themeFill="background1"/>
          <w:lang w:val="sr-Cyrl-RS" w:eastAsia="ja-JP"/>
        </w:rPr>
        <w:t>40%</w:t>
      </w:r>
      <w:r w:rsidRPr="00590BAD">
        <w:rPr>
          <w:rFonts w:eastAsia="MS PGothic" w:cstheme="minorHAnsi"/>
          <w:szCs w:val="20"/>
          <w:lang w:val="sr-Cyrl-RS" w:eastAsia="ja-JP"/>
        </w:rPr>
        <w:t xml:space="preserve"> расхода на нивоу сектора државе и њихова стабилизација је од пресудног значаја за одрживост јавних финансија</w:t>
      </w:r>
      <w:r w:rsidR="00AC00F3">
        <w:rPr>
          <w:rFonts w:eastAsia="MS PGothic" w:cstheme="minorHAnsi"/>
          <w:szCs w:val="20"/>
          <w:lang w:val="sr-Cyrl-RS" w:eastAsia="ja-JP"/>
        </w:rPr>
        <w:t>.</w:t>
      </w:r>
    </w:p>
    <w:p w14:paraId="7D55ABF6" w14:textId="77777777" w:rsidR="001F03F4" w:rsidRPr="00590BAD" w:rsidRDefault="001F03F4" w:rsidP="00D73C9A">
      <w:pPr>
        <w:spacing w:after="120"/>
        <w:rPr>
          <w:rFonts w:eastAsia="MS PGothic" w:cstheme="minorHAnsi"/>
          <w:szCs w:val="20"/>
          <w:lang w:val="sr-Cyrl-RS" w:eastAsia="ja-JP"/>
        </w:rPr>
        <w:sectPr w:rsidR="001F03F4" w:rsidRPr="00590BAD" w:rsidSect="00E05893">
          <w:type w:val="continuous"/>
          <w:pgSz w:w="12240" w:h="15840" w:code="1"/>
          <w:pgMar w:top="1440" w:right="1440" w:bottom="1440" w:left="1440" w:header="720" w:footer="720" w:gutter="0"/>
          <w:cols w:num="2" w:space="720"/>
          <w:docGrid w:linePitch="360"/>
        </w:sectPr>
      </w:pPr>
    </w:p>
    <w:p w14:paraId="5E83C219" w14:textId="77777777" w:rsidR="00AC00F3" w:rsidRDefault="00AC00F3" w:rsidP="00AC00F3">
      <w:pPr>
        <w:rPr>
          <w:lang w:val="sr-Cyrl-RS" w:eastAsia="ja-JP"/>
        </w:rPr>
      </w:pPr>
      <w:r>
        <w:rPr>
          <w:lang w:val="sr-Cyrl-RS" w:eastAsia="ja-JP"/>
        </w:rPr>
        <w:br w:type="page"/>
      </w:r>
    </w:p>
    <w:p w14:paraId="5AB306D5" w14:textId="43603FFE" w:rsidR="001F03F4" w:rsidRPr="00590BAD" w:rsidRDefault="001F03F4" w:rsidP="00D73C9A">
      <w:pPr>
        <w:keepNext/>
        <w:spacing w:after="120" w:line="276" w:lineRule="auto"/>
        <w:jc w:val="center"/>
        <w:rPr>
          <w:rFonts w:eastAsia="MS PGothic" w:cstheme="minorHAnsi"/>
          <w:b/>
          <w:color w:val="002060"/>
          <w:szCs w:val="20"/>
          <w:lang w:val="sr-Cyrl-RS" w:eastAsia="ja-JP"/>
        </w:rPr>
      </w:pPr>
      <w:r w:rsidRPr="00590BAD">
        <w:rPr>
          <w:rFonts w:eastAsia="MS PGothic" w:cstheme="minorHAnsi"/>
          <w:b/>
          <w:color w:val="002060"/>
          <w:szCs w:val="20"/>
          <w:lang w:val="sr-Cyrl-RS" w:eastAsia="ja-JP"/>
        </w:rPr>
        <w:lastRenderedPageBreak/>
        <w:t>Табела 10. Укупни расходи у периоду 2022–2026. године, % БДП</w:t>
      </w:r>
    </w:p>
    <w:tbl>
      <w:tblPr>
        <w:tblStyle w:val="LightShading-Accent1221"/>
        <w:tblW w:w="4952" w:type="pct"/>
        <w:tblLook w:val="0420" w:firstRow="1" w:lastRow="0" w:firstColumn="0" w:lastColumn="0" w:noHBand="0" w:noVBand="1"/>
      </w:tblPr>
      <w:tblGrid>
        <w:gridCol w:w="3647"/>
        <w:gridCol w:w="1194"/>
        <w:gridCol w:w="1194"/>
        <w:gridCol w:w="1077"/>
        <w:gridCol w:w="1077"/>
        <w:gridCol w:w="1081"/>
      </w:tblGrid>
      <w:tr w:rsidR="001F03F4" w:rsidRPr="00590BAD" w14:paraId="4283AE39" w14:textId="77777777" w:rsidTr="001940DA">
        <w:trPr>
          <w:cnfStyle w:val="100000000000" w:firstRow="1" w:lastRow="0" w:firstColumn="0" w:lastColumn="0" w:oddVBand="0" w:evenVBand="0" w:oddHBand="0" w:evenHBand="0" w:firstRowFirstColumn="0" w:firstRowLastColumn="0" w:lastRowFirstColumn="0" w:lastRowLastColumn="0"/>
          <w:trHeight w:val="49"/>
        </w:trPr>
        <w:tc>
          <w:tcPr>
            <w:tcW w:w="1967" w:type="pct"/>
            <w:tcBorders>
              <w:top w:val="single" w:sz="4" w:space="0" w:color="002060"/>
              <w:bottom w:val="single" w:sz="4" w:space="0" w:color="002060"/>
            </w:tcBorders>
            <w:noWrap/>
            <w:vAlign w:val="center"/>
          </w:tcPr>
          <w:p w14:paraId="211A0CFF" w14:textId="77777777" w:rsidR="001F03F4" w:rsidRPr="00590BAD" w:rsidRDefault="001F03F4" w:rsidP="00E05893">
            <w:pPr>
              <w:widowControl w:val="0"/>
              <w:shd w:val="clear" w:color="auto" w:fill="FFFFFF" w:themeFill="background1"/>
              <w:spacing w:line="276" w:lineRule="auto"/>
              <w:rPr>
                <w:rFonts w:asciiTheme="minorHAnsi" w:eastAsia="Times New Roman" w:hAnsiTheme="minorHAnsi" w:cstheme="minorHAnsi"/>
                <w:b w:val="0"/>
                <w:color w:val="002060"/>
                <w:sz w:val="18"/>
                <w:szCs w:val="18"/>
                <w:lang w:val="sr-Cyrl-RS"/>
              </w:rPr>
            </w:pPr>
            <w:r w:rsidRPr="00590BAD">
              <w:rPr>
                <w:rFonts w:asciiTheme="minorHAnsi" w:hAnsiTheme="minorHAnsi" w:cstheme="minorHAnsi"/>
                <w:b w:val="0"/>
                <w:color w:val="002060"/>
                <w:sz w:val="18"/>
                <w:lang w:val="sr-Cyrl-RS"/>
              </w:rPr>
              <w:t>Опис</w:t>
            </w:r>
          </w:p>
        </w:tc>
        <w:tc>
          <w:tcPr>
            <w:tcW w:w="644" w:type="pct"/>
            <w:tcBorders>
              <w:top w:val="single" w:sz="4" w:space="0" w:color="002060"/>
              <w:bottom w:val="single" w:sz="4" w:space="0" w:color="002060"/>
            </w:tcBorders>
            <w:vAlign w:val="center"/>
          </w:tcPr>
          <w:p w14:paraId="7F715086" w14:textId="77777777" w:rsidR="001F03F4" w:rsidRPr="00590BAD" w:rsidRDefault="001F03F4"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590BAD">
              <w:rPr>
                <w:rFonts w:asciiTheme="minorHAnsi" w:hAnsiTheme="minorHAnsi" w:cstheme="minorHAnsi"/>
                <w:b w:val="0"/>
                <w:color w:val="002060"/>
                <w:sz w:val="18"/>
                <w:lang w:val="sr-Cyrl-RS"/>
              </w:rPr>
              <w:t>Извршење</w:t>
            </w:r>
          </w:p>
        </w:tc>
        <w:tc>
          <w:tcPr>
            <w:tcW w:w="644" w:type="pct"/>
            <w:tcBorders>
              <w:top w:val="single" w:sz="4" w:space="0" w:color="002060"/>
              <w:bottom w:val="single" w:sz="4" w:space="0" w:color="002060"/>
            </w:tcBorders>
            <w:vAlign w:val="center"/>
          </w:tcPr>
          <w:p w14:paraId="392B263B" w14:textId="77777777" w:rsidR="001F03F4" w:rsidRPr="00590BAD" w:rsidRDefault="001F03F4"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590BAD">
              <w:rPr>
                <w:rFonts w:asciiTheme="minorHAnsi" w:hAnsiTheme="minorHAnsi" w:cstheme="minorHAnsi"/>
                <w:b w:val="0"/>
                <w:color w:val="002060"/>
                <w:sz w:val="18"/>
                <w:lang w:val="sr-Cyrl-RS"/>
              </w:rPr>
              <w:t>Процена</w:t>
            </w:r>
          </w:p>
        </w:tc>
        <w:tc>
          <w:tcPr>
            <w:tcW w:w="1745" w:type="pct"/>
            <w:gridSpan w:val="3"/>
            <w:tcBorders>
              <w:top w:val="single" w:sz="4" w:space="0" w:color="002060"/>
              <w:bottom w:val="single" w:sz="4" w:space="0" w:color="002060"/>
            </w:tcBorders>
            <w:vAlign w:val="center"/>
          </w:tcPr>
          <w:p w14:paraId="47668185" w14:textId="77777777" w:rsidR="001F03F4" w:rsidRPr="00590BAD" w:rsidRDefault="001F03F4" w:rsidP="00C130D2">
            <w:pPr>
              <w:keepNext/>
              <w:widowControl w:val="0"/>
              <w:shd w:val="clear" w:color="auto" w:fill="FFFFFF" w:themeFill="background1"/>
              <w:spacing w:line="276" w:lineRule="auto"/>
              <w:jc w:val="center"/>
              <w:rPr>
                <w:rFonts w:asciiTheme="minorHAnsi" w:eastAsia="Times New Roman" w:hAnsiTheme="minorHAnsi" w:cstheme="minorHAnsi"/>
                <w:b w:val="0"/>
                <w:color w:val="002060"/>
                <w:sz w:val="18"/>
                <w:szCs w:val="18"/>
                <w:lang w:val="sr-Cyrl-RS"/>
              </w:rPr>
            </w:pPr>
            <w:r w:rsidRPr="00590BAD">
              <w:rPr>
                <w:rFonts w:asciiTheme="minorHAnsi" w:hAnsiTheme="minorHAnsi" w:cstheme="minorHAnsi"/>
                <w:b w:val="0"/>
                <w:color w:val="002060"/>
                <w:sz w:val="18"/>
                <w:lang w:val="sr-Cyrl-RS"/>
              </w:rPr>
              <w:t>Пројекција</w:t>
            </w:r>
          </w:p>
        </w:tc>
      </w:tr>
      <w:tr w:rsidR="001F03F4" w:rsidRPr="00590BAD" w14:paraId="651CDBC4"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tcBorders>
              <w:top w:val="single" w:sz="4" w:space="0" w:color="002060"/>
              <w:bottom w:val="nil"/>
            </w:tcBorders>
            <w:shd w:val="clear" w:color="auto" w:fill="FFFFFF" w:themeFill="background1"/>
            <w:noWrap/>
          </w:tcPr>
          <w:p w14:paraId="50BF918E" w14:textId="77777777" w:rsidR="001F03F4" w:rsidRPr="00590BAD" w:rsidRDefault="001F03F4" w:rsidP="00E0589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p>
        </w:tc>
        <w:tc>
          <w:tcPr>
            <w:tcW w:w="644" w:type="pct"/>
            <w:tcBorders>
              <w:top w:val="single" w:sz="4" w:space="0" w:color="002060"/>
              <w:bottom w:val="single" w:sz="4" w:space="0" w:color="002060"/>
            </w:tcBorders>
            <w:shd w:val="clear" w:color="auto" w:fill="FFFFFF" w:themeFill="background1"/>
          </w:tcPr>
          <w:p w14:paraId="603FCE0C" w14:textId="77777777" w:rsidR="001F03F4" w:rsidRPr="00590BAD" w:rsidRDefault="001F03F4"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2022</w:t>
            </w:r>
          </w:p>
        </w:tc>
        <w:tc>
          <w:tcPr>
            <w:tcW w:w="644" w:type="pct"/>
            <w:tcBorders>
              <w:top w:val="single" w:sz="4" w:space="0" w:color="002060"/>
              <w:bottom w:val="single" w:sz="4" w:space="0" w:color="002060"/>
            </w:tcBorders>
            <w:shd w:val="clear" w:color="auto" w:fill="FFFFFF" w:themeFill="background1"/>
          </w:tcPr>
          <w:p w14:paraId="0AD09DEB" w14:textId="77777777" w:rsidR="001F03F4" w:rsidRPr="00590BAD" w:rsidRDefault="001F03F4"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2023</w:t>
            </w:r>
          </w:p>
        </w:tc>
        <w:tc>
          <w:tcPr>
            <w:tcW w:w="581" w:type="pct"/>
            <w:tcBorders>
              <w:top w:val="single" w:sz="4" w:space="0" w:color="002060"/>
              <w:bottom w:val="single" w:sz="4" w:space="0" w:color="002060"/>
            </w:tcBorders>
            <w:shd w:val="clear" w:color="auto" w:fill="FFFFFF" w:themeFill="background1"/>
          </w:tcPr>
          <w:p w14:paraId="00470802" w14:textId="77777777" w:rsidR="001F03F4" w:rsidRPr="00590BAD" w:rsidRDefault="001F03F4"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2024</w:t>
            </w:r>
          </w:p>
        </w:tc>
        <w:tc>
          <w:tcPr>
            <w:tcW w:w="581" w:type="pct"/>
            <w:tcBorders>
              <w:top w:val="single" w:sz="4" w:space="0" w:color="002060"/>
              <w:bottom w:val="single" w:sz="4" w:space="0" w:color="002060"/>
            </w:tcBorders>
            <w:shd w:val="clear" w:color="auto" w:fill="FFFFFF" w:themeFill="background1"/>
          </w:tcPr>
          <w:p w14:paraId="400ADAB7" w14:textId="77777777" w:rsidR="001F03F4" w:rsidRPr="00590BAD" w:rsidRDefault="001F03F4"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2025</w:t>
            </w:r>
          </w:p>
        </w:tc>
        <w:tc>
          <w:tcPr>
            <w:tcW w:w="583" w:type="pct"/>
            <w:tcBorders>
              <w:top w:val="single" w:sz="4" w:space="0" w:color="002060"/>
              <w:bottom w:val="single" w:sz="4" w:space="0" w:color="002060"/>
            </w:tcBorders>
            <w:shd w:val="clear" w:color="auto" w:fill="FFFFFF" w:themeFill="background1"/>
          </w:tcPr>
          <w:p w14:paraId="7B757BD7" w14:textId="77777777" w:rsidR="001F03F4" w:rsidRPr="00590BAD" w:rsidRDefault="001F03F4"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2026</w:t>
            </w:r>
          </w:p>
        </w:tc>
      </w:tr>
      <w:tr w:rsidR="001F03F4" w:rsidRPr="00590BAD" w14:paraId="32D741E2" w14:textId="77777777" w:rsidTr="00953528">
        <w:trPr>
          <w:trHeight w:val="49"/>
        </w:trPr>
        <w:tc>
          <w:tcPr>
            <w:tcW w:w="1967" w:type="pct"/>
            <w:tcBorders>
              <w:top w:val="nil"/>
            </w:tcBorders>
            <w:shd w:val="clear" w:color="auto" w:fill="FFFFFF" w:themeFill="background1"/>
          </w:tcPr>
          <w:p w14:paraId="1F27E75D" w14:textId="77777777" w:rsidR="001F03F4" w:rsidRPr="00590BAD" w:rsidRDefault="001F03F4" w:rsidP="00E05893">
            <w:pPr>
              <w:widowControl w:val="0"/>
              <w:shd w:val="clear" w:color="auto" w:fill="FFFFFF" w:themeFill="background1"/>
              <w:spacing w:line="276" w:lineRule="auto"/>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ЈАВНИ РАСХОДИ</w:t>
            </w:r>
          </w:p>
        </w:tc>
        <w:tc>
          <w:tcPr>
            <w:tcW w:w="644" w:type="pct"/>
            <w:tcBorders>
              <w:top w:val="single" w:sz="4" w:space="0" w:color="002060"/>
            </w:tcBorders>
            <w:shd w:val="clear" w:color="auto" w:fill="FFFFFF" w:themeFill="background1"/>
          </w:tcPr>
          <w:p w14:paraId="58E3A99C"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46,9</w:t>
            </w:r>
          </w:p>
        </w:tc>
        <w:tc>
          <w:tcPr>
            <w:tcW w:w="644" w:type="pct"/>
            <w:tcBorders>
              <w:top w:val="single" w:sz="4" w:space="0" w:color="002060"/>
            </w:tcBorders>
            <w:shd w:val="clear" w:color="auto" w:fill="FFFFFF" w:themeFill="background1"/>
            <w:noWrap/>
          </w:tcPr>
          <w:p w14:paraId="30EEA2CF"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45,3</w:t>
            </w:r>
          </w:p>
        </w:tc>
        <w:tc>
          <w:tcPr>
            <w:tcW w:w="581" w:type="pct"/>
            <w:tcBorders>
              <w:top w:val="single" w:sz="4" w:space="0" w:color="002060"/>
            </w:tcBorders>
            <w:shd w:val="clear" w:color="auto" w:fill="FFFFFF" w:themeFill="background1"/>
            <w:noWrap/>
          </w:tcPr>
          <w:p w14:paraId="4DE8B092"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44,8</w:t>
            </w:r>
          </w:p>
        </w:tc>
        <w:tc>
          <w:tcPr>
            <w:tcW w:w="581" w:type="pct"/>
            <w:tcBorders>
              <w:top w:val="single" w:sz="4" w:space="0" w:color="002060"/>
            </w:tcBorders>
            <w:shd w:val="clear" w:color="auto" w:fill="FFFFFF" w:themeFill="background1"/>
            <w:noWrap/>
          </w:tcPr>
          <w:p w14:paraId="72CAB4EA"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44,0</w:t>
            </w:r>
          </w:p>
        </w:tc>
        <w:tc>
          <w:tcPr>
            <w:tcW w:w="583" w:type="pct"/>
            <w:tcBorders>
              <w:top w:val="single" w:sz="4" w:space="0" w:color="002060"/>
            </w:tcBorders>
            <w:shd w:val="clear" w:color="auto" w:fill="FFFFFF" w:themeFill="background1"/>
            <w:noWrap/>
          </w:tcPr>
          <w:p w14:paraId="658B7A14"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43,8</w:t>
            </w:r>
          </w:p>
        </w:tc>
      </w:tr>
      <w:tr w:rsidR="001F03F4" w:rsidRPr="00590BAD" w14:paraId="6F01643E"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0707552B" w14:textId="77777777" w:rsidR="001F03F4" w:rsidRPr="00590BAD" w:rsidRDefault="001F03F4" w:rsidP="00E0589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 xml:space="preserve"> Текући расходи</w:t>
            </w:r>
          </w:p>
        </w:tc>
        <w:tc>
          <w:tcPr>
            <w:tcW w:w="644" w:type="pct"/>
            <w:shd w:val="clear" w:color="auto" w:fill="FFFFFF" w:themeFill="background1"/>
          </w:tcPr>
          <w:p w14:paraId="3F5B12D6"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36,4</w:t>
            </w:r>
          </w:p>
        </w:tc>
        <w:tc>
          <w:tcPr>
            <w:tcW w:w="644" w:type="pct"/>
            <w:shd w:val="clear" w:color="auto" w:fill="FFFFFF" w:themeFill="background1"/>
            <w:noWrap/>
          </w:tcPr>
          <w:p w14:paraId="23EE68C5"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37,1</w:t>
            </w:r>
          </w:p>
        </w:tc>
        <w:tc>
          <w:tcPr>
            <w:tcW w:w="581" w:type="pct"/>
            <w:shd w:val="clear" w:color="auto" w:fill="FFFFFF" w:themeFill="background1"/>
            <w:noWrap/>
          </w:tcPr>
          <w:p w14:paraId="0C361CEB"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37,1</w:t>
            </w:r>
          </w:p>
        </w:tc>
        <w:tc>
          <w:tcPr>
            <w:tcW w:w="581" w:type="pct"/>
            <w:shd w:val="clear" w:color="auto" w:fill="FFFFFF" w:themeFill="background1"/>
            <w:noWrap/>
          </w:tcPr>
          <w:p w14:paraId="13002490"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36,9</w:t>
            </w:r>
          </w:p>
        </w:tc>
        <w:tc>
          <w:tcPr>
            <w:tcW w:w="583" w:type="pct"/>
            <w:shd w:val="clear" w:color="auto" w:fill="FFFFFF" w:themeFill="background1"/>
            <w:noWrap/>
          </w:tcPr>
          <w:p w14:paraId="07875CD7"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36,7</w:t>
            </w:r>
          </w:p>
        </w:tc>
      </w:tr>
      <w:tr w:rsidR="001F03F4" w:rsidRPr="00590BAD" w14:paraId="5C52C28A" w14:textId="77777777" w:rsidTr="00953528">
        <w:trPr>
          <w:trHeight w:val="49"/>
        </w:trPr>
        <w:tc>
          <w:tcPr>
            <w:tcW w:w="1967" w:type="pct"/>
            <w:shd w:val="clear" w:color="auto" w:fill="FFFFFF" w:themeFill="background1"/>
          </w:tcPr>
          <w:p w14:paraId="236F8AF2" w14:textId="77777777" w:rsidR="001F03F4" w:rsidRPr="00590BAD" w:rsidRDefault="001F03F4" w:rsidP="00E0589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Расходи за запослене</w:t>
            </w:r>
          </w:p>
        </w:tc>
        <w:tc>
          <w:tcPr>
            <w:tcW w:w="644" w:type="pct"/>
            <w:shd w:val="clear" w:color="auto" w:fill="FFFFFF" w:themeFill="background1"/>
          </w:tcPr>
          <w:p w14:paraId="09323976"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9,8</w:t>
            </w:r>
          </w:p>
        </w:tc>
        <w:tc>
          <w:tcPr>
            <w:tcW w:w="644" w:type="pct"/>
            <w:shd w:val="clear" w:color="auto" w:fill="FFFFFF" w:themeFill="background1"/>
            <w:noWrap/>
          </w:tcPr>
          <w:p w14:paraId="66D32BA5"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9,7</w:t>
            </w:r>
          </w:p>
        </w:tc>
        <w:tc>
          <w:tcPr>
            <w:tcW w:w="581" w:type="pct"/>
            <w:shd w:val="clear" w:color="auto" w:fill="FFFFFF" w:themeFill="background1"/>
            <w:noWrap/>
          </w:tcPr>
          <w:p w14:paraId="4E3E5998"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10,0</w:t>
            </w:r>
          </w:p>
        </w:tc>
        <w:tc>
          <w:tcPr>
            <w:tcW w:w="581" w:type="pct"/>
            <w:shd w:val="clear" w:color="auto" w:fill="FFFFFF" w:themeFill="background1"/>
            <w:noWrap/>
          </w:tcPr>
          <w:p w14:paraId="48FFF156"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10,0</w:t>
            </w:r>
          </w:p>
        </w:tc>
        <w:tc>
          <w:tcPr>
            <w:tcW w:w="583" w:type="pct"/>
            <w:shd w:val="clear" w:color="auto" w:fill="FFFFFF" w:themeFill="background1"/>
            <w:noWrap/>
          </w:tcPr>
          <w:p w14:paraId="1DDA5745"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10,0</w:t>
            </w:r>
          </w:p>
        </w:tc>
      </w:tr>
      <w:tr w:rsidR="001F03F4" w:rsidRPr="00590BAD" w14:paraId="6F00100C"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6DFE051E" w14:textId="77777777" w:rsidR="001F03F4" w:rsidRPr="00590BAD" w:rsidRDefault="001F03F4" w:rsidP="00E0589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Куповина робе и услуга</w:t>
            </w:r>
          </w:p>
        </w:tc>
        <w:tc>
          <w:tcPr>
            <w:tcW w:w="644" w:type="pct"/>
            <w:shd w:val="clear" w:color="auto" w:fill="FFFFFF" w:themeFill="background1"/>
          </w:tcPr>
          <w:p w14:paraId="451739B2"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7,9</w:t>
            </w:r>
          </w:p>
        </w:tc>
        <w:tc>
          <w:tcPr>
            <w:tcW w:w="644" w:type="pct"/>
            <w:shd w:val="clear" w:color="auto" w:fill="FFFFFF" w:themeFill="background1"/>
            <w:noWrap/>
          </w:tcPr>
          <w:p w14:paraId="270D4DCA" w14:textId="77777777" w:rsidR="001F03F4" w:rsidRPr="00590BAD" w:rsidRDefault="001F03F4" w:rsidP="00D73C9A">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7,7</w:t>
            </w:r>
          </w:p>
        </w:tc>
        <w:tc>
          <w:tcPr>
            <w:tcW w:w="581" w:type="pct"/>
            <w:shd w:val="clear" w:color="auto" w:fill="FFFFFF" w:themeFill="background1"/>
            <w:noWrap/>
          </w:tcPr>
          <w:p w14:paraId="446DF5FB"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7,6</w:t>
            </w:r>
          </w:p>
        </w:tc>
        <w:tc>
          <w:tcPr>
            <w:tcW w:w="581" w:type="pct"/>
            <w:shd w:val="clear" w:color="auto" w:fill="FFFFFF" w:themeFill="background1"/>
            <w:noWrap/>
          </w:tcPr>
          <w:p w14:paraId="49826F7B"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7,5</w:t>
            </w:r>
          </w:p>
        </w:tc>
        <w:tc>
          <w:tcPr>
            <w:tcW w:w="583" w:type="pct"/>
            <w:shd w:val="clear" w:color="auto" w:fill="FFFFFF" w:themeFill="background1"/>
            <w:noWrap/>
          </w:tcPr>
          <w:p w14:paraId="2BFB9E99"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7,4</w:t>
            </w:r>
          </w:p>
        </w:tc>
      </w:tr>
      <w:tr w:rsidR="001F03F4" w:rsidRPr="00590BAD" w14:paraId="2C64CE98" w14:textId="77777777" w:rsidTr="00953528">
        <w:trPr>
          <w:trHeight w:val="49"/>
        </w:trPr>
        <w:tc>
          <w:tcPr>
            <w:tcW w:w="1967" w:type="pct"/>
            <w:shd w:val="clear" w:color="auto" w:fill="FFFFFF" w:themeFill="background1"/>
          </w:tcPr>
          <w:p w14:paraId="70748C99" w14:textId="77777777" w:rsidR="001F03F4" w:rsidRPr="00590BAD" w:rsidRDefault="001F03F4" w:rsidP="00E0589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Отплата камата</w:t>
            </w:r>
          </w:p>
        </w:tc>
        <w:tc>
          <w:tcPr>
            <w:tcW w:w="644" w:type="pct"/>
            <w:shd w:val="clear" w:color="auto" w:fill="FFFFFF" w:themeFill="background1"/>
          </w:tcPr>
          <w:p w14:paraId="4242CDAE"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1,5</w:t>
            </w:r>
          </w:p>
        </w:tc>
        <w:tc>
          <w:tcPr>
            <w:tcW w:w="644" w:type="pct"/>
            <w:shd w:val="clear" w:color="auto" w:fill="FFFFFF" w:themeFill="background1"/>
            <w:noWrap/>
          </w:tcPr>
          <w:p w14:paraId="17D96F0B"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1,9</w:t>
            </w:r>
          </w:p>
        </w:tc>
        <w:tc>
          <w:tcPr>
            <w:tcW w:w="581" w:type="pct"/>
            <w:shd w:val="clear" w:color="auto" w:fill="FFFFFF" w:themeFill="background1"/>
            <w:noWrap/>
          </w:tcPr>
          <w:p w14:paraId="0B85C2E1"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2,1</w:t>
            </w:r>
          </w:p>
        </w:tc>
        <w:tc>
          <w:tcPr>
            <w:tcW w:w="581" w:type="pct"/>
            <w:shd w:val="clear" w:color="auto" w:fill="FFFFFF" w:themeFill="background1"/>
            <w:noWrap/>
          </w:tcPr>
          <w:p w14:paraId="2591E8F6"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2,2</w:t>
            </w:r>
          </w:p>
        </w:tc>
        <w:tc>
          <w:tcPr>
            <w:tcW w:w="583" w:type="pct"/>
            <w:shd w:val="clear" w:color="auto" w:fill="FFFFFF" w:themeFill="background1"/>
            <w:noWrap/>
          </w:tcPr>
          <w:p w14:paraId="69A2FA2F"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2,3</w:t>
            </w:r>
          </w:p>
        </w:tc>
      </w:tr>
      <w:tr w:rsidR="001F03F4" w:rsidRPr="00590BAD" w14:paraId="28FED84E"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325657D0" w14:textId="77777777" w:rsidR="001F03F4" w:rsidRPr="00590BAD" w:rsidRDefault="001F03F4" w:rsidP="00E0589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Субвенције</w:t>
            </w:r>
          </w:p>
        </w:tc>
        <w:tc>
          <w:tcPr>
            <w:tcW w:w="644" w:type="pct"/>
            <w:shd w:val="clear" w:color="auto" w:fill="FFFFFF" w:themeFill="background1"/>
          </w:tcPr>
          <w:p w14:paraId="3573A20D"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2,3</w:t>
            </w:r>
          </w:p>
        </w:tc>
        <w:tc>
          <w:tcPr>
            <w:tcW w:w="644" w:type="pct"/>
            <w:shd w:val="clear" w:color="auto" w:fill="FFFFFF" w:themeFill="background1"/>
            <w:noWrap/>
          </w:tcPr>
          <w:p w14:paraId="301C9E3F"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2,7</w:t>
            </w:r>
          </w:p>
        </w:tc>
        <w:tc>
          <w:tcPr>
            <w:tcW w:w="581" w:type="pct"/>
            <w:shd w:val="clear" w:color="auto" w:fill="FFFFFF" w:themeFill="background1"/>
            <w:noWrap/>
          </w:tcPr>
          <w:p w14:paraId="54EFA257"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2,4</w:t>
            </w:r>
          </w:p>
        </w:tc>
        <w:tc>
          <w:tcPr>
            <w:tcW w:w="581" w:type="pct"/>
            <w:shd w:val="clear" w:color="auto" w:fill="FFFFFF" w:themeFill="background1"/>
            <w:noWrap/>
          </w:tcPr>
          <w:p w14:paraId="0833BA14"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2,2</w:t>
            </w:r>
          </w:p>
        </w:tc>
        <w:tc>
          <w:tcPr>
            <w:tcW w:w="583" w:type="pct"/>
            <w:shd w:val="clear" w:color="auto" w:fill="FFFFFF" w:themeFill="background1"/>
            <w:noWrap/>
          </w:tcPr>
          <w:p w14:paraId="437635E8"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2,2</w:t>
            </w:r>
          </w:p>
        </w:tc>
      </w:tr>
      <w:tr w:rsidR="001F03F4" w:rsidRPr="00590BAD" w14:paraId="35A093F3" w14:textId="77777777" w:rsidTr="00953528">
        <w:trPr>
          <w:trHeight w:val="49"/>
        </w:trPr>
        <w:tc>
          <w:tcPr>
            <w:tcW w:w="1967" w:type="pct"/>
            <w:shd w:val="clear" w:color="auto" w:fill="FFFFFF" w:themeFill="background1"/>
          </w:tcPr>
          <w:p w14:paraId="53BCE5B4" w14:textId="77777777" w:rsidR="001F03F4" w:rsidRPr="00590BAD" w:rsidRDefault="001F03F4" w:rsidP="00E0589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Социјална помоћ и трансфери</w:t>
            </w:r>
          </w:p>
        </w:tc>
        <w:tc>
          <w:tcPr>
            <w:tcW w:w="644" w:type="pct"/>
            <w:shd w:val="clear" w:color="auto" w:fill="FFFFFF" w:themeFill="background1"/>
          </w:tcPr>
          <w:p w14:paraId="10C4FB2B"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13,1</w:t>
            </w:r>
          </w:p>
        </w:tc>
        <w:tc>
          <w:tcPr>
            <w:tcW w:w="644" w:type="pct"/>
            <w:shd w:val="clear" w:color="auto" w:fill="FFFFFF" w:themeFill="background1"/>
            <w:noWrap/>
          </w:tcPr>
          <w:p w14:paraId="6FE44CC0"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13,5</w:t>
            </w:r>
          </w:p>
        </w:tc>
        <w:tc>
          <w:tcPr>
            <w:tcW w:w="581" w:type="pct"/>
            <w:shd w:val="clear" w:color="auto" w:fill="FFFFFF" w:themeFill="background1"/>
            <w:noWrap/>
          </w:tcPr>
          <w:p w14:paraId="2461616E"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13,8</w:t>
            </w:r>
          </w:p>
        </w:tc>
        <w:tc>
          <w:tcPr>
            <w:tcW w:w="581" w:type="pct"/>
            <w:shd w:val="clear" w:color="auto" w:fill="FFFFFF" w:themeFill="background1"/>
            <w:noWrap/>
          </w:tcPr>
          <w:p w14:paraId="46E38038"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14,0</w:t>
            </w:r>
          </w:p>
        </w:tc>
        <w:tc>
          <w:tcPr>
            <w:tcW w:w="583" w:type="pct"/>
            <w:shd w:val="clear" w:color="auto" w:fill="FFFFFF" w:themeFill="background1"/>
            <w:noWrap/>
          </w:tcPr>
          <w:p w14:paraId="20BAB438"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13,6</w:t>
            </w:r>
          </w:p>
        </w:tc>
      </w:tr>
      <w:tr w:rsidR="001F03F4" w:rsidRPr="00590BAD" w14:paraId="41A87C3E" w14:textId="77777777" w:rsidTr="00953528">
        <w:trPr>
          <w:cnfStyle w:val="000000100000" w:firstRow="0" w:lastRow="0" w:firstColumn="0" w:lastColumn="0" w:oddVBand="0" w:evenVBand="0" w:oddHBand="1" w:evenHBand="0" w:firstRowFirstColumn="0" w:firstRowLastColumn="0" w:lastRowFirstColumn="0" w:lastRowLastColumn="0"/>
          <w:trHeight w:val="104"/>
        </w:trPr>
        <w:tc>
          <w:tcPr>
            <w:tcW w:w="1967" w:type="pct"/>
            <w:shd w:val="clear" w:color="auto" w:fill="FFFFFF" w:themeFill="background1"/>
          </w:tcPr>
          <w:p w14:paraId="6C588F51" w14:textId="77777777" w:rsidR="001F03F4" w:rsidRPr="00590BAD" w:rsidRDefault="001F03F4" w:rsidP="00E05893">
            <w:pPr>
              <w:widowControl w:val="0"/>
              <w:shd w:val="clear" w:color="auto" w:fill="FFFFFF" w:themeFill="background1"/>
              <w:spacing w:line="276" w:lineRule="auto"/>
              <w:ind w:left="397"/>
              <w:rPr>
                <w:rFonts w:asciiTheme="minorHAnsi" w:eastAsia="Times New Roman" w:hAnsiTheme="minorHAnsi" w:cstheme="minorHAnsi"/>
                <w:bCs/>
                <w:i/>
                <w:color w:val="002060"/>
                <w:sz w:val="18"/>
                <w:szCs w:val="18"/>
                <w:lang w:val="sr-Cyrl-RS"/>
              </w:rPr>
            </w:pPr>
            <w:r w:rsidRPr="00590BAD">
              <w:rPr>
                <w:rFonts w:asciiTheme="minorHAnsi" w:eastAsia="Times New Roman" w:hAnsiTheme="minorHAnsi" w:cstheme="minorHAnsi"/>
                <w:bCs/>
                <w:i/>
                <w:color w:val="002060"/>
                <w:sz w:val="18"/>
                <w:szCs w:val="18"/>
                <w:lang w:val="sr-Cyrl-RS"/>
              </w:rPr>
              <w:t>од чега пензије</w:t>
            </w:r>
          </w:p>
        </w:tc>
        <w:tc>
          <w:tcPr>
            <w:tcW w:w="644" w:type="pct"/>
            <w:shd w:val="clear" w:color="auto" w:fill="FFFFFF" w:themeFill="background1"/>
          </w:tcPr>
          <w:p w14:paraId="1C7EFF8D" w14:textId="77777777" w:rsidR="001F03F4" w:rsidRPr="00590BAD" w:rsidRDefault="001F03F4" w:rsidP="00E05893">
            <w:pPr>
              <w:shd w:val="clear" w:color="auto" w:fill="FFFFFF" w:themeFill="background1"/>
              <w:spacing w:line="276" w:lineRule="auto"/>
              <w:jc w:val="right"/>
              <w:rPr>
                <w:rFonts w:asciiTheme="minorHAnsi" w:hAnsiTheme="minorHAnsi" w:cstheme="minorHAnsi"/>
                <w:i/>
                <w:color w:val="002060"/>
                <w:sz w:val="18"/>
                <w:szCs w:val="18"/>
                <w:lang w:val="sr-Cyrl-RS"/>
              </w:rPr>
            </w:pPr>
            <w:r w:rsidRPr="00590BAD">
              <w:rPr>
                <w:rFonts w:asciiTheme="minorHAnsi" w:hAnsiTheme="minorHAnsi" w:cstheme="minorHAnsi"/>
                <w:i/>
                <w:color w:val="002060"/>
                <w:sz w:val="18"/>
                <w:szCs w:val="18"/>
                <w:lang w:val="sr-Cyrl-RS"/>
              </w:rPr>
              <w:t>9,0</w:t>
            </w:r>
          </w:p>
        </w:tc>
        <w:tc>
          <w:tcPr>
            <w:tcW w:w="644" w:type="pct"/>
            <w:shd w:val="clear" w:color="auto" w:fill="FFFFFF" w:themeFill="background1"/>
            <w:noWrap/>
          </w:tcPr>
          <w:p w14:paraId="4F1E9811" w14:textId="77777777" w:rsidR="001F03F4" w:rsidRPr="00590BAD" w:rsidRDefault="001F03F4" w:rsidP="00E05893">
            <w:pPr>
              <w:shd w:val="clear" w:color="auto" w:fill="FFFFFF" w:themeFill="background1"/>
              <w:spacing w:line="276" w:lineRule="auto"/>
              <w:jc w:val="right"/>
              <w:rPr>
                <w:rFonts w:asciiTheme="minorHAnsi" w:hAnsiTheme="minorHAnsi" w:cstheme="minorHAnsi"/>
                <w:i/>
                <w:color w:val="002060"/>
                <w:sz w:val="18"/>
                <w:szCs w:val="18"/>
                <w:lang w:val="sr-Cyrl-RS"/>
              </w:rPr>
            </w:pPr>
            <w:r w:rsidRPr="00590BAD">
              <w:rPr>
                <w:rFonts w:asciiTheme="minorHAnsi" w:hAnsiTheme="minorHAnsi" w:cstheme="minorHAnsi"/>
                <w:i/>
                <w:color w:val="002060"/>
                <w:sz w:val="18"/>
                <w:szCs w:val="18"/>
                <w:lang w:val="sr-Cyrl-RS"/>
              </w:rPr>
              <w:t>9,6</w:t>
            </w:r>
          </w:p>
        </w:tc>
        <w:tc>
          <w:tcPr>
            <w:tcW w:w="581" w:type="pct"/>
            <w:shd w:val="clear" w:color="auto" w:fill="FFFFFF" w:themeFill="background1"/>
            <w:noWrap/>
          </w:tcPr>
          <w:p w14:paraId="63BCA7D4" w14:textId="77777777" w:rsidR="001F03F4" w:rsidRPr="00590BAD" w:rsidRDefault="001F03F4" w:rsidP="00E05893">
            <w:pPr>
              <w:shd w:val="clear" w:color="auto" w:fill="FFFFFF" w:themeFill="background1"/>
              <w:spacing w:line="276" w:lineRule="auto"/>
              <w:jc w:val="right"/>
              <w:rPr>
                <w:rFonts w:asciiTheme="minorHAnsi" w:hAnsiTheme="minorHAnsi" w:cstheme="minorHAnsi"/>
                <w:i/>
                <w:color w:val="002060"/>
                <w:sz w:val="18"/>
                <w:szCs w:val="18"/>
                <w:lang w:val="sr-Cyrl-RS"/>
              </w:rPr>
            </w:pPr>
            <w:r w:rsidRPr="00590BAD">
              <w:rPr>
                <w:rFonts w:asciiTheme="minorHAnsi" w:hAnsiTheme="minorHAnsi" w:cstheme="minorHAnsi"/>
                <w:i/>
                <w:color w:val="002060"/>
                <w:sz w:val="18"/>
                <w:szCs w:val="18"/>
                <w:lang w:val="sr-Cyrl-RS"/>
              </w:rPr>
              <w:t>10,6</w:t>
            </w:r>
          </w:p>
        </w:tc>
        <w:tc>
          <w:tcPr>
            <w:tcW w:w="581" w:type="pct"/>
            <w:shd w:val="clear" w:color="auto" w:fill="FFFFFF" w:themeFill="background1"/>
            <w:noWrap/>
          </w:tcPr>
          <w:p w14:paraId="577F602F" w14:textId="77777777" w:rsidR="001F03F4" w:rsidRPr="00590BAD" w:rsidRDefault="001F03F4" w:rsidP="00D73C9A">
            <w:pPr>
              <w:shd w:val="clear" w:color="auto" w:fill="FFFFFF" w:themeFill="background1"/>
              <w:spacing w:line="276" w:lineRule="auto"/>
              <w:jc w:val="right"/>
              <w:rPr>
                <w:rFonts w:asciiTheme="minorHAnsi" w:hAnsiTheme="minorHAnsi" w:cstheme="minorHAnsi"/>
                <w:i/>
                <w:color w:val="002060"/>
                <w:sz w:val="18"/>
                <w:szCs w:val="18"/>
                <w:lang w:val="sr-Cyrl-RS"/>
              </w:rPr>
            </w:pPr>
            <w:r w:rsidRPr="00590BAD">
              <w:rPr>
                <w:rFonts w:asciiTheme="minorHAnsi" w:hAnsiTheme="minorHAnsi" w:cstheme="minorHAnsi"/>
                <w:i/>
                <w:color w:val="002060"/>
                <w:sz w:val="18"/>
                <w:szCs w:val="18"/>
                <w:lang w:val="sr-Cyrl-RS"/>
              </w:rPr>
              <w:t>10,8</w:t>
            </w:r>
          </w:p>
        </w:tc>
        <w:tc>
          <w:tcPr>
            <w:tcW w:w="583" w:type="pct"/>
            <w:shd w:val="clear" w:color="auto" w:fill="FFFFFF" w:themeFill="background1"/>
            <w:noWrap/>
          </w:tcPr>
          <w:p w14:paraId="4C99C1B1" w14:textId="77777777" w:rsidR="001F03F4" w:rsidRPr="00590BAD" w:rsidRDefault="001F03F4" w:rsidP="00E05893">
            <w:pPr>
              <w:shd w:val="clear" w:color="auto" w:fill="FFFFFF" w:themeFill="background1"/>
              <w:spacing w:line="276" w:lineRule="auto"/>
              <w:jc w:val="right"/>
              <w:rPr>
                <w:rFonts w:asciiTheme="minorHAnsi" w:hAnsiTheme="minorHAnsi" w:cstheme="minorHAnsi"/>
                <w:i/>
                <w:color w:val="002060"/>
                <w:sz w:val="18"/>
                <w:szCs w:val="18"/>
                <w:lang w:val="sr-Cyrl-RS"/>
              </w:rPr>
            </w:pPr>
            <w:r w:rsidRPr="00590BAD">
              <w:rPr>
                <w:rFonts w:asciiTheme="minorHAnsi" w:hAnsiTheme="minorHAnsi" w:cstheme="minorHAnsi"/>
                <w:i/>
                <w:color w:val="002060"/>
                <w:sz w:val="18"/>
                <w:szCs w:val="18"/>
                <w:lang w:val="sr-Cyrl-RS"/>
              </w:rPr>
              <w:t>10,4</w:t>
            </w:r>
          </w:p>
        </w:tc>
      </w:tr>
      <w:tr w:rsidR="001F03F4" w:rsidRPr="00590BAD" w14:paraId="134549A7" w14:textId="77777777" w:rsidTr="00953528">
        <w:trPr>
          <w:trHeight w:val="49"/>
        </w:trPr>
        <w:tc>
          <w:tcPr>
            <w:tcW w:w="1967" w:type="pct"/>
            <w:shd w:val="clear" w:color="auto" w:fill="FFFFFF" w:themeFill="background1"/>
          </w:tcPr>
          <w:p w14:paraId="77B3214C" w14:textId="77777777" w:rsidR="001F03F4" w:rsidRPr="00590BAD" w:rsidRDefault="001F03F4" w:rsidP="00E0589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Остали текући расходи</w:t>
            </w:r>
          </w:p>
        </w:tc>
        <w:tc>
          <w:tcPr>
            <w:tcW w:w="644" w:type="pct"/>
            <w:shd w:val="clear" w:color="auto" w:fill="FFFFFF" w:themeFill="background1"/>
          </w:tcPr>
          <w:p w14:paraId="2E116B74"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1,9</w:t>
            </w:r>
          </w:p>
        </w:tc>
        <w:tc>
          <w:tcPr>
            <w:tcW w:w="644" w:type="pct"/>
            <w:shd w:val="clear" w:color="auto" w:fill="FFFFFF" w:themeFill="background1"/>
            <w:noWrap/>
          </w:tcPr>
          <w:p w14:paraId="6D540AF1"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1,5</w:t>
            </w:r>
          </w:p>
        </w:tc>
        <w:tc>
          <w:tcPr>
            <w:tcW w:w="581" w:type="pct"/>
            <w:shd w:val="clear" w:color="auto" w:fill="FFFFFF" w:themeFill="background1"/>
            <w:noWrap/>
          </w:tcPr>
          <w:p w14:paraId="4C34BC88"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1,2</w:t>
            </w:r>
          </w:p>
        </w:tc>
        <w:tc>
          <w:tcPr>
            <w:tcW w:w="581" w:type="pct"/>
            <w:shd w:val="clear" w:color="auto" w:fill="FFFFFF" w:themeFill="background1"/>
            <w:noWrap/>
          </w:tcPr>
          <w:p w14:paraId="1E318659"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1,1</w:t>
            </w:r>
          </w:p>
        </w:tc>
        <w:tc>
          <w:tcPr>
            <w:tcW w:w="583" w:type="pct"/>
            <w:shd w:val="clear" w:color="auto" w:fill="FFFFFF" w:themeFill="background1"/>
            <w:noWrap/>
          </w:tcPr>
          <w:p w14:paraId="6CFBCF1C"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1,1</w:t>
            </w:r>
          </w:p>
        </w:tc>
      </w:tr>
      <w:tr w:rsidR="001F03F4" w:rsidRPr="00590BAD" w14:paraId="6756F0E3"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64275578" w14:textId="77777777" w:rsidR="001F03F4" w:rsidRPr="00590BAD" w:rsidRDefault="001F03F4" w:rsidP="00E0589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 xml:space="preserve"> Капитални расходи</w:t>
            </w:r>
          </w:p>
        </w:tc>
        <w:tc>
          <w:tcPr>
            <w:tcW w:w="644" w:type="pct"/>
            <w:shd w:val="clear" w:color="auto" w:fill="FFFFFF" w:themeFill="background1"/>
          </w:tcPr>
          <w:p w14:paraId="5406D993"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7,4</w:t>
            </w:r>
          </w:p>
        </w:tc>
        <w:tc>
          <w:tcPr>
            <w:tcW w:w="644" w:type="pct"/>
            <w:shd w:val="clear" w:color="auto" w:fill="FFFFFF" w:themeFill="background1"/>
            <w:noWrap/>
          </w:tcPr>
          <w:p w14:paraId="25D5B558"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7,2</w:t>
            </w:r>
          </w:p>
        </w:tc>
        <w:tc>
          <w:tcPr>
            <w:tcW w:w="581" w:type="pct"/>
            <w:shd w:val="clear" w:color="auto" w:fill="FFFFFF" w:themeFill="background1"/>
            <w:noWrap/>
          </w:tcPr>
          <w:p w14:paraId="129ABBC0"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6,8</w:t>
            </w:r>
          </w:p>
        </w:tc>
        <w:tc>
          <w:tcPr>
            <w:tcW w:w="581" w:type="pct"/>
            <w:shd w:val="clear" w:color="auto" w:fill="FFFFFF" w:themeFill="background1"/>
            <w:noWrap/>
          </w:tcPr>
          <w:p w14:paraId="552172DD"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6,6</w:t>
            </w:r>
          </w:p>
        </w:tc>
        <w:tc>
          <w:tcPr>
            <w:tcW w:w="583" w:type="pct"/>
            <w:shd w:val="clear" w:color="auto" w:fill="FFFFFF" w:themeFill="background1"/>
            <w:noWrap/>
          </w:tcPr>
          <w:p w14:paraId="7F407860"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6,7</w:t>
            </w:r>
          </w:p>
        </w:tc>
      </w:tr>
      <w:tr w:rsidR="001F03F4" w:rsidRPr="00590BAD" w14:paraId="044ED4AA" w14:textId="77777777" w:rsidTr="00953528">
        <w:trPr>
          <w:trHeight w:val="49"/>
        </w:trPr>
        <w:tc>
          <w:tcPr>
            <w:tcW w:w="1967" w:type="pct"/>
            <w:tcBorders>
              <w:bottom w:val="nil"/>
            </w:tcBorders>
            <w:shd w:val="clear" w:color="auto" w:fill="FFFFFF" w:themeFill="background1"/>
            <w:noWrap/>
          </w:tcPr>
          <w:p w14:paraId="0D64119B" w14:textId="77777777" w:rsidR="001F03F4" w:rsidRPr="00590BAD" w:rsidRDefault="001F03F4" w:rsidP="00E0589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 xml:space="preserve"> Нето буџетске позајмице</w:t>
            </w:r>
          </w:p>
        </w:tc>
        <w:tc>
          <w:tcPr>
            <w:tcW w:w="644" w:type="pct"/>
            <w:tcBorders>
              <w:bottom w:val="nil"/>
            </w:tcBorders>
            <w:shd w:val="clear" w:color="auto" w:fill="FFFFFF" w:themeFill="background1"/>
          </w:tcPr>
          <w:p w14:paraId="53041251"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2,9</w:t>
            </w:r>
          </w:p>
        </w:tc>
        <w:tc>
          <w:tcPr>
            <w:tcW w:w="644" w:type="pct"/>
            <w:tcBorders>
              <w:bottom w:val="nil"/>
            </w:tcBorders>
            <w:shd w:val="clear" w:color="auto" w:fill="FFFFFF" w:themeFill="background1"/>
            <w:noWrap/>
          </w:tcPr>
          <w:p w14:paraId="5E3F914E"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0,8</w:t>
            </w:r>
          </w:p>
        </w:tc>
        <w:tc>
          <w:tcPr>
            <w:tcW w:w="581" w:type="pct"/>
            <w:tcBorders>
              <w:bottom w:val="nil"/>
            </w:tcBorders>
            <w:shd w:val="clear" w:color="auto" w:fill="FFFFFF" w:themeFill="background1"/>
            <w:noWrap/>
          </w:tcPr>
          <w:p w14:paraId="47B63C0C"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0,5</w:t>
            </w:r>
          </w:p>
        </w:tc>
        <w:tc>
          <w:tcPr>
            <w:tcW w:w="581" w:type="pct"/>
            <w:tcBorders>
              <w:bottom w:val="nil"/>
            </w:tcBorders>
            <w:shd w:val="clear" w:color="auto" w:fill="FFFFFF" w:themeFill="background1"/>
            <w:noWrap/>
          </w:tcPr>
          <w:p w14:paraId="352A629D"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0,2</w:t>
            </w:r>
          </w:p>
        </w:tc>
        <w:tc>
          <w:tcPr>
            <w:tcW w:w="583" w:type="pct"/>
            <w:tcBorders>
              <w:bottom w:val="nil"/>
            </w:tcBorders>
            <w:shd w:val="clear" w:color="auto" w:fill="FFFFFF" w:themeFill="background1"/>
            <w:noWrap/>
          </w:tcPr>
          <w:p w14:paraId="3615FB1A"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0,2</w:t>
            </w:r>
          </w:p>
        </w:tc>
      </w:tr>
      <w:tr w:rsidR="001F03F4" w:rsidRPr="00590BAD" w14:paraId="208C6528" w14:textId="77777777" w:rsidTr="00953528">
        <w:trPr>
          <w:cnfStyle w:val="000000100000" w:firstRow="0" w:lastRow="0" w:firstColumn="0" w:lastColumn="0" w:oddVBand="0" w:evenVBand="0" w:oddHBand="1" w:evenHBand="0" w:firstRowFirstColumn="0" w:firstRowLastColumn="0" w:lastRowFirstColumn="0" w:lastRowLastColumn="0"/>
          <w:trHeight w:val="95"/>
        </w:trPr>
        <w:tc>
          <w:tcPr>
            <w:tcW w:w="1967" w:type="pct"/>
            <w:tcBorders>
              <w:top w:val="nil"/>
              <w:bottom w:val="single" w:sz="4" w:space="0" w:color="002060"/>
            </w:tcBorders>
            <w:shd w:val="clear" w:color="auto" w:fill="FFFFFF" w:themeFill="background1"/>
            <w:noWrap/>
          </w:tcPr>
          <w:p w14:paraId="5F41246B" w14:textId="77777777" w:rsidR="001F03F4" w:rsidRPr="00590BAD" w:rsidRDefault="001F03F4" w:rsidP="00E0589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590BAD">
              <w:rPr>
                <w:rFonts w:asciiTheme="minorHAnsi" w:eastAsia="Times New Roman" w:hAnsiTheme="minorHAnsi" w:cstheme="minorHAnsi"/>
                <w:bCs/>
                <w:color w:val="002060"/>
                <w:sz w:val="18"/>
                <w:szCs w:val="18"/>
                <w:lang w:val="sr-Cyrl-RS"/>
              </w:rPr>
              <w:t xml:space="preserve"> Отплата по основу гаранција</w:t>
            </w:r>
          </w:p>
        </w:tc>
        <w:tc>
          <w:tcPr>
            <w:tcW w:w="644" w:type="pct"/>
            <w:tcBorders>
              <w:top w:val="nil"/>
              <w:bottom w:val="single" w:sz="4" w:space="0" w:color="002060"/>
            </w:tcBorders>
            <w:shd w:val="clear" w:color="auto" w:fill="FFFFFF" w:themeFill="background1"/>
          </w:tcPr>
          <w:p w14:paraId="611F1295"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0,3</w:t>
            </w:r>
          </w:p>
        </w:tc>
        <w:tc>
          <w:tcPr>
            <w:tcW w:w="644" w:type="pct"/>
            <w:tcBorders>
              <w:top w:val="nil"/>
              <w:bottom w:val="single" w:sz="4" w:space="0" w:color="002060"/>
            </w:tcBorders>
            <w:shd w:val="clear" w:color="auto" w:fill="FFFFFF" w:themeFill="background1"/>
            <w:noWrap/>
          </w:tcPr>
          <w:p w14:paraId="0018C5AF"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0,3</w:t>
            </w:r>
          </w:p>
        </w:tc>
        <w:tc>
          <w:tcPr>
            <w:tcW w:w="581" w:type="pct"/>
            <w:tcBorders>
              <w:top w:val="nil"/>
              <w:bottom w:val="single" w:sz="4" w:space="0" w:color="002060"/>
            </w:tcBorders>
            <w:shd w:val="clear" w:color="auto" w:fill="FFFFFF" w:themeFill="background1"/>
            <w:noWrap/>
          </w:tcPr>
          <w:p w14:paraId="51647F19"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0,3</w:t>
            </w:r>
          </w:p>
        </w:tc>
        <w:tc>
          <w:tcPr>
            <w:tcW w:w="581" w:type="pct"/>
            <w:tcBorders>
              <w:top w:val="nil"/>
              <w:bottom w:val="single" w:sz="4" w:space="0" w:color="002060"/>
            </w:tcBorders>
            <w:shd w:val="clear" w:color="auto" w:fill="FFFFFF" w:themeFill="background1"/>
            <w:noWrap/>
          </w:tcPr>
          <w:p w14:paraId="176CC897"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0,3</w:t>
            </w:r>
          </w:p>
        </w:tc>
        <w:tc>
          <w:tcPr>
            <w:tcW w:w="583" w:type="pct"/>
            <w:tcBorders>
              <w:top w:val="nil"/>
              <w:bottom w:val="single" w:sz="4" w:space="0" w:color="002060"/>
            </w:tcBorders>
            <w:shd w:val="clear" w:color="auto" w:fill="FFFFFF" w:themeFill="background1"/>
            <w:noWrap/>
          </w:tcPr>
          <w:p w14:paraId="4357F630" w14:textId="77777777" w:rsidR="001F03F4" w:rsidRPr="00590BAD" w:rsidRDefault="001F03F4" w:rsidP="00E05893">
            <w:pPr>
              <w:shd w:val="clear" w:color="auto" w:fill="FFFFFF" w:themeFill="background1"/>
              <w:spacing w:line="276" w:lineRule="auto"/>
              <w:jc w:val="right"/>
              <w:rPr>
                <w:rFonts w:asciiTheme="minorHAnsi" w:hAnsiTheme="minorHAnsi" w:cstheme="minorHAnsi"/>
                <w:color w:val="002060"/>
                <w:sz w:val="18"/>
                <w:szCs w:val="18"/>
                <w:lang w:val="sr-Cyrl-RS"/>
              </w:rPr>
            </w:pPr>
            <w:r w:rsidRPr="00590BAD">
              <w:rPr>
                <w:rFonts w:asciiTheme="minorHAnsi" w:hAnsiTheme="minorHAnsi" w:cstheme="minorHAnsi"/>
                <w:color w:val="002060"/>
                <w:sz w:val="18"/>
                <w:szCs w:val="18"/>
                <w:lang w:val="sr-Cyrl-RS"/>
              </w:rPr>
              <w:t>0,2</w:t>
            </w:r>
          </w:p>
        </w:tc>
      </w:tr>
    </w:tbl>
    <w:p w14:paraId="45118194" w14:textId="77777777" w:rsidR="001F03F4" w:rsidRPr="00590BAD" w:rsidRDefault="001F03F4" w:rsidP="00D42008">
      <w:pPr>
        <w:spacing w:before="40" w:after="120" w:line="276" w:lineRule="auto"/>
        <w:jc w:val="left"/>
        <w:rPr>
          <w:rFonts w:cstheme="minorHAnsi"/>
          <w:sz w:val="16"/>
          <w:szCs w:val="20"/>
          <w:lang w:val="sr-Cyrl-RS"/>
        </w:rPr>
      </w:pPr>
      <w:r w:rsidRPr="00590BAD">
        <w:rPr>
          <w:rFonts w:eastAsia="Calibri" w:cstheme="minorHAnsi"/>
          <w:bCs/>
          <w:sz w:val="16"/>
          <w:szCs w:val="20"/>
          <w:lang w:val="sr-Cyrl-RS" w:eastAsia="ja-JP"/>
        </w:rPr>
        <w:t xml:space="preserve">Извор: </w:t>
      </w:r>
      <w:r w:rsidRPr="00590BAD">
        <w:rPr>
          <w:rFonts w:cstheme="minorHAnsi"/>
          <w:sz w:val="16"/>
          <w:szCs w:val="20"/>
          <w:lang w:val="sr-Cyrl-RS"/>
        </w:rPr>
        <w:t>Министарство финансија</w:t>
      </w:r>
    </w:p>
    <w:p w14:paraId="4BA4E0A2" w14:textId="77777777" w:rsidR="001F03F4" w:rsidRPr="00590BAD" w:rsidRDefault="001F03F4" w:rsidP="005D42AC">
      <w:pPr>
        <w:spacing w:before="40" w:after="120" w:line="276" w:lineRule="auto"/>
        <w:rPr>
          <w:rFonts w:eastAsia="Calibri" w:cstheme="minorHAnsi"/>
          <w:szCs w:val="20"/>
          <w:lang w:val="sr-Cyrl-RS" w:eastAsia="ja-JP"/>
        </w:rPr>
        <w:sectPr w:rsidR="001F03F4" w:rsidRPr="00590BAD" w:rsidSect="00E05893">
          <w:type w:val="continuous"/>
          <w:pgSz w:w="12240" w:h="15840" w:code="1"/>
          <w:pgMar w:top="1440" w:right="1440" w:bottom="1440" w:left="1440" w:header="720" w:footer="720" w:gutter="0"/>
          <w:cols w:space="720"/>
          <w:docGrid w:linePitch="360"/>
        </w:sectPr>
      </w:pPr>
    </w:p>
    <w:p w14:paraId="0F4A86D7" w14:textId="77777777" w:rsidR="001F03F4" w:rsidRPr="00590BAD" w:rsidRDefault="001F03F4" w:rsidP="00D73C9A">
      <w:pPr>
        <w:spacing w:after="120"/>
        <w:rPr>
          <w:rFonts w:eastAsia="Calibri" w:cstheme="minorHAnsi"/>
          <w:szCs w:val="20"/>
          <w:lang w:val="sr-Cyrl-RS" w:eastAsia="ja-JP"/>
        </w:rPr>
      </w:pPr>
      <w:r w:rsidRPr="00590BAD">
        <w:rPr>
          <w:rFonts w:eastAsia="Calibri" w:cstheme="minorHAnsi"/>
          <w:szCs w:val="20"/>
          <w:lang w:val="sr-Cyrl-RS" w:eastAsia="ja-JP"/>
        </w:rPr>
        <w:t>У 2020. и 2021. години дошло је до промене тренда у јавним расходима с обзиром на размере кризе изазване пандемијом. Реализоване мере помоћи довеле су до привременог повећања учешћа расходне стране буџета у БДП. У 2022. години смањена је експанзивност фискалне политике, али су обезбеђена значајна средства за ублажавање последица енергетске кризе, као и у 2023. години.</w:t>
      </w:r>
    </w:p>
    <w:p w14:paraId="39238D5E" w14:textId="77777777" w:rsidR="001F03F4" w:rsidRPr="00590BAD" w:rsidRDefault="001F03F4" w:rsidP="00D73C9A">
      <w:pPr>
        <w:spacing w:after="120"/>
        <w:rPr>
          <w:rFonts w:eastAsia="Calibri" w:cstheme="minorHAnsi"/>
          <w:szCs w:val="20"/>
          <w:lang w:val="sr-Cyrl-RS" w:eastAsia="ja-JP"/>
        </w:rPr>
      </w:pPr>
      <w:r w:rsidRPr="00590BAD">
        <w:rPr>
          <w:rFonts w:eastAsia="Calibri" w:cstheme="minorHAnsi"/>
          <w:szCs w:val="20"/>
          <w:lang w:val="sr-Cyrl-RS" w:eastAsia="ja-JP"/>
        </w:rPr>
        <w:t>С обзиром на ограничен фискални простор у наредном периоду зараде ће се повећавати умерено и контролисано, водећи рачуна о њиховом учешћу у БДП.</w:t>
      </w:r>
    </w:p>
    <w:p w14:paraId="23F32FE2" w14:textId="77777777" w:rsidR="001F03F4" w:rsidRPr="00590BAD" w:rsidRDefault="001F03F4" w:rsidP="00D73C9A">
      <w:pPr>
        <w:spacing w:after="120"/>
        <w:rPr>
          <w:rFonts w:eastAsia="Calibri" w:cstheme="minorHAnsi"/>
          <w:szCs w:val="20"/>
          <w:lang w:val="sr-Cyrl-RS" w:eastAsia="ja-JP"/>
        </w:rPr>
      </w:pPr>
      <w:r w:rsidRPr="00590BAD">
        <w:rPr>
          <w:rFonts w:eastAsia="Calibri" w:cstheme="minorHAnsi"/>
          <w:szCs w:val="20"/>
          <w:lang w:val="sr-Cyrl-RS" w:eastAsia="ja-JP"/>
        </w:rPr>
        <w:t>Чланом 27е Закона о буџетском систему предвиђено је ограничење расхода за запослене сектора државе од 10% БДП. Усклађивање плата у свим институцијама (ентитетима) које чине сектор државе, ограничено је дефинисаним учешћем ових расхода у БДП. Надаље, ово ограничење коригује се навише у случају повећања обухвата сектора државе, односно укључивањем нових ентитета у сектор државе, односно наниже у случају искључивања ентитета из сектора државе</w:t>
      </w:r>
      <w:r w:rsidRPr="00590BAD">
        <w:rPr>
          <w:rStyle w:val="FootnoteReference"/>
          <w:rFonts w:eastAsia="Calibri" w:cstheme="minorHAnsi"/>
          <w:szCs w:val="20"/>
          <w:lang w:val="sr-Cyrl-RS" w:eastAsia="ja-JP"/>
        </w:rPr>
        <w:footnoteReference w:id="3"/>
      </w:r>
      <w:r w:rsidRPr="00590BAD">
        <w:rPr>
          <w:rFonts w:eastAsia="Calibri" w:cstheme="minorHAnsi"/>
          <w:szCs w:val="20"/>
          <w:lang w:val="sr-Cyrl-RS" w:eastAsia="ja-JP"/>
        </w:rPr>
        <w:t>.</w:t>
      </w:r>
    </w:p>
    <w:p w14:paraId="4380B7AF" w14:textId="77777777" w:rsidR="001F03F4" w:rsidRPr="00122D22" w:rsidRDefault="001F03F4" w:rsidP="00D73C9A">
      <w:pPr>
        <w:widowControl w:val="0"/>
        <w:spacing w:after="120"/>
        <w:rPr>
          <w:rFonts w:eastAsia="Calibri" w:cstheme="minorHAnsi"/>
          <w:spacing w:val="2"/>
          <w:szCs w:val="20"/>
          <w:lang w:val="sr-Cyrl-RS" w:eastAsia="ja-JP"/>
        </w:rPr>
      </w:pPr>
      <w:r w:rsidRPr="00590BAD">
        <w:rPr>
          <w:rFonts w:eastAsia="Calibri" w:cstheme="minorHAnsi"/>
          <w:spacing w:val="2"/>
          <w:szCs w:val="20"/>
          <w:lang w:val="sr-Cyrl-RS" w:eastAsia="ja-JP"/>
        </w:rPr>
        <w:t xml:space="preserve">Како је фискални оквир сектора државе проширен за сопствена средства здравствених установа и средњих школа, процењени ниво расхода за запослене из тих средстава је 0,2% БДП. </w:t>
      </w:r>
      <w:r w:rsidRPr="00590BAD">
        <w:rPr>
          <w:rFonts w:eastAsia="Calibri" w:cstheme="minorHAnsi"/>
          <w:bCs/>
          <w:spacing w:val="2"/>
          <w:szCs w:val="20"/>
          <w:lang w:val="sr-Cyrl-RS" w:eastAsia="ja-JP"/>
        </w:rPr>
        <w:t xml:space="preserve">Проширивање обухвата сектора државе, по </w:t>
      </w:r>
      <w:r w:rsidRPr="00590BAD">
        <w:rPr>
          <w:rFonts w:eastAsia="Calibri" w:cstheme="minorHAnsi"/>
          <w:bCs/>
          <w:spacing w:val="2"/>
          <w:szCs w:val="20"/>
          <w:lang w:val="sr-Cyrl-RS" w:eastAsia="ja-JP"/>
        </w:rPr>
        <w:t xml:space="preserve">овом основу, имплицира корекцију максималног лимита за расходе запослених у сектору државе </w:t>
      </w:r>
      <w:r w:rsidRPr="00122D22">
        <w:rPr>
          <w:rFonts w:eastAsia="Calibri" w:cstheme="minorHAnsi"/>
          <w:bCs/>
          <w:spacing w:val="2"/>
          <w:szCs w:val="20"/>
          <w:lang w:val="sr-Cyrl-RS" w:eastAsia="ja-JP"/>
        </w:rPr>
        <w:t>на 10,2% БДП.</w:t>
      </w:r>
    </w:p>
    <w:p w14:paraId="3C139276" w14:textId="77777777" w:rsidR="001F03F4" w:rsidRPr="00590BAD" w:rsidRDefault="001F03F4" w:rsidP="00D73C9A">
      <w:pPr>
        <w:widowControl w:val="0"/>
        <w:spacing w:after="120"/>
        <w:rPr>
          <w:rFonts w:eastAsia="Calibri" w:cstheme="minorHAnsi"/>
          <w:szCs w:val="20"/>
          <w:lang w:val="sr-Cyrl-RS" w:eastAsia="ja-JP"/>
        </w:rPr>
      </w:pPr>
      <w:r w:rsidRPr="00590BAD">
        <w:rPr>
          <w:rFonts w:eastAsia="Calibri" w:cstheme="minorHAnsi"/>
          <w:szCs w:val="20"/>
          <w:lang w:val="sr-Cyrl-RS" w:eastAsia="ja-JP"/>
        </w:rPr>
        <w:t>Издаци за робе и услуге ће се смањивати у средњорочном периоду у смислу учешћа у БДП, с обзиром да је предвиђено да номинално расту спорије од раста номиналног БДП. Висок ниво у 2022. години у највећој мери је резултат већих расхода у сектору здравства.</w:t>
      </w:r>
    </w:p>
    <w:p w14:paraId="55E68332" w14:textId="77777777" w:rsidR="001F03F4" w:rsidRPr="00590BAD" w:rsidRDefault="001F03F4" w:rsidP="00D73C9A">
      <w:pPr>
        <w:spacing w:after="120"/>
        <w:rPr>
          <w:rFonts w:eastAsia="Calibri" w:cstheme="minorHAnsi"/>
          <w:szCs w:val="20"/>
          <w:lang w:val="sr-Cyrl-RS" w:eastAsia="ja-JP"/>
        </w:rPr>
      </w:pPr>
      <w:r w:rsidRPr="00590BAD">
        <w:rPr>
          <w:rFonts w:eastAsia="Calibri" w:cstheme="minorHAnsi"/>
          <w:szCs w:val="20"/>
          <w:lang w:val="sr-Cyrl-RS" w:eastAsia="ja-JP"/>
        </w:rPr>
        <w:t>Имајући у виду растуће трошкове задуживања на међународном финансијском тржишту и потребе за финансирањем дефицита пројектовано је да ће у наредном периоду ниво расхода за камате благо расти.</w:t>
      </w:r>
    </w:p>
    <w:p w14:paraId="0743F633" w14:textId="77777777" w:rsidR="001F03F4" w:rsidRPr="00590BAD" w:rsidRDefault="001F03F4" w:rsidP="00D73C9A">
      <w:pPr>
        <w:spacing w:after="120"/>
        <w:rPr>
          <w:rFonts w:eastAsia="Calibri" w:cstheme="minorHAnsi"/>
          <w:szCs w:val="20"/>
          <w:lang w:val="sr-Cyrl-RS" w:eastAsia="ja-JP"/>
        </w:rPr>
      </w:pPr>
      <w:r w:rsidRPr="00590BAD">
        <w:rPr>
          <w:rFonts w:eastAsia="Calibri" w:cstheme="minorHAnsi"/>
          <w:szCs w:val="20"/>
          <w:lang w:val="sr-Cyrl-RS" w:eastAsia="ja-JP"/>
        </w:rPr>
        <w:t>Социјална помоћ и трансфери становништву представљају највећу расходну категорију буџета државе. Највећа појединачна ставка ове групе расхода, а уједно и највећа ставка свих расхода, су пензије. Од 2020. године закључно са 2022. годином, пензије су се усклађивале коришћењем „швајцарске формуле”, како би се истовремено обезбедио раст животног стандарда пензионера и одрживост пензионог, и система јавних финансија. „Швајцарска формула” подразумева индексацију, односно увећање пензија једнако збиру половине стопе раста просечне зараде и половине стопе раста потрошачких цена.</w:t>
      </w:r>
    </w:p>
    <w:p w14:paraId="5548BE9E" w14:textId="77777777" w:rsidR="001F03F4" w:rsidRPr="00590BAD" w:rsidRDefault="001F03F4" w:rsidP="00D73C9A">
      <w:pPr>
        <w:spacing w:after="120"/>
        <w:rPr>
          <w:rFonts w:eastAsia="Calibri" w:cstheme="minorHAnsi"/>
          <w:szCs w:val="20"/>
          <w:lang w:val="sr-Cyrl-RS" w:eastAsia="ja-JP"/>
        </w:rPr>
      </w:pPr>
      <w:r w:rsidRPr="00590BAD">
        <w:rPr>
          <w:rFonts w:eastAsia="Calibri" w:cstheme="minorHAnsi"/>
          <w:szCs w:val="20"/>
          <w:lang w:val="sr-Cyrl-RS" w:eastAsia="ja-JP"/>
        </w:rPr>
        <w:lastRenderedPageBreak/>
        <w:t>Од 2023. године примењује се другачији начин индексације пензија, односно, усклађивање пензија узима у обзир и учешће пензија у БДП, како би се додатно заштитио животни стандард пензионера. Индексација пензија, те њихово кретање, опредељује и путању кретања укупних расхода за трансфере становништву и социјалну заштиту кад је реч о учешћу у БДП. С обзиром на тренутну процену нивоа масе пензија у БДП, за наредну годину предвиђена је индексација пензија растом просечне зараде. Поред тога, пензије ће се ванредно повећати за 5,5% до краја 2023. године. Остали облици социјалних давања и трансфера становништву у наредном периоду усклађиваће се применом прописане индексације, текућих и планираних измена политика у овој области и пројектованим бројем корисника.</w:t>
      </w:r>
    </w:p>
    <w:p w14:paraId="62C5A729" w14:textId="77777777" w:rsidR="001F03F4" w:rsidRPr="00590BAD" w:rsidRDefault="001F03F4" w:rsidP="00D73C9A">
      <w:pPr>
        <w:spacing w:after="120"/>
        <w:rPr>
          <w:rFonts w:eastAsia="Calibri" w:cstheme="minorHAnsi"/>
          <w:szCs w:val="20"/>
          <w:lang w:val="sr-Cyrl-RS" w:eastAsia="ja-JP"/>
        </w:rPr>
      </w:pPr>
      <w:r w:rsidRPr="00590BAD">
        <w:rPr>
          <w:rFonts w:eastAsia="Calibri" w:cstheme="minorHAnsi"/>
          <w:szCs w:val="20"/>
          <w:lang w:val="sr-Cyrl-RS" w:eastAsia="ja-JP"/>
        </w:rPr>
        <w:t>Смањење субвенција које служе као помоћ неефикасним сегментима јавног сектора омогућило је повећање оног дела субвенција које представљају праве подстицаје привреди, пре свега пољопривреди и малим и средњим предузећима, и које доводе до убрзања привредне активности. Током 2023. године бележи се привремени раст субвенција у смислу учешћа у БДП, узрокован већим расходима намењеним превазилажењу негативних ефеката растућих цена енергената, а који ће бити финансиран из донације Европске уније, те додатним субвенцијама намењених пољопривреди и саобраћајној инфраструктури.</w:t>
      </w:r>
    </w:p>
    <w:p w14:paraId="53AAC216" w14:textId="77777777" w:rsidR="001F03F4" w:rsidRPr="00590BAD" w:rsidRDefault="001F03F4" w:rsidP="00D73C9A">
      <w:pPr>
        <w:spacing w:after="120"/>
        <w:rPr>
          <w:rFonts w:eastAsia="Calibri" w:cstheme="minorHAnsi"/>
          <w:szCs w:val="20"/>
          <w:lang w:val="sr-Cyrl-RS" w:eastAsia="ja-JP"/>
        </w:rPr>
      </w:pPr>
      <w:r w:rsidRPr="00590BAD">
        <w:rPr>
          <w:rFonts w:eastAsia="Calibri" w:cstheme="minorHAnsi"/>
          <w:szCs w:val="20"/>
          <w:lang w:val="sr-Cyrl-RS" w:eastAsia="ja-JP"/>
        </w:rPr>
        <w:t>Категорије осталих текућих расхода чине различити издаци, као што су дотације удружењима, политичким странкама, верским и спортским организацијама, казне, накнада штете итд. Као и код субвенција једнократни раст је узрокован фискалном реакцијом на кризу, с обзиром да су се са ове позиције исплаћивали фискални стимулуси становништву.</w:t>
      </w:r>
    </w:p>
    <w:p w14:paraId="58E498F0" w14:textId="77777777" w:rsidR="001F03F4" w:rsidRPr="00590BAD" w:rsidRDefault="001F03F4" w:rsidP="00D73C9A">
      <w:pPr>
        <w:spacing w:after="120"/>
        <w:rPr>
          <w:rFonts w:eastAsia="Calibri" w:cstheme="minorHAnsi"/>
          <w:szCs w:val="20"/>
          <w:lang w:val="sr-Cyrl-RS" w:eastAsia="ja-JP"/>
        </w:rPr>
      </w:pPr>
      <w:r w:rsidRPr="00590BAD">
        <w:rPr>
          <w:rFonts w:eastAsia="Calibri" w:cstheme="minorHAnsi"/>
          <w:szCs w:val="20"/>
          <w:lang w:val="sr-Cyrl-RS" w:eastAsia="ja-JP"/>
        </w:rPr>
        <w:t xml:space="preserve">Током претходних година значајно је побољшана ефикасност извршења јавних инвестиција. Капитални расходи су у 2022. години достигли чак 7,4% БДП, упркос проблемима које је проузроковала пандемија и енергетска криза. У наредном средњорочном периоду очекује се очување високог нивоа улагања у јавну </w:t>
      </w:r>
      <w:r w:rsidRPr="00590BAD">
        <w:rPr>
          <w:rFonts w:eastAsia="Calibri" w:cstheme="minorHAnsi"/>
          <w:szCs w:val="20"/>
          <w:lang w:val="sr-Cyrl-RS" w:eastAsia="ja-JP"/>
        </w:rPr>
        <w:t>инфраструктуру, поготово након одлуке да се изложба Експо одржи 2027. године у Београду. Најзначајнији радови су на путној, железничкој, комуналној и водној инфраструктури који се углавном финансирају из међународних кредита. Поред саобраћајне инфраструктуре обезбеђена су средства за додатна капитална улагања у здравству, енергетици, заштити животне средине, просвети, култури, одбрани и другим областима које представљају најважније функције државе. Ово је све део новог инвестиционог циклуса на националном нивоу који је омогућен стварањем фискалног простора и подржан повољним условима за задуживање на међународном финансијском тржишту у претходном периоду.</w:t>
      </w:r>
    </w:p>
    <w:p w14:paraId="54CC0BF3" w14:textId="77777777" w:rsidR="001F03F4" w:rsidRPr="00590BAD" w:rsidRDefault="001F03F4" w:rsidP="00D73C9A">
      <w:pPr>
        <w:spacing w:after="120"/>
        <w:rPr>
          <w:lang w:val="sr-Cyrl-RS"/>
        </w:rPr>
      </w:pPr>
      <w:r w:rsidRPr="00590BAD">
        <w:rPr>
          <w:rFonts w:eastAsia="Calibri" w:cstheme="minorHAnsi"/>
          <w:szCs w:val="20"/>
          <w:lang w:val="sr-Cyrl-RS" w:eastAsia="ja-JP"/>
        </w:rPr>
        <w:t>Опште опредељење фискалне политике у средњем року јесте повећање улагања у инфраструктуру на свим нивоима власти. Кад је реч о локалном нивоу власти то се пре свега односи на улагања у водоводну и канализациону инфраструктуру, управљање отпадом, локалну путну инфраструктуру и друго. Град Београд је током ове године кренуо у пројекат изградње метроа, уз помоћ државе.</w:t>
      </w:r>
    </w:p>
    <w:p w14:paraId="32F33E2C" w14:textId="77777777" w:rsidR="001F03F4" w:rsidRPr="00590BAD" w:rsidRDefault="001F03F4" w:rsidP="00D73C9A">
      <w:pPr>
        <w:spacing w:after="120"/>
        <w:rPr>
          <w:rFonts w:eastAsia="Calibri" w:cstheme="minorHAnsi"/>
          <w:szCs w:val="20"/>
          <w:lang w:val="sr-Cyrl-RS" w:eastAsia="ja-JP"/>
        </w:rPr>
      </w:pPr>
      <w:r w:rsidRPr="00590BAD">
        <w:rPr>
          <w:rFonts w:eastAsia="Calibri" w:cstheme="minorHAnsi"/>
          <w:szCs w:val="20"/>
          <w:lang w:val="sr-Cyrl-RS" w:eastAsia="ja-JP"/>
        </w:rPr>
        <w:t>У средњорочном фискалном оквиру, до краја 2026. године, пројектована је избалансирана укупна фискална позиција локалне самоуправе. То значи да у збиру сви градови и општине имају приближно избалансиран буџет. Пројекција је рађена на основу кретања у претходном периоду, у коме су збирно ЈЛС најчешће биле у суфициту. Овакво стање на нивоу свих локалних самоуправа је последица раздуживања у претходном периоду. То не значи да појединачне ЈЛС не могу забележити дефицит (у складу са фискалним правилом), што зависи од фискалне позиције сваке појединачне општине и града.</w:t>
      </w:r>
    </w:p>
    <w:p w14:paraId="38A4F01B" w14:textId="77777777" w:rsidR="001F03F4" w:rsidRPr="00590BAD" w:rsidRDefault="001F03F4" w:rsidP="00D73C9A">
      <w:pPr>
        <w:spacing w:after="120"/>
        <w:rPr>
          <w:rFonts w:eastAsia="Calibri" w:cstheme="minorHAnsi"/>
          <w:szCs w:val="20"/>
          <w:lang w:val="sr-Cyrl-RS" w:eastAsia="ja-JP"/>
        </w:rPr>
      </w:pPr>
      <w:r w:rsidRPr="00590BAD">
        <w:rPr>
          <w:rFonts w:eastAsia="Calibri" w:cstheme="minorHAnsi"/>
          <w:szCs w:val="20"/>
          <w:lang w:val="sr-Cyrl-RS" w:eastAsia="ja-JP"/>
        </w:rPr>
        <w:t>На кретање категорије буџетских позајмица највише су утицала средства намењена превазилажењу негативних последица енергетске кризе. У 2022. години за ове потребе су исплаћена средства у износу од 2,7% БДП, а у 2023. години је процењено да ће извршење бити око 0,5% БДП. У наредном периоду очекује се снижавање учешћа ове расходне категорије на 0,2% БДП.</w:t>
      </w:r>
    </w:p>
    <w:p w14:paraId="2A9C18A5" w14:textId="77777777" w:rsidR="001F03F4" w:rsidRPr="00590BAD" w:rsidRDefault="001F03F4" w:rsidP="00D73C9A">
      <w:pPr>
        <w:spacing w:after="120"/>
        <w:rPr>
          <w:rFonts w:eastAsia="Calibri" w:cstheme="minorHAnsi"/>
          <w:szCs w:val="20"/>
          <w:lang w:val="sr-Cyrl-RS" w:eastAsia="ja-JP"/>
        </w:rPr>
      </w:pPr>
      <w:r w:rsidRPr="00590BAD">
        <w:rPr>
          <w:rFonts w:eastAsia="Calibri" w:cstheme="minorHAnsi"/>
          <w:szCs w:val="20"/>
          <w:lang w:val="sr-Cyrl-RS" w:eastAsia="ja-JP"/>
        </w:rPr>
        <w:t xml:space="preserve">Отплата по основу издатих гаранција и плаћање гаранција по комерцијалним трансакцијама </w:t>
      </w:r>
      <w:r w:rsidRPr="00590BAD">
        <w:rPr>
          <w:rFonts w:eastAsia="Calibri" w:cstheme="minorHAnsi"/>
          <w:szCs w:val="20"/>
          <w:lang w:val="sr-Cyrl-RS" w:eastAsia="ja-JP"/>
        </w:rPr>
        <w:lastRenderedPageBreak/>
        <w:t>представљају обавезе по основу дуга јавних предузећа које је републички буџет преузео на себе, с обзиром да та предузећа нису могла самостално да их извршавају. Ови расходи су представљали велики терет за буџет с обзиром на дугогодишње неефикасно пословање великог броја државних предузећа и привредних друштава. У претходном периоду ови расходи су значајно смањени, а планом отплате предвиђено је да ће до 2026. године ови расходи износити 0,2% БДП на годишњем нивоу.</w:t>
      </w:r>
    </w:p>
    <w:p w14:paraId="416A4DCE" w14:textId="77777777" w:rsidR="001F03F4" w:rsidRPr="00590BAD" w:rsidRDefault="001F03F4" w:rsidP="00D73C9A">
      <w:pPr>
        <w:spacing w:after="120"/>
        <w:rPr>
          <w:rFonts w:cstheme="minorHAnsi"/>
          <w:b/>
          <w:bCs/>
          <w:color w:val="2F5496" w:themeColor="accent1" w:themeShade="BF"/>
          <w:sz w:val="22"/>
          <w:szCs w:val="20"/>
          <w:lang w:val="sr-Cyrl-RS"/>
        </w:rPr>
      </w:pPr>
      <w:r w:rsidRPr="00590BAD">
        <w:rPr>
          <w:rFonts w:cstheme="minorHAnsi"/>
          <w:b/>
          <w:bCs/>
          <w:color w:val="2F5496" w:themeColor="accent1" w:themeShade="BF"/>
          <w:sz w:val="22"/>
          <w:szCs w:val="20"/>
          <w:lang w:val="sr-Cyrl-RS"/>
        </w:rPr>
        <w:t>Поређење са претходним програмом</w:t>
      </w:r>
    </w:p>
    <w:p w14:paraId="2637A5D7" w14:textId="77777777" w:rsidR="001F03F4" w:rsidRPr="00E91B69" w:rsidRDefault="001F03F4" w:rsidP="00D73C9A">
      <w:pPr>
        <w:spacing w:after="120"/>
        <w:rPr>
          <w:lang w:val="sr-Cyrl-RS"/>
        </w:rPr>
      </w:pPr>
      <w:r w:rsidRPr="00590BAD">
        <w:rPr>
          <w:rFonts w:cstheme="minorHAnsi"/>
          <w:bCs/>
          <w:szCs w:val="20"/>
          <w:lang w:val="sr-Cyrl-RS"/>
        </w:rPr>
        <w:t>Средњорочни фискални оквир није значајно промењен у односу на претходни документ</w:t>
      </w:r>
      <w:r w:rsidRPr="00590BAD">
        <w:rPr>
          <w:rFonts w:cstheme="minorHAnsi"/>
          <w:bCs/>
          <w:szCs w:val="20"/>
          <w:vertAlign w:val="superscript"/>
          <w:lang w:val="sr-Cyrl-RS"/>
        </w:rPr>
        <w:footnoteReference w:id="4"/>
      </w:r>
      <w:r w:rsidRPr="00590BAD">
        <w:rPr>
          <w:rFonts w:cstheme="minorHAnsi"/>
          <w:bCs/>
          <w:szCs w:val="20"/>
          <w:lang w:val="sr-Cyrl-RS"/>
        </w:rPr>
        <w:t>, осим што су бољи приходи допринели смањењу очекиваног дефицита у текућој години. Средњорочни циљеви се нису променили, од 2025. године планирани дефицити су у складу са фискалним правилима, што омогућава даље смањивање учешћа јавног дуга у БДП.</w:t>
      </w:r>
    </w:p>
    <w:p w14:paraId="3FE1DFF4" w14:textId="77777777" w:rsidR="001F03F4" w:rsidRPr="00590BAD" w:rsidRDefault="001F03F4" w:rsidP="00D73C9A">
      <w:pPr>
        <w:spacing w:after="120"/>
        <w:jc w:val="center"/>
        <w:rPr>
          <w:rFonts w:eastAsia="MS PGothic" w:cstheme="minorHAnsi"/>
          <w:b/>
          <w:color w:val="002060"/>
          <w:szCs w:val="20"/>
          <w:lang w:val="sr-Cyrl-RS" w:eastAsia="ja-JP"/>
        </w:rPr>
        <w:sectPr w:rsidR="001F03F4" w:rsidRPr="00590BAD" w:rsidSect="00E05893">
          <w:footerReference w:type="even" r:id="rId147"/>
          <w:footerReference w:type="default" r:id="rId148"/>
          <w:headerReference w:type="first" r:id="rId149"/>
          <w:type w:val="continuous"/>
          <w:pgSz w:w="12240" w:h="15840" w:code="1"/>
          <w:pgMar w:top="1440" w:right="1440" w:bottom="1440" w:left="1440" w:header="720" w:footer="720" w:gutter="0"/>
          <w:cols w:num="2" w:space="720"/>
          <w:docGrid w:linePitch="360"/>
          <w15:footnoteColumns w:val="1"/>
        </w:sectPr>
      </w:pPr>
    </w:p>
    <w:p w14:paraId="57596BFB" w14:textId="77777777" w:rsidR="001F03F4" w:rsidRPr="00590BAD" w:rsidRDefault="001F03F4" w:rsidP="00D73C9A">
      <w:pPr>
        <w:spacing w:after="120"/>
        <w:jc w:val="center"/>
        <w:rPr>
          <w:rFonts w:eastAsia="MS PGothic" w:cstheme="minorHAnsi"/>
          <w:b/>
          <w:color w:val="002060"/>
          <w:szCs w:val="20"/>
          <w:lang w:val="sr-Cyrl-RS" w:eastAsia="ja-JP"/>
        </w:rPr>
      </w:pPr>
      <w:r w:rsidRPr="00590BAD">
        <w:rPr>
          <w:rFonts w:eastAsia="MS PGothic" w:cstheme="minorHAnsi"/>
          <w:b/>
          <w:color w:val="002060"/>
          <w:szCs w:val="20"/>
          <w:lang w:val="sr-Cyrl-RS" w:eastAsia="ja-JP"/>
        </w:rPr>
        <w:t>Табела 11. Поређење фискалних показатеља два програма, у % БДП</w:t>
      </w:r>
    </w:p>
    <w:tbl>
      <w:tblPr>
        <w:tblStyle w:val="ListTable6Colorful-Accent610"/>
        <w:tblW w:w="5000" w:type="pct"/>
        <w:tblLook w:val="04A0" w:firstRow="1" w:lastRow="0" w:firstColumn="1" w:lastColumn="0" w:noHBand="0" w:noVBand="1"/>
      </w:tblPr>
      <w:tblGrid>
        <w:gridCol w:w="5142"/>
        <w:gridCol w:w="842"/>
        <w:gridCol w:w="842"/>
        <w:gridCol w:w="842"/>
        <w:gridCol w:w="844"/>
        <w:gridCol w:w="848"/>
      </w:tblGrid>
      <w:tr w:rsidR="001F03F4" w:rsidRPr="00590BAD" w14:paraId="30559B09" w14:textId="77777777" w:rsidTr="00D73C9A">
        <w:trPr>
          <w:cnfStyle w:val="100000000000" w:firstRow="1" w:lastRow="0" w:firstColumn="0" w:lastColumn="0" w:oddVBand="0" w:evenVBand="0" w:oddHBand="0"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216" w:type="pct"/>
            <w:tcBorders>
              <w:top w:val="single" w:sz="4" w:space="0" w:color="002060"/>
              <w:bottom w:val="single" w:sz="4" w:space="0" w:color="FFFFFF" w:themeColor="background1"/>
            </w:tcBorders>
            <w:shd w:val="clear" w:color="auto" w:fill="FFFFFF" w:themeFill="background1"/>
            <w:noWrap/>
            <w:hideMark/>
          </w:tcPr>
          <w:p w14:paraId="1C905BF2" w14:textId="77777777" w:rsidR="001F03F4" w:rsidRPr="00590BAD" w:rsidRDefault="001F03F4" w:rsidP="00E05893">
            <w:pPr>
              <w:keepNext/>
              <w:widowControl w:val="0"/>
              <w:shd w:val="clear" w:color="auto" w:fill="FFFFFF" w:themeFill="background1"/>
              <w:spacing w:line="276" w:lineRule="auto"/>
              <w:rPr>
                <w:rFonts w:eastAsia="Times New Roman" w:cstheme="minorHAnsi"/>
                <w:b w:val="0"/>
                <w:color w:val="002060"/>
                <w:sz w:val="18"/>
                <w:szCs w:val="18"/>
                <w:lang w:val="sr-Cyrl-RS"/>
              </w:rPr>
            </w:pPr>
          </w:p>
        </w:tc>
        <w:tc>
          <w:tcPr>
            <w:tcW w:w="556" w:type="pct"/>
            <w:tcBorders>
              <w:top w:val="single" w:sz="4" w:space="0" w:color="002060"/>
              <w:bottom w:val="single" w:sz="4" w:space="0" w:color="002060"/>
            </w:tcBorders>
            <w:shd w:val="clear" w:color="auto" w:fill="FFFFFF" w:themeFill="background1"/>
            <w:noWrap/>
            <w:hideMark/>
          </w:tcPr>
          <w:p w14:paraId="69240BA2" w14:textId="77777777" w:rsidR="001F03F4" w:rsidRPr="00590BAD" w:rsidRDefault="001F03F4" w:rsidP="00E0589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590BAD">
              <w:rPr>
                <w:rFonts w:eastAsia="Times New Roman" w:cstheme="minorHAnsi"/>
                <w:b w:val="0"/>
                <w:color w:val="002060"/>
                <w:sz w:val="18"/>
                <w:szCs w:val="18"/>
                <w:lang w:val="sr-Cyrl-RS"/>
              </w:rPr>
              <w:t>2022</w:t>
            </w:r>
          </w:p>
        </w:tc>
        <w:tc>
          <w:tcPr>
            <w:tcW w:w="556" w:type="pct"/>
            <w:tcBorders>
              <w:top w:val="single" w:sz="4" w:space="0" w:color="002060"/>
              <w:bottom w:val="single" w:sz="4" w:space="0" w:color="002060"/>
            </w:tcBorders>
            <w:shd w:val="clear" w:color="auto" w:fill="FFFFFF" w:themeFill="background1"/>
            <w:noWrap/>
            <w:hideMark/>
          </w:tcPr>
          <w:p w14:paraId="26DF32F3" w14:textId="77777777" w:rsidR="001F03F4" w:rsidRPr="00590BAD" w:rsidRDefault="001F03F4" w:rsidP="00E0589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590BAD">
              <w:rPr>
                <w:rFonts w:eastAsia="Times New Roman" w:cstheme="minorHAnsi"/>
                <w:b w:val="0"/>
                <w:color w:val="002060"/>
                <w:sz w:val="18"/>
                <w:szCs w:val="18"/>
                <w:lang w:val="sr-Cyrl-RS"/>
              </w:rPr>
              <w:t>2023</w:t>
            </w:r>
          </w:p>
        </w:tc>
        <w:tc>
          <w:tcPr>
            <w:tcW w:w="556" w:type="pct"/>
            <w:tcBorders>
              <w:top w:val="single" w:sz="4" w:space="0" w:color="002060"/>
              <w:bottom w:val="single" w:sz="4" w:space="0" w:color="002060"/>
            </w:tcBorders>
            <w:shd w:val="clear" w:color="auto" w:fill="FFFFFF" w:themeFill="background1"/>
            <w:noWrap/>
            <w:hideMark/>
          </w:tcPr>
          <w:p w14:paraId="5BB259BC" w14:textId="77777777" w:rsidR="001F03F4" w:rsidRPr="00590BAD" w:rsidRDefault="001F03F4" w:rsidP="00E0589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590BAD">
              <w:rPr>
                <w:rFonts w:eastAsia="Times New Roman" w:cstheme="minorHAnsi"/>
                <w:b w:val="0"/>
                <w:color w:val="002060"/>
                <w:sz w:val="18"/>
                <w:szCs w:val="18"/>
                <w:lang w:val="sr-Cyrl-RS"/>
              </w:rPr>
              <w:t>2024</w:t>
            </w:r>
          </w:p>
        </w:tc>
        <w:tc>
          <w:tcPr>
            <w:tcW w:w="557" w:type="pct"/>
            <w:tcBorders>
              <w:top w:val="single" w:sz="4" w:space="0" w:color="002060"/>
              <w:bottom w:val="single" w:sz="4" w:space="0" w:color="002060"/>
            </w:tcBorders>
            <w:shd w:val="clear" w:color="auto" w:fill="FFFFFF" w:themeFill="background1"/>
            <w:noWrap/>
            <w:hideMark/>
          </w:tcPr>
          <w:p w14:paraId="642969BF" w14:textId="77777777" w:rsidR="001F03F4" w:rsidRPr="00590BAD" w:rsidRDefault="001F03F4" w:rsidP="00E0589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590BAD">
              <w:rPr>
                <w:rFonts w:eastAsia="Times New Roman" w:cstheme="minorHAnsi"/>
                <w:b w:val="0"/>
                <w:color w:val="002060"/>
                <w:sz w:val="18"/>
                <w:szCs w:val="18"/>
                <w:lang w:val="sr-Cyrl-RS"/>
              </w:rPr>
              <w:t>2025</w:t>
            </w:r>
          </w:p>
        </w:tc>
        <w:tc>
          <w:tcPr>
            <w:tcW w:w="559" w:type="pct"/>
            <w:tcBorders>
              <w:top w:val="single" w:sz="4" w:space="0" w:color="002060"/>
              <w:bottom w:val="single" w:sz="4" w:space="0" w:color="002060"/>
            </w:tcBorders>
            <w:shd w:val="clear" w:color="auto" w:fill="FFFFFF" w:themeFill="background1"/>
            <w:noWrap/>
            <w:hideMark/>
          </w:tcPr>
          <w:p w14:paraId="23CAA62C" w14:textId="77777777" w:rsidR="001F03F4" w:rsidRPr="00590BAD" w:rsidRDefault="001F03F4" w:rsidP="00E0589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590BAD">
              <w:rPr>
                <w:rFonts w:eastAsia="Times New Roman" w:cstheme="minorHAnsi"/>
                <w:b w:val="0"/>
                <w:color w:val="002060"/>
                <w:sz w:val="18"/>
                <w:szCs w:val="18"/>
                <w:lang w:val="sr-Cyrl-RS"/>
              </w:rPr>
              <w:t>2026</w:t>
            </w:r>
          </w:p>
        </w:tc>
      </w:tr>
      <w:tr w:rsidR="001F03F4" w:rsidRPr="00590BAD" w14:paraId="049A5D7A" w14:textId="77777777" w:rsidTr="00D73C9A">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216" w:type="pct"/>
            <w:tcBorders>
              <w:top w:val="single" w:sz="4" w:space="0" w:color="FFFFFF" w:themeColor="background1"/>
            </w:tcBorders>
            <w:shd w:val="clear" w:color="auto" w:fill="FFFFFF" w:themeFill="background1"/>
            <w:noWrap/>
            <w:hideMark/>
          </w:tcPr>
          <w:p w14:paraId="5F2972D2" w14:textId="77777777" w:rsidR="001F03F4" w:rsidRPr="00590BAD" w:rsidRDefault="001F03F4" w:rsidP="00D73C9A">
            <w:pPr>
              <w:keepNext/>
              <w:widowControl w:val="0"/>
              <w:shd w:val="clear" w:color="auto" w:fill="FFFFFF" w:themeFill="background1"/>
              <w:spacing w:line="276" w:lineRule="auto"/>
              <w:rPr>
                <w:rFonts w:eastAsia="Times New Roman" w:cstheme="minorHAnsi"/>
                <w:color w:val="002060"/>
                <w:sz w:val="18"/>
                <w:szCs w:val="18"/>
                <w:lang w:val="sr-Cyrl-RS"/>
              </w:rPr>
            </w:pPr>
            <w:r w:rsidRPr="00590BAD">
              <w:rPr>
                <w:rFonts w:eastAsia="Times New Roman" w:cstheme="minorHAnsi"/>
                <w:color w:val="002060"/>
                <w:sz w:val="18"/>
                <w:szCs w:val="18"/>
                <w:lang w:val="sr-Cyrl-RS"/>
              </w:rPr>
              <w:t>Фискална стратегија за период 2024–2026. године</w:t>
            </w:r>
          </w:p>
        </w:tc>
        <w:tc>
          <w:tcPr>
            <w:tcW w:w="556" w:type="pct"/>
            <w:tcBorders>
              <w:top w:val="single" w:sz="4" w:space="0" w:color="002060"/>
            </w:tcBorders>
            <w:shd w:val="clear" w:color="auto" w:fill="FFFFFF" w:themeFill="background1"/>
            <w:noWrap/>
            <w:hideMark/>
          </w:tcPr>
          <w:p w14:paraId="5426D83A"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556" w:type="pct"/>
            <w:tcBorders>
              <w:top w:val="single" w:sz="4" w:space="0" w:color="002060"/>
            </w:tcBorders>
            <w:shd w:val="clear" w:color="auto" w:fill="FFFFFF" w:themeFill="background1"/>
            <w:noWrap/>
            <w:hideMark/>
          </w:tcPr>
          <w:p w14:paraId="7141FF29"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556" w:type="pct"/>
            <w:tcBorders>
              <w:top w:val="single" w:sz="4" w:space="0" w:color="002060"/>
            </w:tcBorders>
            <w:shd w:val="clear" w:color="auto" w:fill="FFFFFF" w:themeFill="background1"/>
            <w:noWrap/>
            <w:hideMark/>
          </w:tcPr>
          <w:p w14:paraId="0BE6BCC9"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557" w:type="pct"/>
            <w:tcBorders>
              <w:top w:val="single" w:sz="4" w:space="0" w:color="002060"/>
            </w:tcBorders>
            <w:shd w:val="clear" w:color="auto" w:fill="FFFFFF" w:themeFill="background1"/>
            <w:noWrap/>
            <w:hideMark/>
          </w:tcPr>
          <w:p w14:paraId="2DE52C49"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559" w:type="pct"/>
            <w:tcBorders>
              <w:top w:val="single" w:sz="4" w:space="0" w:color="002060"/>
            </w:tcBorders>
            <w:shd w:val="clear" w:color="auto" w:fill="FFFFFF" w:themeFill="background1"/>
            <w:noWrap/>
            <w:hideMark/>
          </w:tcPr>
          <w:p w14:paraId="4BE0A803"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r>
      <w:tr w:rsidR="001F03F4" w:rsidRPr="00590BAD" w14:paraId="1B3A9499" w14:textId="77777777" w:rsidTr="00D73C9A">
        <w:trPr>
          <w:trHeight w:val="241"/>
        </w:trPr>
        <w:tc>
          <w:tcPr>
            <w:cnfStyle w:val="001000000000" w:firstRow="0" w:lastRow="0" w:firstColumn="1" w:lastColumn="0" w:oddVBand="0" w:evenVBand="0" w:oddHBand="0" w:evenHBand="0" w:firstRowFirstColumn="0" w:firstRowLastColumn="0" w:lastRowFirstColumn="0" w:lastRowLastColumn="0"/>
            <w:tcW w:w="2216" w:type="pct"/>
            <w:shd w:val="clear" w:color="auto" w:fill="FFFFFF" w:themeFill="background1"/>
            <w:noWrap/>
            <w:hideMark/>
          </w:tcPr>
          <w:p w14:paraId="3100B164" w14:textId="77777777" w:rsidR="001F03F4" w:rsidRPr="00590BAD" w:rsidRDefault="001F03F4" w:rsidP="00D73C9A">
            <w:pPr>
              <w:keepNext/>
              <w:widowControl w:val="0"/>
              <w:shd w:val="clear" w:color="auto" w:fill="FFFFFF" w:themeFill="background1"/>
              <w:spacing w:line="276" w:lineRule="auto"/>
              <w:rPr>
                <w:rFonts w:eastAsia="Times New Roman" w:cstheme="minorHAnsi"/>
                <w:b w:val="0"/>
                <w:color w:val="002060"/>
                <w:sz w:val="18"/>
                <w:szCs w:val="18"/>
                <w:lang w:val="sr-Cyrl-RS"/>
              </w:rPr>
            </w:pPr>
            <w:r w:rsidRPr="00590BAD">
              <w:rPr>
                <w:rFonts w:eastAsia="Times New Roman" w:cstheme="minorHAnsi"/>
                <w:b w:val="0"/>
                <w:color w:val="002060"/>
                <w:sz w:val="18"/>
                <w:szCs w:val="18"/>
                <w:lang w:val="sr-Cyrl-RS"/>
              </w:rPr>
              <w:t>Приходи</w:t>
            </w:r>
          </w:p>
        </w:tc>
        <w:tc>
          <w:tcPr>
            <w:tcW w:w="556" w:type="pct"/>
            <w:tcBorders>
              <w:top w:val="nil"/>
              <w:bottom w:val="nil"/>
            </w:tcBorders>
            <w:shd w:val="clear" w:color="auto" w:fill="auto"/>
            <w:noWrap/>
            <w:vAlign w:val="center"/>
            <w:hideMark/>
          </w:tcPr>
          <w:p w14:paraId="02A21948" w14:textId="77777777" w:rsidR="001F03F4" w:rsidRPr="00590BAD" w:rsidRDefault="001F03F4" w:rsidP="00D73C9A">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43,8</w:t>
            </w:r>
          </w:p>
        </w:tc>
        <w:tc>
          <w:tcPr>
            <w:tcW w:w="556" w:type="pct"/>
            <w:tcBorders>
              <w:top w:val="nil"/>
              <w:bottom w:val="nil"/>
            </w:tcBorders>
            <w:shd w:val="clear" w:color="auto" w:fill="auto"/>
            <w:noWrap/>
            <w:vAlign w:val="center"/>
            <w:hideMark/>
          </w:tcPr>
          <w:p w14:paraId="1FB08B5E" w14:textId="77777777" w:rsidR="001F03F4" w:rsidRPr="00590BAD" w:rsidRDefault="001F03F4" w:rsidP="00D73C9A">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41,8</w:t>
            </w:r>
          </w:p>
        </w:tc>
        <w:tc>
          <w:tcPr>
            <w:tcW w:w="556" w:type="pct"/>
            <w:tcBorders>
              <w:top w:val="nil"/>
              <w:bottom w:val="nil"/>
            </w:tcBorders>
            <w:shd w:val="clear" w:color="auto" w:fill="auto"/>
            <w:noWrap/>
            <w:vAlign w:val="center"/>
            <w:hideMark/>
          </w:tcPr>
          <w:p w14:paraId="52DF4F12" w14:textId="77777777" w:rsidR="001F03F4" w:rsidRPr="00590BAD" w:rsidRDefault="001F03F4" w:rsidP="00D73C9A">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41,5</w:t>
            </w:r>
          </w:p>
        </w:tc>
        <w:tc>
          <w:tcPr>
            <w:tcW w:w="557" w:type="pct"/>
            <w:tcBorders>
              <w:top w:val="nil"/>
              <w:bottom w:val="nil"/>
            </w:tcBorders>
            <w:shd w:val="clear" w:color="auto" w:fill="auto"/>
            <w:noWrap/>
            <w:vAlign w:val="center"/>
            <w:hideMark/>
          </w:tcPr>
          <w:p w14:paraId="5BE93FAD" w14:textId="77777777" w:rsidR="001F03F4" w:rsidRPr="00590BAD" w:rsidRDefault="001F03F4" w:rsidP="00D73C9A">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41,5</w:t>
            </w:r>
          </w:p>
        </w:tc>
        <w:tc>
          <w:tcPr>
            <w:tcW w:w="559" w:type="pct"/>
            <w:tcBorders>
              <w:top w:val="nil"/>
              <w:bottom w:val="nil"/>
            </w:tcBorders>
            <w:shd w:val="clear" w:color="auto" w:fill="auto"/>
            <w:noWrap/>
            <w:vAlign w:val="center"/>
            <w:hideMark/>
          </w:tcPr>
          <w:p w14:paraId="1E3CBD65" w14:textId="77777777" w:rsidR="001F03F4" w:rsidRPr="00590BAD" w:rsidRDefault="001F03F4" w:rsidP="00D73C9A">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41,4</w:t>
            </w:r>
          </w:p>
        </w:tc>
      </w:tr>
      <w:tr w:rsidR="001F03F4" w:rsidRPr="00590BAD" w14:paraId="76FE10F0" w14:textId="77777777" w:rsidTr="00D73C9A">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216" w:type="pct"/>
            <w:shd w:val="clear" w:color="auto" w:fill="FFFFFF" w:themeFill="background1"/>
            <w:noWrap/>
            <w:hideMark/>
          </w:tcPr>
          <w:p w14:paraId="3163814F" w14:textId="77777777" w:rsidR="001F03F4" w:rsidRPr="00590BAD" w:rsidRDefault="001F03F4" w:rsidP="00D73C9A">
            <w:pPr>
              <w:keepNext/>
              <w:widowControl w:val="0"/>
              <w:shd w:val="clear" w:color="auto" w:fill="FFFFFF" w:themeFill="background1"/>
              <w:spacing w:line="276" w:lineRule="auto"/>
              <w:rPr>
                <w:rFonts w:eastAsia="Times New Roman" w:cstheme="minorHAnsi"/>
                <w:b w:val="0"/>
                <w:color w:val="002060"/>
                <w:sz w:val="18"/>
                <w:szCs w:val="18"/>
                <w:lang w:val="sr-Cyrl-RS"/>
              </w:rPr>
            </w:pPr>
            <w:r w:rsidRPr="00590BAD">
              <w:rPr>
                <w:rFonts w:eastAsia="Times New Roman" w:cstheme="minorHAnsi"/>
                <w:b w:val="0"/>
                <w:color w:val="002060"/>
                <w:sz w:val="18"/>
                <w:szCs w:val="18"/>
                <w:lang w:val="sr-Cyrl-RS"/>
              </w:rPr>
              <w:t>Расходи</w:t>
            </w:r>
          </w:p>
        </w:tc>
        <w:tc>
          <w:tcPr>
            <w:tcW w:w="556" w:type="pct"/>
            <w:tcBorders>
              <w:top w:val="nil"/>
            </w:tcBorders>
            <w:shd w:val="clear" w:color="auto" w:fill="auto"/>
            <w:noWrap/>
            <w:vAlign w:val="center"/>
            <w:hideMark/>
          </w:tcPr>
          <w:p w14:paraId="5164715D" w14:textId="77777777" w:rsidR="001F03F4" w:rsidRPr="00590BAD" w:rsidRDefault="001F03F4" w:rsidP="00D73C9A">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46,9</w:t>
            </w:r>
          </w:p>
        </w:tc>
        <w:tc>
          <w:tcPr>
            <w:tcW w:w="556" w:type="pct"/>
            <w:tcBorders>
              <w:top w:val="nil"/>
            </w:tcBorders>
            <w:shd w:val="clear" w:color="auto" w:fill="auto"/>
            <w:noWrap/>
            <w:vAlign w:val="center"/>
            <w:hideMark/>
          </w:tcPr>
          <w:p w14:paraId="155DE96F" w14:textId="77777777" w:rsidR="001F03F4" w:rsidRPr="00590BAD" w:rsidRDefault="001F03F4" w:rsidP="00D73C9A">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44,9</w:t>
            </w:r>
          </w:p>
        </w:tc>
        <w:tc>
          <w:tcPr>
            <w:tcW w:w="556" w:type="pct"/>
            <w:tcBorders>
              <w:top w:val="nil"/>
            </w:tcBorders>
            <w:shd w:val="clear" w:color="auto" w:fill="auto"/>
            <w:noWrap/>
            <w:vAlign w:val="center"/>
            <w:hideMark/>
          </w:tcPr>
          <w:p w14:paraId="4ED10956" w14:textId="77777777" w:rsidR="001F03F4" w:rsidRPr="00590BAD" w:rsidRDefault="001F03F4" w:rsidP="00D73C9A">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43,8</w:t>
            </w:r>
          </w:p>
        </w:tc>
        <w:tc>
          <w:tcPr>
            <w:tcW w:w="557" w:type="pct"/>
            <w:tcBorders>
              <w:top w:val="nil"/>
            </w:tcBorders>
            <w:shd w:val="clear" w:color="auto" w:fill="auto"/>
            <w:noWrap/>
            <w:vAlign w:val="center"/>
            <w:hideMark/>
          </w:tcPr>
          <w:p w14:paraId="4460030E" w14:textId="77777777" w:rsidR="001F03F4" w:rsidRPr="00590BAD" w:rsidRDefault="001F03F4" w:rsidP="00D73C9A">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43,0</w:t>
            </w:r>
          </w:p>
        </w:tc>
        <w:tc>
          <w:tcPr>
            <w:tcW w:w="559" w:type="pct"/>
            <w:tcBorders>
              <w:top w:val="nil"/>
            </w:tcBorders>
            <w:shd w:val="clear" w:color="auto" w:fill="auto"/>
            <w:noWrap/>
            <w:vAlign w:val="center"/>
            <w:hideMark/>
          </w:tcPr>
          <w:p w14:paraId="32620F9F" w14:textId="77777777" w:rsidR="001F03F4" w:rsidRPr="00590BAD" w:rsidRDefault="001F03F4" w:rsidP="00D73C9A">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42,9</w:t>
            </w:r>
          </w:p>
        </w:tc>
      </w:tr>
      <w:tr w:rsidR="001F03F4" w:rsidRPr="00590BAD" w14:paraId="00727605" w14:textId="77777777" w:rsidTr="00D73C9A">
        <w:trPr>
          <w:trHeight w:val="241"/>
        </w:trPr>
        <w:tc>
          <w:tcPr>
            <w:cnfStyle w:val="001000000000" w:firstRow="0" w:lastRow="0" w:firstColumn="1" w:lastColumn="0" w:oddVBand="0" w:evenVBand="0" w:oddHBand="0" w:evenHBand="0" w:firstRowFirstColumn="0" w:firstRowLastColumn="0" w:lastRowFirstColumn="0" w:lastRowLastColumn="0"/>
            <w:tcW w:w="2216" w:type="pct"/>
            <w:shd w:val="clear" w:color="auto" w:fill="FFFFFF" w:themeFill="background1"/>
            <w:noWrap/>
            <w:hideMark/>
          </w:tcPr>
          <w:p w14:paraId="0BDCC0A6" w14:textId="77777777" w:rsidR="001F03F4" w:rsidRPr="00590BAD" w:rsidRDefault="001F03F4" w:rsidP="00D73C9A">
            <w:pPr>
              <w:keepNext/>
              <w:widowControl w:val="0"/>
              <w:shd w:val="clear" w:color="auto" w:fill="FFFFFF" w:themeFill="background1"/>
              <w:spacing w:line="276" w:lineRule="auto"/>
              <w:rPr>
                <w:rFonts w:eastAsia="Times New Roman" w:cstheme="minorHAnsi"/>
                <w:b w:val="0"/>
                <w:color w:val="002060"/>
                <w:sz w:val="18"/>
                <w:szCs w:val="18"/>
                <w:lang w:val="sr-Cyrl-RS"/>
              </w:rPr>
            </w:pPr>
            <w:r w:rsidRPr="00590BAD">
              <w:rPr>
                <w:rFonts w:eastAsia="Times New Roman" w:cstheme="minorHAnsi"/>
                <w:b w:val="0"/>
                <w:color w:val="002060"/>
                <w:sz w:val="18"/>
                <w:szCs w:val="18"/>
                <w:lang w:val="sr-Cyrl-RS"/>
              </w:rPr>
              <w:t>Фсикални резултат</w:t>
            </w:r>
          </w:p>
        </w:tc>
        <w:tc>
          <w:tcPr>
            <w:tcW w:w="556" w:type="pct"/>
            <w:shd w:val="clear" w:color="auto" w:fill="FFFFFF" w:themeFill="background1"/>
            <w:noWrap/>
            <w:hideMark/>
          </w:tcPr>
          <w:p w14:paraId="2ED764B7" w14:textId="77777777" w:rsidR="001F03F4" w:rsidRPr="00590BAD" w:rsidRDefault="001F03F4" w:rsidP="00D73C9A">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color w:val="002060"/>
                <w:sz w:val="18"/>
                <w:szCs w:val="18"/>
                <w:lang w:val="sr-Cyrl-RS"/>
              </w:rPr>
              <w:t>-3,2</w:t>
            </w:r>
          </w:p>
        </w:tc>
        <w:tc>
          <w:tcPr>
            <w:tcW w:w="556" w:type="pct"/>
            <w:shd w:val="clear" w:color="auto" w:fill="FFFFFF" w:themeFill="background1"/>
            <w:noWrap/>
            <w:hideMark/>
          </w:tcPr>
          <w:p w14:paraId="183F941A" w14:textId="77777777" w:rsidR="001F03F4" w:rsidRPr="00590BAD" w:rsidRDefault="001F03F4" w:rsidP="00D73C9A">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color w:val="002060"/>
                <w:sz w:val="18"/>
                <w:szCs w:val="18"/>
                <w:lang w:val="sr-Cyrl-RS"/>
              </w:rPr>
              <w:t>-3,0</w:t>
            </w:r>
          </w:p>
        </w:tc>
        <w:tc>
          <w:tcPr>
            <w:tcW w:w="556" w:type="pct"/>
            <w:shd w:val="clear" w:color="auto" w:fill="FFFFFF" w:themeFill="background1"/>
            <w:noWrap/>
            <w:hideMark/>
          </w:tcPr>
          <w:p w14:paraId="5A217832" w14:textId="77777777" w:rsidR="001F03F4" w:rsidRPr="00590BAD" w:rsidRDefault="001F03F4" w:rsidP="00D73C9A">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color w:val="002060"/>
                <w:sz w:val="18"/>
                <w:szCs w:val="18"/>
                <w:lang w:val="sr-Cyrl-RS"/>
              </w:rPr>
              <w:t>-2,2</w:t>
            </w:r>
          </w:p>
        </w:tc>
        <w:tc>
          <w:tcPr>
            <w:tcW w:w="557" w:type="pct"/>
            <w:shd w:val="clear" w:color="auto" w:fill="FFFFFF" w:themeFill="background1"/>
            <w:noWrap/>
            <w:hideMark/>
          </w:tcPr>
          <w:p w14:paraId="510CEC55" w14:textId="77777777" w:rsidR="001F03F4" w:rsidRPr="00590BAD" w:rsidRDefault="001F03F4" w:rsidP="00D73C9A">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color w:val="002060"/>
                <w:sz w:val="18"/>
                <w:szCs w:val="18"/>
                <w:lang w:val="sr-Cyrl-RS"/>
              </w:rPr>
              <w:t>-1,5</w:t>
            </w:r>
          </w:p>
        </w:tc>
        <w:tc>
          <w:tcPr>
            <w:tcW w:w="559" w:type="pct"/>
            <w:shd w:val="clear" w:color="auto" w:fill="FFFFFF" w:themeFill="background1"/>
            <w:noWrap/>
            <w:hideMark/>
          </w:tcPr>
          <w:p w14:paraId="77D34E5E" w14:textId="77777777" w:rsidR="001F03F4" w:rsidRPr="00590BAD" w:rsidRDefault="001F03F4" w:rsidP="00D73C9A">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color w:val="002060"/>
                <w:sz w:val="18"/>
                <w:szCs w:val="18"/>
                <w:lang w:val="sr-Cyrl-RS"/>
              </w:rPr>
              <w:t>-1,5</w:t>
            </w:r>
          </w:p>
        </w:tc>
      </w:tr>
      <w:tr w:rsidR="001F03F4" w:rsidRPr="00590BAD" w14:paraId="01101B38" w14:textId="77777777" w:rsidTr="00D73C9A">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216" w:type="pct"/>
            <w:shd w:val="clear" w:color="auto" w:fill="FFFFFF" w:themeFill="background1"/>
            <w:noWrap/>
            <w:hideMark/>
          </w:tcPr>
          <w:p w14:paraId="422659AF" w14:textId="77777777" w:rsidR="001F03F4" w:rsidRPr="00590BAD" w:rsidRDefault="001F03F4" w:rsidP="00E05893">
            <w:pPr>
              <w:keepNext/>
              <w:widowControl w:val="0"/>
              <w:shd w:val="clear" w:color="auto" w:fill="FFFFFF" w:themeFill="background1"/>
              <w:spacing w:line="276" w:lineRule="auto"/>
              <w:rPr>
                <w:rFonts w:eastAsia="Times New Roman" w:cstheme="minorHAnsi"/>
                <w:color w:val="002060"/>
                <w:sz w:val="18"/>
                <w:szCs w:val="18"/>
                <w:lang w:val="sr-Cyrl-RS"/>
              </w:rPr>
            </w:pPr>
            <w:r w:rsidRPr="00590BAD">
              <w:rPr>
                <w:rFonts w:eastAsia="Times New Roman" w:cstheme="minorHAnsi"/>
                <w:color w:val="002060"/>
                <w:sz w:val="18"/>
                <w:szCs w:val="18"/>
                <w:lang w:val="sr-Cyrl-RS"/>
              </w:rPr>
              <w:t>Ревидирана Фискална стратегија за период 2024–2026. године</w:t>
            </w:r>
          </w:p>
        </w:tc>
        <w:tc>
          <w:tcPr>
            <w:tcW w:w="556" w:type="pct"/>
            <w:tcBorders>
              <w:top w:val="nil"/>
              <w:bottom w:val="nil"/>
            </w:tcBorders>
            <w:shd w:val="clear" w:color="auto" w:fill="FFFFFF" w:themeFill="background1"/>
            <w:noWrap/>
            <w:hideMark/>
          </w:tcPr>
          <w:p w14:paraId="544B6D6F"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556" w:type="pct"/>
            <w:tcBorders>
              <w:top w:val="nil"/>
              <w:bottom w:val="nil"/>
            </w:tcBorders>
            <w:shd w:val="clear" w:color="auto" w:fill="FFFFFF" w:themeFill="background1"/>
            <w:noWrap/>
            <w:hideMark/>
          </w:tcPr>
          <w:p w14:paraId="6CB21EFA"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556" w:type="pct"/>
            <w:tcBorders>
              <w:top w:val="nil"/>
              <w:bottom w:val="nil"/>
            </w:tcBorders>
            <w:shd w:val="clear" w:color="auto" w:fill="FFFFFF" w:themeFill="background1"/>
            <w:noWrap/>
            <w:hideMark/>
          </w:tcPr>
          <w:p w14:paraId="085B4CFE"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557" w:type="pct"/>
            <w:tcBorders>
              <w:top w:val="nil"/>
              <w:bottom w:val="nil"/>
            </w:tcBorders>
            <w:shd w:val="clear" w:color="auto" w:fill="FFFFFF" w:themeFill="background1"/>
            <w:noWrap/>
            <w:hideMark/>
          </w:tcPr>
          <w:p w14:paraId="31A55C9A"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559" w:type="pct"/>
            <w:tcBorders>
              <w:top w:val="nil"/>
              <w:bottom w:val="nil"/>
            </w:tcBorders>
            <w:shd w:val="clear" w:color="auto" w:fill="FFFFFF" w:themeFill="background1"/>
            <w:noWrap/>
            <w:hideMark/>
          </w:tcPr>
          <w:p w14:paraId="2FDE5FDB"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r>
      <w:tr w:rsidR="001F03F4" w:rsidRPr="00590BAD" w14:paraId="6155911E" w14:textId="77777777" w:rsidTr="00D73C9A">
        <w:trPr>
          <w:trHeight w:val="241"/>
        </w:trPr>
        <w:tc>
          <w:tcPr>
            <w:cnfStyle w:val="001000000000" w:firstRow="0" w:lastRow="0" w:firstColumn="1" w:lastColumn="0" w:oddVBand="0" w:evenVBand="0" w:oddHBand="0" w:evenHBand="0" w:firstRowFirstColumn="0" w:firstRowLastColumn="0" w:lastRowFirstColumn="0" w:lastRowLastColumn="0"/>
            <w:tcW w:w="2216" w:type="pct"/>
            <w:shd w:val="clear" w:color="auto" w:fill="FFFFFF" w:themeFill="background1"/>
            <w:noWrap/>
            <w:hideMark/>
          </w:tcPr>
          <w:p w14:paraId="61F0F1D5" w14:textId="77777777" w:rsidR="001F03F4" w:rsidRPr="00590BAD" w:rsidRDefault="001F03F4" w:rsidP="00E05893">
            <w:pPr>
              <w:keepNext/>
              <w:widowControl w:val="0"/>
              <w:shd w:val="clear" w:color="auto" w:fill="FFFFFF" w:themeFill="background1"/>
              <w:spacing w:line="276" w:lineRule="auto"/>
              <w:rPr>
                <w:rFonts w:eastAsia="Times New Roman" w:cstheme="minorHAnsi"/>
                <w:b w:val="0"/>
                <w:color w:val="002060"/>
                <w:sz w:val="18"/>
                <w:szCs w:val="18"/>
                <w:lang w:val="sr-Cyrl-RS"/>
              </w:rPr>
            </w:pPr>
            <w:r w:rsidRPr="00590BAD">
              <w:rPr>
                <w:rFonts w:eastAsia="Times New Roman" w:cstheme="minorHAnsi"/>
                <w:b w:val="0"/>
                <w:color w:val="002060"/>
                <w:sz w:val="18"/>
                <w:szCs w:val="18"/>
                <w:lang w:val="sr-Cyrl-RS"/>
              </w:rPr>
              <w:t>Приходи</w:t>
            </w:r>
          </w:p>
        </w:tc>
        <w:tc>
          <w:tcPr>
            <w:tcW w:w="556" w:type="pct"/>
            <w:tcBorders>
              <w:top w:val="nil"/>
              <w:bottom w:val="nil"/>
            </w:tcBorders>
            <w:shd w:val="clear" w:color="auto" w:fill="auto"/>
            <w:noWrap/>
            <w:vAlign w:val="center"/>
            <w:hideMark/>
          </w:tcPr>
          <w:p w14:paraId="737A64F3"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43,8</w:t>
            </w:r>
          </w:p>
        </w:tc>
        <w:tc>
          <w:tcPr>
            <w:tcW w:w="556" w:type="pct"/>
            <w:tcBorders>
              <w:top w:val="nil"/>
              <w:bottom w:val="nil"/>
            </w:tcBorders>
            <w:shd w:val="clear" w:color="auto" w:fill="auto"/>
            <w:noWrap/>
            <w:vAlign w:val="center"/>
            <w:hideMark/>
          </w:tcPr>
          <w:p w14:paraId="397FAB26"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42,5</w:t>
            </w:r>
          </w:p>
        </w:tc>
        <w:tc>
          <w:tcPr>
            <w:tcW w:w="556" w:type="pct"/>
            <w:tcBorders>
              <w:top w:val="nil"/>
              <w:bottom w:val="nil"/>
            </w:tcBorders>
            <w:shd w:val="clear" w:color="auto" w:fill="auto"/>
            <w:noWrap/>
            <w:vAlign w:val="center"/>
            <w:hideMark/>
          </w:tcPr>
          <w:p w14:paraId="71D5A7CB"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42,6</w:t>
            </w:r>
          </w:p>
        </w:tc>
        <w:tc>
          <w:tcPr>
            <w:tcW w:w="557" w:type="pct"/>
            <w:tcBorders>
              <w:top w:val="nil"/>
              <w:bottom w:val="nil"/>
            </w:tcBorders>
            <w:shd w:val="clear" w:color="auto" w:fill="auto"/>
            <w:noWrap/>
            <w:vAlign w:val="center"/>
            <w:hideMark/>
          </w:tcPr>
          <w:p w14:paraId="2C931287"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42,5</w:t>
            </w:r>
          </w:p>
        </w:tc>
        <w:tc>
          <w:tcPr>
            <w:tcW w:w="559" w:type="pct"/>
            <w:tcBorders>
              <w:top w:val="nil"/>
              <w:bottom w:val="nil"/>
            </w:tcBorders>
            <w:shd w:val="clear" w:color="auto" w:fill="auto"/>
            <w:noWrap/>
            <w:vAlign w:val="center"/>
            <w:hideMark/>
          </w:tcPr>
          <w:p w14:paraId="213AA195" w14:textId="77777777" w:rsidR="001F03F4" w:rsidRPr="00590BAD" w:rsidRDefault="001F03F4" w:rsidP="00D73C9A">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42,3</w:t>
            </w:r>
          </w:p>
        </w:tc>
      </w:tr>
      <w:tr w:rsidR="001F03F4" w:rsidRPr="00590BAD" w14:paraId="5199B147" w14:textId="77777777" w:rsidTr="00D73C9A">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216" w:type="pct"/>
            <w:shd w:val="clear" w:color="auto" w:fill="FFFFFF" w:themeFill="background1"/>
            <w:noWrap/>
            <w:hideMark/>
          </w:tcPr>
          <w:p w14:paraId="2AAD0A62" w14:textId="77777777" w:rsidR="001F03F4" w:rsidRPr="00590BAD" w:rsidRDefault="001F03F4" w:rsidP="00E05893">
            <w:pPr>
              <w:keepNext/>
              <w:widowControl w:val="0"/>
              <w:shd w:val="clear" w:color="auto" w:fill="FFFFFF" w:themeFill="background1"/>
              <w:spacing w:line="276" w:lineRule="auto"/>
              <w:rPr>
                <w:rFonts w:eastAsia="Times New Roman" w:cstheme="minorHAnsi"/>
                <w:b w:val="0"/>
                <w:color w:val="002060"/>
                <w:sz w:val="18"/>
                <w:szCs w:val="18"/>
                <w:lang w:val="sr-Cyrl-RS"/>
              </w:rPr>
            </w:pPr>
            <w:r w:rsidRPr="00590BAD">
              <w:rPr>
                <w:rFonts w:eastAsia="Times New Roman" w:cstheme="minorHAnsi"/>
                <w:b w:val="0"/>
                <w:color w:val="002060"/>
                <w:sz w:val="18"/>
                <w:szCs w:val="18"/>
                <w:lang w:val="sr-Cyrl-RS"/>
              </w:rPr>
              <w:t>Расходи</w:t>
            </w:r>
          </w:p>
        </w:tc>
        <w:tc>
          <w:tcPr>
            <w:tcW w:w="556" w:type="pct"/>
            <w:tcBorders>
              <w:top w:val="nil"/>
            </w:tcBorders>
            <w:shd w:val="clear" w:color="auto" w:fill="auto"/>
            <w:noWrap/>
            <w:vAlign w:val="center"/>
            <w:hideMark/>
          </w:tcPr>
          <w:p w14:paraId="4B742D50"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46,9</w:t>
            </w:r>
          </w:p>
        </w:tc>
        <w:tc>
          <w:tcPr>
            <w:tcW w:w="556" w:type="pct"/>
            <w:tcBorders>
              <w:top w:val="nil"/>
            </w:tcBorders>
            <w:shd w:val="clear" w:color="auto" w:fill="auto"/>
            <w:noWrap/>
            <w:vAlign w:val="center"/>
            <w:hideMark/>
          </w:tcPr>
          <w:p w14:paraId="42FB3C7D"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45,3</w:t>
            </w:r>
          </w:p>
        </w:tc>
        <w:tc>
          <w:tcPr>
            <w:tcW w:w="556" w:type="pct"/>
            <w:tcBorders>
              <w:top w:val="nil"/>
            </w:tcBorders>
            <w:shd w:val="clear" w:color="auto" w:fill="auto"/>
            <w:noWrap/>
            <w:vAlign w:val="center"/>
            <w:hideMark/>
          </w:tcPr>
          <w:p w14:paraId="3B4C6CDD"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44,8</w:t>
            </w:r>
          </w:p>
        </w:tc>
        <w:tc>
          <w:tcPr>
            <w:tcW w:w="557" w:type="pct"/>
            <w:tcBorders>
              <w:top w:val="nil"/>
            </w:tcBorders>
            <w:shd w:val="clear" w:color="auto" w:fill="auto"/>
            <w:noWrap/>
            <w:vAlign w:val="center"/>
            <w:hideMark/>
          </w:tcPr>
          <w:p w14:paraId="7DF931DF"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44,0</w:t>
            </w:r>
          </w:p>
        </w:tc>
        <w:tc>
          <w:tcPr>
            <w:tcW w:w="559" w:type="pct"/>
            <w:tcBorders>
              <w:top w:val="nil"/>
            </w:tcBorders>
            <w:shd w:val="clear" w:color="auto" w:fill="auto"/>
            <w:noWrap/>
            <w:vAlign w:val="center"/>
            <w:hideMark/>
          </w:tcPr>
          <w:p w14:paraId="5BFB452D"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590BAD">
              <w:rPr>
                <w:rFonts w:cstheme="minorHAnsi"/>
                <w:color w:val="002060"/>
                <w:sz w:val="18"/>
                <w:szCs w:val="18"/>
                <w:lang w:val="sr-Cyrl-RS"/>
              </w:rPr>
              <w:t>43,8</w:t>
            </w:r>
          </w:p>
        </w:tc>
      </w:tr>
      <w:tr w:rsidR="001F03F4" w:rsidRPr="00590BAD" w14:paraId="695DD21C" w14:textId="77777777" w:rsidTr="00D73C9A">
        <w:trPr>
          <w:trHeight w:val="241"/>
        </w:trPr>
        <w:tc>
          <w:tcPr>
            <w:cnfStyle w:val="001000000000" w:firstRow="0" w:lastRow="0" w:firstColumn="1" w:lastColumn="0" w:oddVBand="0" w:evenVBand="0" w:oddHBand="0" w:evenHBand="0" w:firstRowFirstColumn="0" w:firstRowLastColumn="0" w:lastRowFirstColumn="0" w:lastRowLastColumn="0"/>
            <w:tcW w:w="2216" w:type="pct"/>
            <w:shd w:val="clear" w:color="auto" w:fill="FFFFFF" w:themeFill="background1"/>
            <w:noWrap/>
            <w:hideMark/>
          </w:tcPr>
          <w:p w14:paraId="1032DA25" w14:textId="77777777" w:rsidR="001F03F4" w:rsidRPr="00590BAD" w:rsidRDefault="001F03F4" w:rsidP="00E05893">
            <w:pPr>
              <w:keepNext/>
              <w:widowControl w:val="0"/>
              <w:shd w:val="clear" w:color="auto" w:fill="FFFFFF" w:themeFill="background1"/>
              <w:spacing w:line="276" w:lineRule="auto"/>
              <w:rPr>
                <w:rFonts w:eastAsia="Times New Roman" w:cstheme="minorHAnsi"/>
                <w:b w:val="0"/>
                <w:color w:val="002060"/>
                <w:sz w:val="18"/>
                <w:szCs w:val="18"/>
                <w:lang w:val="sr-Cyrl-RS"/>
              </w:rPr>
            </w:pPr>
            <w:r w:rsidRPr="00590BAD">
              <w:rPr>
                <w:rFonts w:eastAsia="Times New Roman" w:cstheme="minorHAnsi"/>
                <w:b w:val="0"/>
                <w:color w:val="002060"/>
                <w:sz w:val="18"/>
                <w:szCs w:val="18"/>
                <w:lang w:val="sr-Cyrl-RS"/>
              </w:rPr>
              <w:t>Фискални резултат</w:t>
            </w:r>
          </w:p>
        </w:tc>
        <w:tc>
          <w:tcPr>
            <w:tcW w:w="556" w:type="pct"/>
            <w:shd w:val="clear" w:color="auto" w:fill="FFFFFF" w:themeFill="background1"/>
            <w:noWrap/>
            <w:hideMark/>
          </w:tcPr>
          <w:p w14:paraId="09E77FC2"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color w:val="002060"/>
                <w:sz w:val="18"/>
                <w:szCs w:val="18"/>
                <w:lang w:val="sr-Cyrl-RS"/>
              </w:rPr>
              <w:t>-3,2</w:t>
            </w:r>
          </w:p>
        </w:tc>
        <w:tc>
          <w:tcPr>
            <w:tcW w:w="556" w:type="pct"/>
            <w:shd w:val="clear" w:color="auto" w:fill="FFFFFF" w:themeFill="background1"/>
            <w:noWrap/>
            <w:hideMark/>
          </w:tcPr>
          <w:p w14:paraId="111CDF71" w14:textId="77777777" w:rsidR="001F03F4" w:rsidRPr="00590BAD" w:rsidRDefault="001F03F4" w:rsidP="00D73C9A">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color w:val="002060"/>
                <w:sz w:val="18"/>
                <w:szCs w:val="18"/>
                <w:lang w:val="sr-Cyrl-RS"/>
              </w:rPr>
              <w:t>-2,8</w:t>
            </w:r>
          </w:p>
        </w:tc>
        <w:tc>
          <w:tcPr>
            <w:tcW w:w="556" w:type="pct"/>
            <w:shd w:val="clear" w:color="auto" w:fill="FFFFFF" w:themeFill="background1"/>
            <w:noWrap/>
            <w:hideMark/>
          </w:tcPr>
          <w:p w14:paraId="1BB49ABD"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color w:val="002060"/>
                <w:sz w:val="18"/>
                <w:szCs w:val="18"/>
                <w:lang w:val="sr-Cyrl-RS"/>
              </w:rPr>
              <w:t>-2,2</w:t>
            </w:r>
          </w:p>
        </w:tc>
        <w:tc>
          <w:tcPr>
            <w:tcW w:w="557" w:type="pct"/>
            <w:shd w:val="clear" w:color="auto" w:fill="FFFFFF" w:themeFill="background1"/>
            <w:noWrap/>
            <w:hideMark/>
          </w:tcPr>
          <w:p w14:paraId="7AA11056"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color w:val="002060"/>
                <w:sz w:val="18"/>
                <w:szCs w:val="18"/>
                <w:lang w:val="sr-Cyrl-RS"/>
              </w:rPr>
              <w:t>-1,5</w:t>
            </w:r>
          </w:p>
        </w:tc>
        <w:tc>
          <w:tcPr>
            <w:tcW w:w="559" w:type="pct"/>
            <w:shd w:val="clear" w:color="auto" w:fill="FFFFFF" w:themeFill="background1"/>
            <w:noWrap/>
            <w:hideMark/>
          </w:tcPr>
          <w:p w14:paraId="0FFC9E9E"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color w:val="002060"/>
                <w:sz w:val="18"/>
                <w:szCs w:val="18"/>
                <w:lang w:val="sr-Cyrl-RS"/>
              </w:rPr>
              <w:t>-1,5</w:t>
            </w:r>
          </w:p>
        </w:tc>
      </w:tr>
      <w:tr w:rsidR="001F03F4" w:rsidRPr="00590BAD" w14:paraId="3DA2688B" w14:textId="77777777" w:rsidTr="00D73C9A">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216" w:type="pct"/>
            <w:shd w:val="clear" w:color="auto" w:fill="FFFFFF" w:themeFill="background1"/>
            <w:noWrap/>
            <w:hideMark/>
          </w:tcPr>
          <w:p w14:paraId="4F527DA6" w14:textId="77777777" w:rsidR="001F03F4" w:rsidRPr="00590BAD" w:rsidRDefault="001F03F4" w:rsidP="00E05893">
            <w:pPr>
              <w:keepNext/>
              <w:widowControl w:val="0"/>
              <w:shd w:val="clear" w:color="auto" w:fill="FFFFFF" w:themeFill="background1"/>
              <w:spacing w:line="276" w:lineRule="auto"/>
              <w:rPr>
                <w:rFonts w:eastAsia="Times New Roman" w:cstheme="minorHAnsi"/>
                <w:color w:val="002060"/>
                <w:sz w:val="18"/>
                <w:szCs w:val="18"/>
                <w:lang w:val="sr-Cyrl-RS"/>
              </w:rPr>
            </w:pPr>
            <w:r w:rsidRPr="00590BAD">
              <w:rPr>
                <w:rFonts w:eastAsia="Times New Roman" w:cstheme="minorHAnsi"/>
                <w:color w:val="002060"/>
                <w:sz w:val="18"/>
                <w:szCs w:val="18"/>
                <w:lang w:val="sr-Cyrl-RS"/>
              </w:rPr>
              <w:t xml:space="preserve">Разлика два програма </w:t>
            </w:r>
          </w:p>
        </w:tc>
        <w:tc>
          <w:tcPr>
            <w:tcW w:w="556" w:type="pct"/>
            <w:shd w:val="clear" w:color="auto" w:fill="FFFFFF" w:themeFill="background1"/>
            <w:noWrap/>
            <w:hideMark/>
          </w:tcPr>
          <w:p w14:paraId="2AAB1E5A"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556" w:type="pct"/>
            <w:shd w:val="clear" w:color="auto" w:fill="FFFFFF" w:themeFill="background1"/>
            <w:noWrap/>
            <w:hideMark/>
          </w:tcPr>
          <w:p w14:paraId="01B81C65"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556" w:type="pct"/>
            <w:shd w:val="clear" w:color="auto" w:fill="FFFFFF" w:themeFill="background1"/>
            <w:noWrap/>
            <w:hideMark/>
          </w:tcPr>
          <w:p w14:paraId="0F25FCED"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557" w:type="pct"/>
            <w:shd w:val="clear" w:color="auto" w:fill="FFFFFF" w:themeFill="background1"/>
            <w:noWrap/>
            <w:hideMark/>
          </w:tcPr>
          <w:p w14:paraId="3F64C659"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559" w:type="pct"/>
            <w:shd w:val="clear" w:color="auto" w:fill="FFFFFF" w:themeFill="background1"/>
            <w:noWrap/>
            <w:hideMark/>
          </w:tcPr>
          <w:p w14:paraId="181A224B"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r>
      <w:tr w:rsidR="001F03F4" w:rsidRPr="00590BAD" w14:paraId="2D2E3D0E" w14:textId="77777777" w:rsidTr="00D73C9A">
        <w:trPr>
          <w:trHeight w:val="241"/>
        </w:trPr>
        <w:tc>
          <w:tcPr>
            <w:cnfStyle w:val="001000000000" w:firstRow="0" w:lastRow="0" w:firstColumn="1" w:lastColumn="0" w:oddVBand="0" w:evenVBand="0" w:oddHBand="0" w:evenHBand="0" w:firstRowFirstColumn="0" w:firstRowLastColumn="0" w:lastRowFirstColumn="0" w:lastRowLastColumn="0"/>
            <w:tcW w:w="2216" w:type="pct"/>
            <w:shd w:val="clear" w:color="auto" w:fill="FFFFFF" w:themeFill="background1"/>
            <w:noWrap/>
            <w:hideMark/>
          </w:tcPr>
          <w:p w14:paraId="1A917969" w14:textId="77777777" w:rsidR="001F03F4" w:rsidRPr="00590BAD" w:rsidRDefault="001F03F4" w:rsidP="00E05893">
            <w:pPr>
              <w:keepNext/>
              <w:widowControl w:val="0"/>
              <w:shd w:val="clear" w:color="auto" w:fill="FFFFFF" w:themeFill="background1"/>
              <w:spacing w:line="276" w:lineRule="auto"/>
              <w:rPr>
                <w:rFonts w:eastAsia="Times New Roman" w:cstheme="minorHAnsi"/>
                <w:b w:val="0"/>
                <w:color w:val="002060"/>
                <w:sz w:val="18"/>
                <w:szCs w:val="18"/>
                <w:lang w:val="sr-Cyrl-RS"/>
              </w:rPr>
            </w:pPr>
            <w:r w:rsidRPr="00590BAD">
              <w:rPr>
                <w:rFonts w:eastAsia="Times New Roman" w:cstheme="minorHAnsi"/>
                <w:b w:val="0"/>
                <w:color w:val="002060"/>
                <w:sz w:val="18"/>
                <w:szCs w:val="18"/>
                <w:lang w:val="sr-Cyrl-RS"/>
              </w:rPr>
              <w:t>Приходи</w:t>
            </w:r>
          </w:p>
        </w:tc>
        <w:tc>
          <w:tcPr>
            <w:tcW w:w="556" w:type="pct"/>
            <w:shd w:val="clear" w:color="auto" w:fill="FFFFFF" w:themeFill="background1"/>
            <w:noWrap/>
            <w:hideMark/>
          </w:tcPr>
          <w:p w14:paraId="59EB6D9C"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bCs/>
                <w:color w:val="002060"/>
                <w:sz w:val="18"/>
                <w:szCs w:val="18"/>
                <w:lang w:val="sr-Cyrl-RS"/>
              </w:rPr>
              <w:t>0,0</w:t>
            </w:r>
          </w:p>
        </w:tc>
        <w:tc>
          <w:tcPr>
            <w:tcW w:w="556" w:type="pct"/>
            <w:shd w:val="clear" w:color="auto" w:fill="FFFFFF" w:themeFill="background1"/>
            <w:noWrap/>
            <w:hideMark/>
          </w:tcPr>
          <w:p w14:paraId="37D8E9EA"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bCs/>
                <w:color w:val="002060"/>
                <w:sz w:val="18"/>
                <w:szCs w:val="18"/>
                <w:lang w:val="sr-Cyrl-RS"/>
              </w:rPr>
              <w:t>0,7</w:t>
            </w:r>
          </w:p>
        </w:tc>
        <w:tc>
          <w:tcPr>
            <w:tcW w:w="556" w:type="pct"/>
            <w:shd w:val="clear" w:color="auto" w:fill="FFFFFF" w:themeFill="background1"/>
            <w:noWrap/>
            <w:hideMark/>
          </w:tcPr>
          <w:p w14:paraId="17929399"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2060"/>
                <w:sz w:val="18"/>
                <w:szCs w:val="18"/>
                <w:lang w:val="sr-Cyrl-RS"/>
              </w:rPr>
            </w:pPr>
            <w:r w:rsidRPr="00590BAD">
              <w:rPr>
                <w:rFonts w:eastAsia="Times New Roman" w:cstheme="minorHAnsi"/>
                <w:bCs/>
                <w:color w:val="002060"/>
                <w:sz w:val="18"/>
                <w:szCs w:val="18"/>
                <w:lang w:val="sr-Cyrl-RS"/>
              </w:rPr>
              <w:t>1,0</w:t>
            </w:r>
          </w:p>
        </w:tc>
        <w:tc>
          <w:tcPr>
            <w:tcW w:w="557" w:type="pct"/>
            <w:shd w:val="clear" w:color="auto" w:fill="FFFFFF" w:themeFill="background1"/>
            <w:noWrap/>
            <w:hideMark/>
          </w:tcPr>
          <w:p w14:paraId="6D350309"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2060"/>
                <w:sz w:val="18"/>
                <w:szCs w:val="18"/>
                <w:lang w:val="sr-Cyrl-RS"/>
              </w:rPr>
            </w:pPr>
            <w:r w:rsidRPr="00590BAD">
              <w:rPr>
                <w:rFonts w:eastAsia="Times New Roman" w:cstheme="minorHAnsi"/>
                <w:bCs/>
                <w:color w:val="002060"/>
                <w:sz w:val="18"/>
                <w:szCs w:val="18"/>
                <w:lang w:val="sr-Cyrl-RS"/>
              </w:rPr>
              <w:t>1,0</w:t>
            </w:r>
          </w:p>
        </w:tc>
        <w:tc>
          <w:tcPr>
            <w:tcW w:w="559" w:type="pct"/>
            <w:shd w:val="clear" w:color="auto" w:fill="FFFFFF" w:themeFill="background1"/>
            <w:noWrap/>
            <w:hideMark/>
          </w:tcPr>
          <w:p w14:paraId="25C261CA"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color w:val="002060"/>
                <w:sz w:val="18"/>
                <w:szCs w:val="18"/>
                <w:lang w:val="sr-Cyrl-RS"/>
              </w:rPr>
              <w:t>0,9</w:t>
            </w:r>
          </w:p>
        </w:tc>
      </w:tr>
      <w:tr w:rsidR="001F03F4" w:rsidRPr="00590BAD" w14:paraId="213A5513" w14:textId="77777777" w:rsidTr="00D73C9A">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216" w:type="pct"/>
            <w:tcBorders>
              <w:bottom w:val="nil"/>
            </w:tcBorders>
            <w:shd w:val="clear" w:color="auto" w:fill="FFFFFF" w:themeFill="background1"/>
            <w:noWrap/>
            <w:hideMark/>
          </w:tcPr>
          <w:p w14:paraId="61E8FE2D" w14:textId="77777777" w:rsidR="001F03F4" w:rsidRPr="00590BAD" w:rsidRDefault="001F03F4" w:rsidP="00E05893">
            <w:pPr>
              <w:keepNext/>
              <w:widowControl w:val="0"/>
              <w:shd w:val="clear" w:color="auto" w:fill="FFFFFF" w:themeFill="background1"/>
              <w:spacing w:line="276" w:lineRule="auto"/>
              <w:rPr>
                <w:rFonts w:eastAsia="Times New Roman" w:cstheme="minorHAnsi"/>
                <w:b w:val="0"/>
                <w:color w:val="002060"/>
                <w:sz w:val="18"/>
                <w:szCs w:val="18"/>
                <w:lang w:val="sr-Cyrl-RS"/>
              </w:rPr>
            </w:pPr>
            <w:r w:rsidRPr="00590BAD">
              <w:rPr>
                <w:rFonts w:eastAsia="Times New Roman" w:cstheme="minorHAnsi"/>
                <w:b w:val="0"/>
                <w:color w:val="002060"/>
                <w:sz w:val="18"/>
                <w:szCs w:val="18"/>
                <w:lang w:val="sr-Cyrl-RS"/>
              </w:rPr>
              <w:t>Расходи</w:t>
            </w:r>
          </w:p>
        </w:tc>
        <w:tc>
          <w:tcPr>
            <w:tcW w:w="556" w:type="pct"/>
            <w:tcBorders>
              <w:bottom w:val="nil"/>
            </w:tcBorders>
            <w:shd w:val="clear" w:color="auto" w:fill="FFFFFF" w:themeFill="background1"/>
            <w:noWrap/>
            <w:hideMark/>
          </w:tcPr>
          <w:p w14:paraId="426BF81D"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bCs/>
                <w:color w:val="002060"/>
                <w:sz w:val="18"/>
                <w:szCs w:val="18"/>
                <w:lang w:val="sr-Cyrl-RS"/>
              </w:rPr>
              <w:t>0,0</w:t>
            </w:r>
          </w:p>
        </w:tc>
        <w:tc>
          <w:tcPr>
            <w:tcW w:w="556" w:type="pct"/>
            <w:tcBorders>
              <w:bottom w:val="nil"/>
            </w:tcBorders>
            <w:shd w:val="clear" w:color="auto" w:fill="FFFFFF" w:themeFill="background1"/>
            <w:noWrap/>
            <w:hideMark/>
          </w:tcPr>
          <w:p w14:paraId="431A3C5D"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bCs/>
                <w:color w:val="002060"/>
                <w:sz w:val="18"/>
                <w:szCs w:val="18"/>
                <w:lang w:val="sr-Cyrl-RS"/>
              </w:rPr>
              <w:t>0,5</w:t>
            </w:r>
          </w:p>
        </w:tc>
        <w:tc>
          <w:tcPr>
            <w:tcW w:w="556" w:type="pct"/>
            <w:tcBorders>
              <w:bottom w:val="nil"/>
            </w:tcBorders>
            <w:shd w:val="clear" w:color="auto" w:fill="FFFFFF" w:themeFill="background1"/>
            <w:noWrap/>
            <w:hideMark/>
          </w:tcPr>
          <w:p w14:paraId="608A8EBB"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590BAD">
              <w:rPr>
                <w:rFonts w:eastAsia="Times New Roman" w:cstheme="minorHAnsi"/>
                <w:bCs/>
                <w:color w:val="002060"/>
                <w:sz w:val="18"/>
                <w:szCs w:val="18"/>
                <w:lang w:val="sr-Cyrl-RS"/>
              </w:rPr>
              <w:t>1,0</w:t>
            </w:r>
          </w:p>
        </w:tc>
        <w:tc>
          <w:tcPr>
            <w:tcW w:w="557" w:type="pct"/>
            <w:tcBorders>
              <w:bottom w:val="nil"/>
            </w:tcBorders>
            <w:shd w:val="clear" w:color="auto" w:fill="FFFFFF" w:themeFill="background1"/>
            <w:noWrap/>
            <w:hideMark/>
          </w:tcPr>
          <w:p w14:paraId="3E9278B2"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590BAD">
              <w:rPr>
                <w:rFonts w:eastAsia="Times New Roman" w:cstheme="minorHAnsi"/>
                <w:bCs/>
                <w:color w:val="002060"/>
                <w:sz w:val="18"/>
                <w:szCs w:val="18"/>
                <w:lang w:val="sr-Cyrl-RS"/>
              </w:rPr>
              <w:t>1,0</w:t>
            </w:r>
          </w:p>
        </w:tc>
        <w:tc>
          <w:tcPr>
            <w:tcW w:w="559" w:type="pct"/>
            <w:tcBorders>
              <w:bottom w:val="nil"/>
            </w:tcBorders>
            <w:shd w:val="clear" w:color="auto" w:fill="FFFFFF" w:themeFill="background1"/>
            <w:noWrap/>
            <w:hideMark/>
          </w:tcPr>
          <w:p w14:paraId="142D1990" w14:textId="77777777" w:rsidR="001F03F4" w:rsidRPr="00590BAD" w:rsidRDefault="001F03F4"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color w:val="002060"/>
                <w:sz w:val="18"/>
                <w:szCs w:val="18"/>
                <w:lang w:val="sr-Cyrl-RS"/>
              </w:rPr>
              <w:t>0,9</w:t>
            </w:r>
          </w:p>
        </w:tc>
      </w:tr>
      <w:tr w:rsidR="001F03F4" w:rsidRPr="00590BAD" w14:paraId="22106CC5" w14:textId="77777777" w:rsidTr="00D73C9A">
        <w:trPr>
          <w:trHeight w:val="241"/>
        </w:trPr>
        <w:tc>
          <w:tcPr>
            <w:cnfStyle w:val="001000000000" w:firstRow="0" w:lastRow="0" w:firstColumn="1" w:lastColumn="0" w:oddVBand="0" w:evenVBand="0" w:oddHBand="0" w:evenHBand="0" w:firstRowFirstColumn="0" w:firstRowLastColumn="0" w:lastRowFirstColumn="0" w:lastRowLastColumn="0"/>
            <w:tcW w:w="2216" w:type="pct"/>
            <w:tcBorders>
              <w:top w:val="nil"/>
              <w:bottom w:val="single" w:sz="4" w:space="0" w:color="002060"/>
            </w:tcBorders>
            <w:shd w:val="clear" w:color="auto" w:fill="FFFFFF" w:themeFill="background1"/>
            <w:noWrap/>
            <w:hideMark/>
          </w:tcPr>
          <w:p w14:paraId="55DE7060" w14:textId="77777777" w:rsidR="001F03F4" w:rsidRPr="00590BAD" w:rsidRDefault="001F03F4" w:rsidP="00E05893">
            <w:pPr>
              <w:keepNext/>
              <w:widowControl w:val="0"/>
              <w:shd w:val="clear" w:color="auto" w:fill="FFFFFF" w:themeFill="background1"/>
              <w:spacing w:line="276" w:lineRule="auto"/>
              <w:rPr>
                <w:rFonts w:eastAsia="Times New Roman" w:cstheme="minorHAnsi"/>
                <w:b w:val="0"/>
                <w:color w:val="002060"/>
                <w:sz w:val="18"/>
                <w:szCs w:val="18"/>
                <w:lang w:val="sr-Cyrl-RS"/>
              </w:rPr>
            </w:pPr>
            <w:r w:rsidRPr="00590BAD">
              <w:rPr>
                <w:rFonts w:eastAsia="Times New Roman" w:cstheme="minorHAnsi"/>
                <w:b w:val="0"/>
                <w:color w:val="002060"/>
                <w:sz w:val="18"/>
                <w:szCs w:val="18"/>
                <w:lang w:val="sr-Cyrl-RS"/>
              </w:rPr>
              <w:t>Фискални резултат</w:t>
            </w:r>
          </w:p>
        </w:tc>
        <w:tc>
          <w:tcPr>
            <w:tcW w:w="556" w:type="pct"/>
            <w:tcBorders>
              <w:top w:val="nil"/>
              <w:bottom w:val="single" w:sz="4" w:space="0" w:color="002060"/>
            </w:tcBorders>
            <w:shd w:val="clear" w:color="auto" w:fill="FFFFFF" w:themeFill="background1"/>
            <w:noWrap/>
            <w:hideMark/>
          </w:tcPr>
          <w:p w14:paraId="5189EEBD"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bCs/>
                <w:color w:val="002060"/>
                <w:sz w:val="18"/>
                <w:szCs w:val="18"/>
                <w:lang w:val="sr-Cyrl-RS"/>
              </w:rPr>
              <w:t>0,0</w:t>
            </w:r>
          </w:p>
        </w:tc>
        <w:tc>
          <w:tcPr>
            <w:tcW w:w="556" w:type="pct"/>
            <w:tcBorders>
              <w:top w:val="nil"/>
              <w:bottom w:val="single" w:sz="4" w:space="0" w:color="002060"/>
            </w:tcBorders>
            <w:shd w:val="clear" w:color="auto" w:fill="FFFFFF" w:themeFill="background1"/>
            <w:noWrap/>
            <w:hideMark/>
          </w:tcPr>
          <w:p w14:paraId="339896A9"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bCs/>
                <w:color w:val="002060"/>
                <w:sz w:val="18"/>
                <w:szCs w:val="18"/>
                <w:lang w:val="sr-Cyrl-RS"/>
              </w:rPr>
              <w:t>0,2</w:t>
            </w:r>
          </w:p>
        </w:tc>
        <w:tc>
          <w:tcPr>
            <w:tcW w:w="556" w:type="pct"/>
            <w:tcBorders>
              <w:top w:val="nil"/>
              <w:bottom w:val="single" w:sz="4" w:space="0" w:color="002060"/>
            </w:tcBorders>
            <w:shd w:val="clear" w:color="auto" w:fill="FFFFFF" w:themeFill="background1"/>
            <w:noWrap/>
            <w:hideMark/>
          </w:tcPr>
          <w:p w14:paraId="7FD8AE9A"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bCs/>
                <w:color w:val="002060"/>
                <w:sz w:val="18"/>
                <w:szCs w:val="18"/>
                <w:lang w:val="sr-Cyrl-RS"/>
              </w:rPr>
              <w:t>0,0</w:t>
            </w:r>
          </w:p>
        </w:tc>
        <w:tc>
          <w:tcPr>
            <w:tcW w:w="557" w:type="pct"/>
            <w:tcBorders>
              <w:top w:val="nil"/>
              <w:bottom w:val="single" w:sz="4" w:space="0" w:color="002060"/>
            </w:tcBorders>
            <w:shd w:val="clear" w:color="auto" w:fill="FFFFFF" w:themeFill="background1"/>
            <w:noWrap/>
            <w:hideMark/>
          </w:tcPr>
          <w:p w14:paraId="36AF48A6"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bCs/>
                <w:color w:val="002060"/>
                <w:sz w:val="18"/>
                <w:szCs w:val="18"/>
                <w:lang w:val="sr-Cyrl-RS"/>
              </w:rPr>
              <w:t>0,0</w:t>
            </w:r>
          </w:p>
        </w:tc>
        <w:tc>
          <w:tcPr>
            <w:tcW w:w="559" w:type="pct"/>
            <w:tcBorders>
              <w:top w:val="nil"/>
              <w:bottom w:val="single" w:sz="4" w:space="0" w:color="002060"/>
            </w:tcBorders>
            <w:shd w:val="clear" w:color="auto" w:fill="FFFFFF" w:themeFill="background1"/>
            <w:noWrap/>
            <w:hideMark/>
          </w:tcPr>
          <w:p w14:paraId="7D82E822" w14:textId="77777777" w:rsidR="001F03F4" w:rsidRPr="00590BAD" w:rsidRDefault="001F03F4"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590BAD">
              <w:rPr>
                <w:rFonts w:eastAsia="Times New Roman" w:cstheme="minorHAnsi"/>
                <w:bCs/>
                <w:color w:val="002060"/>
                <w:sz w:val="18"/>
                <w:szCs w:val="18"/>
                <w:lang w:val="sr-Cyrl-RS"/>
              </w:rPr>
              <w:t>0,0</w:t>
            </w:r>
          </w:p>
        </w:tc>
      </w:tr>
    </w:tbl>
    <w:p w14:paraId="6B298453" w14:textId="77777777" w:rsidR="001F03F4" w:rsidRPr="00590BAD" w:rsidRDefault="001F03F4" w:rsidP="00550CC8">
      <w:pPr>
        <w:spacing w:before="40" w:after="200" w:line="276" w:lineRule="auto"/>
        <w:rPr>
          <w:rFonts w:cstheme="minorHAnsi"/>
          <w:sz w:val="16"/>
          <w:szCs w:val="20"/>
          <w:lang w:val="sr-Cyrl-RS"/>
        </w:rPr>
      </w:pPr>
      <w:r w:rsidRPr="00590BAD">
        <w:rPr>
          <w:rFonts w:eastAsia="Calibri" w:cstheme="minorHAnsi"/>
          <w:bCs/>
          <w:sz w:val="16"/>
          <w:szCs w:val="20"/>
          <w:lang w:val="sr-Cyrl-RS" w:eastAsia="ja-JP"/>
        </w:rPr>
        <w:t xml:space="preserve">Извор: </w:t>
      </w:r>
      <w:r w:rsidRPr="00590BAD">
        <w:rPr>
          <w:rFonts w:cstheme="minorHAnsi"/>
          <w:sz w:val="16"/>
          <w:szCs w:val="20"/>
          <w:lang w:val="sr-Cyrl-RS"/>
        </w:rPr>
        <w:t>Министарство финансија</w:t>
      </w:r>
    </w:p>
    <w:p w14:paraId="32C65E49" w14:textId="77777777" w:rsidR="001F03F4" w:rsidRPr="00590BAD" w:rsidRDefault="001F03F4" w:rsidP="00550CC8">
      <w:pPr>
        <w:spacing w:after="200" w:line="276" w:lineRule="auto"/>
        <w:rPr>
          <w:rFonts w:cstheme="minorHAnsi"/>
          <w:bCs/>
          <w:szCs w:val="20"/>
          <w:lang w:val="sr-Cyrl-RS"/>
        </w:rPr>
        <w:sectPr w:rsidR="001F03F4" w:rsidRPr="00590BAD" w:rsidSect="00E05893">
          <w:type w:val="continuous"/>
          <w:pgSz w:w="12240" w:h="15840" w:code="1"/>
          <w:pgMar w:top="1440" w:right="1440" w:bottom="1440" w:left="1440" w:header="720" w:footer="720" w:gutter="0"/>
          <w:cols w:space="720"/>
          <w:docGrid w:linePitch="360"/>
        </w:sectPr>
      </w:pPr>
    </w:p>
    <w:bookmarkEnd w:id="46"/>
    <w:bookmarkEnd w:id="47"/>
    <w:p w14:paraId="75B6E8B7" w14:textId="6D209787" w:rsidR="003D2EC7" w:rsidRPr="009F51DC" w:rsidRDefault="003D2EC7" w:rsidP="000D3688">
      <w:pPr>
        <w:rPr>
          <w:lang w:val="sr-Cyrl-RS"/>
        </w:rPr>
      </w:pPr>
      <w:r w:rsidRPr="009F51DC">
        <w:rPr>
          <w:rFonts w:eastAsia="Calibri" w:cstheme="minorHAnsi"/>
          <w:b/>
          <w:color w:val="2F5496" w:themeColor="accent1" w:themeShade="BF"/>
          <w:sz w:val="22"/>
          <w:szCs w:val="20"/>
          <w:lang w:val="sr-Cyrl-RS" w:eastAsia="ja-JP"/>
        </w:rPr>
        <w:t>Структурне мере за унапређење стабилности и одрживости јавних финансија</w:t>
      </w:r>
      <w:r w:rsidRPr="009F51DC">
        <w:rPr>
          <w:rFonts w:eastAsia="Calibri" w:cstheme="minorHAnsi"/>
          <w:b/>
          <w:color w:val="2F5496" w:themeColor="accent1" w:themeShade="BF"/>
          <w:sz w:val="22"/>
          <w:szCs w:val="20"/>
          <w:vertAlign w:val="superscript"/>
          <w:lang w:val="sr-Cyrl-RS" w:eastAsia="ja-JP"/>
        </w:rPr>
        <w:footnoteReference w:id="5"/>
      </w:r>
    </w:p>
    <w:p w14:paraId="050AB9A2" w14:textId="33B92A5B" w:rsidR="003D2EC7" w:rsidRPr="009F51DC" w:rsidRDefault="003D2EC7" w:rsidP="00953528">
      <w:pPr>
        <w:rPr>
          <w:rFonts w:ascii="Calibri" w:eastAsia="Calibri" w:hAnsi="Calibri" w:cs="Calibri"/>
          <w:color w:val="44546A"/>
          <w:spacing w:val="-2"/>
          <w:szCs w:val="20"/>
          <w:lang w:val="sr-Cyrl-RS" w:eastAsia="ja-JP"/>
        </w:rPr>
      </w:pPr>
      <w:r w:rsidRPr="009F51DC">
        <w:rPr>
          <w:rFonts w:ascii="Calibri" w:eastAsia="Calibri" w:hAnsi="Calibri" w:cs="Calibri"/>
          <w:color w:val="44546A"/>
          <w:spacing w:val="-2"/>
          <w:szCs w:val="20"/>
          <w:lang w:val="sr-Cyrl-RS" w:eastAsia="ja-JP"/>
        </w:rPr>
        <w:t xml:space="preserve">Криза у Украјини је унела неизвесност у све економске токове, жестоко погађајући ланце снабдевања и стварајући додатне инфлаторне притиске на тржиштима хране, енергије, сировина и других добара. Смањење домаће производње електричне енергије у 2022. години повећало је потребе за њеним увозом по значајно вишим ценама, док су значајна додатна средства била потребна и за набавку гаса уз погоршавање услова на финансијским тржиштима. </w:t>
      </w:r>
      <w:r w:rsidR="00D73C9A" w:rsidRPr="00D73C9A">
        <w:rPr>
          <w:rFonts w:ascii="Calibri" w:eastAsia="Calibri" w:hAnsi="Calibri" w:cs="Calibri"/>
          <w:color w:val="44546A"/>
          <w:spacing w:val="-2"/>
          <w:szCs w:val="20"/>
          <w:lang w:val="sr-Cyrl-RS" w:eastAsia="ja-JP"/>
        </w:rPr>
        <w:t>У оваквим ванредним околностима Република Србија је у децембру 2022. године склопила нови стандбај аранжман са ММФ-ом у трајању од две године</w:t>
      </w:r>
      <w:r w:rsidRPr="009F51DC">
        <w:rPr>
          <w:rFonts w:ascii="Calibri" w:eastAsia="Calibri" w:hAnsi="Calibri" w:cs="Calibri"/>
          <w:color w:val="44546A"/>
          <w:spacing w:val="-2"/>
          <w:szCs w:val="20"/>
          <w:lang w:val="sr-Cyrl-RS" w:eastAsia="ja-JP"/>
        </w:rPr>
        <w:t xml:space="preserve">. Програм има за циљ: 1) очување макроекономске и финансијске стабилности прилагођавањем политика на настале економске шокове; 2) јачање </w:t>
      </w:r>
      <w:r w:rsidRPr="009F51DC">
        <w:rPr>
          <w:rFonts w:ascii="Calibri" w:eastAsia="Calibri" w:hAnsi="Calibri" w:cs="Calibri"/>
          <w:color w:val="44546A"/>
          <w:spacing w:val="-2"/>
          <w:szCs w:val="20"/>
          <w:lang w:val="sr-Cyrl-RS" w:eastAsia="ja-JP"/>
        </w:rPr>
        <w:t>отпорности привреде на енергетске шокове спровођењем одговарајућих енергетских политика и реформи за суочавање са изазовима домаћег енергетског сектора, истовремено штитећи најугроженије; 3) давање подстицаја бржем, зеленом и инклузивном одрживом расту у средњем року спровођењем свеобухватних структурних реформи. Циљеви програма су компатибилни с тежњама Републике Србије да се придружи ЕУ.</w:t>
      </w:r>
    </w:p>
    <w:p w14:paraId="078026CA" w14:textId="77777777" w:rsidR="003D2EC7" w:rsidRPr="009F51DC" w:rsidRDefault="003D2EC7" w:rsidP="000D3688">
      <w:pPr>
        <w:rPr>
          <w:rFonts w:ascii="Calibri" w:eastAsia="Calibri" w:hAnsi="Calibri" w:cs="Calibri"/>
          <w:color w:val="44546A"/>
          <w:spacing w:val="-2"/>
          <w:szCs w:val="20"/>
          <w:lang w:val="sr-Cyrl-RS" w:eastAsia="ja-JP"/>
        </w:rPr>
      </w:pPr>
      <w:r w:rsidRPr="009F51DC">
        <w:rPr>
          <w:rFonts w:ascii="Calibri" w:eastAsia="Calibri" w:hAnsi="Calibri" w:cs="Calibri"/>
          <w:color w:val="44546A"/>
          <w:spacing w:val="-2"/>
          <w:szCs w:val="20"/>
          <w:lang w:val="sr-Cyrl-RS" w:eastAsia="ja-JP"/>
        </w:rPr>
        <w:t xml:space="preserve">Како би се обезбедила стабилност и одрживост јавних финансија на дужи рок потребно је имати функционалан систем фискалних правила. Фискална правила по први пут су уведена Законом о буџетском систему 2010. године. Република Србија је била једна од првих земаља која је законом утврдила национална фискална правила и оформила независну институцију Фискални савет </w:t>
      </w:r>
      <w:r w:rsidRPr="009F51DC">
        <w:rPr>
          <w:rFonts w:ascii="Calibri" w:eastAsia="Calibri" w:hAnsi="Calibri" w:cs="Calibri"/>
          <w:color w:val="44546A"/>
          <w:spacing w:val="-2"/>
          <w:szCs w:val="20"/>
          <w:lang w:val="sr-Cyrl-RS" w:eastAsia="ja-JP"/>
        </w:rPr>
        <w:lastRenderedPageBreak/>
        <w:t xml:space="preserve">који оцењује Владину економску и фискалну политику, као и поштовање правила. Како су правила постала важећа у току светске економске кризе, нумеричко правило за дуг прекршено је већ у првој години примене. У међувремену фискална правила уводило је све више земаља, поред националних фискалних правила земље чланице ЕУ примењују и правила дефинисана на нивоу ЕУ и ЕМУ. Европска фискална правила су у неколико наврата мењана и редефинисана имајући у виду примену и ефекте до којих је примена правила доводила. Имајући у виду да је од увођења фискалних правила у Републици Србији протекло дванаест година, створили су се услови за њихову измену, узимајући у обзир искуства других земаља, праваца у којима су се мењала фискална правила </w:t>
      </w:r>
      <w:r w:rsidRPr="009F51DC">
        <w:rPr>
          <w:rFonts w:ascii="Calibri" w:eastAsia="Calibri" w:hAnsi="Calibri" w:cs="Calibri"/>
          <w:color w:val="44546A"/>
          <w:spacing w:val="-2"/>
          <w:szCs w:val="20"/>
          <w:lang w:val="sr-Cyrl-RS" w:eastAsia="ja-JP"/>
        </w:rPr>
        <w:t>ЕУ, последице и реаговања фискалне политике на велику економску кризу из 2008. године, али и искуство последње, пре свега здравствене, али и економске кризе коју је изазвала пандемија коронавируса, а након тога и криза изазвана конфликтом у Украјини.</w:t>
      </w:r>
    </w:p>
    <w:p w14:paraId="5A5CC9EE" w14:textId="77777777" w:rsidR="003D2EC7" w:rsidRPr="009F51DC" w:rsidRDefault="003D2EC7" w:rsidP="00550CC8">
      <w:pPr>
        <w:spacing w:after="280"/>
        <w:rPr>
          <w:rFonts w:ascii="Calibri" w:eastAsia="Calibri" w:hAnsi="Calibri" w:cs="Calibri"/>
          <w:color w:val="44546A"/>
          <w:szCs w:val="20"/>
          <w:lang w:val="sr-Cyrl-RS" w:eastAsia="ja-JP"/>
        </w:rPr>
      </w:pPr>
      <w:r w:rsidRPr="009F51DC">
        <w:rPr>
          <w:rFonts w:ascii="Calibri" w:eastAsia="Calibri" w:hAnsi="Calibri" w:cs="Calibri"/>
          <w:color w:val="44546A"/>
          <w:spacing w:val="-2"/>
          <w:szCs w:val="20"/>
          <w:lang w:val="sr-Cyrl-RS"/>
        </w:rPr>
        <w:t>Нови сет фискалних правила саставни је део Закона о изменама и допунама Закона о буџетском систему, усвојеног у децембру 2022. године</w:t>
      </w:r>
      <w:r w:rsidRPr="009F51DC">
        <w:rPr>
          <w:rFonts w:ascii="Calibri" w:eastAsia="Calibri" w:hAnsi="Calibri" w:cs="Calibri"/>
          <w:color w:val="44546A"/>
          <w:szCs w:val="20"/>
          <w:lang w:val="sr-Cyrl-RS" w:eastAsia="ja-JP"/>
        </w:rPr>
        <w:t>. Одступање од ових правила је могуће само изузетно и привремено, и то у случајевима природних катастрофа и екстерних шокова који утичу на угрожавање здравља људи, националне безбедности и значајан пад привредне активности.</w:t>
      </w:r>
    </w:p>
    <w:p w14:paraId="5333CF4D" w14:textId="77777777" w:rsidR="003D2EC7" w:rsidRDefault="003D2EC7">
      <w:pPr>
        <w:jc w:val="left"/>
        <w:rPr>
          <w:rFonts w:ascii="Calibri" w:eastAsia="Calibri" w:hAnsi="Calibri" w:cs="Calibri"/>
          <w:color w:val="44546A"/>
          <w:spacing w:val="-2"/>
          <w:szCs w:val="20"/>
          <w:lang w:val="sr-Cyrl-RS" w:eastAsia="ja-JP"/>
        </w:rPr>
        <w:sectPr w:rsidR="003D2EC7" w:rsidSect="003D2EC7">
          <w:headerReference w:type="default" r:id="rId150"/>
          <w:footerReference w:type="default" r:id="rId151"/>
          <w:headerReference w:type="first" r:id="rId152"/>
          <w:footerReference w:type="first" r:id="rId153"/>
          <w:type w:val="continuous"/>
          <w:pgSz w:w="12240" w:h="15840" w:code="1"/>
          <w:pgMar w:top="1440" w:right="1440" w:bottom="1440" w:left="1440" w:header="720" w:footer="720" w:gutter="0"/>
          <w:cols w:num="2" w:space="720"/>
          <w:titlePg/>
          <w:docGrid w:linePitch="360"/>
          <w15:footnoteColumns w:val="1"/>
        </w:sectPr>
      </w:pPr>
    </w:p>
    <w:tbl>
      <w:tblPr>
        <w:tblStyle w:val="TableGrid"/>
        <w:tblW w:w="0" w:type="auto"/>
        <w:tblBorders>
          <w:top w:val="single" w:sz="4" w:space="0" w:color="44546A" w:themeColor="text2"/>
          <w:left w:val="single" w:sz="4" w:space="0" w:color="44546A" w:themeColor="text2"/>
          <w:bottom w:val="single" w:sz="4" w:space="0" w:color="44546A" w:themeColor="text2"/>
          <w:right w:val="single" w:sz="4" w:space="0" w:color="44546A" w:themeColor="text2"/>
          <w:insideH w:val="none" w:sz="0" w:space="0" w:color="auto"/>
          <w:insideV w:val="none" w:sz="0" w:space="0" w:color="auto"/>
        </w:tblBorders>
        <w:tblLook w:val="04A0" w:firstRow="1" w:lastRow="0" w:firstColumn="1" w:lastColumn="0" w:noHBand="0" w:noVBand="1"/>
      </w:tblPr>
      <w:tblGrid>
        <w:gridCol w:w="9350"/>
      </w:tblGrid>
      <w:tr w:rsidR="003D2EC7" w:rsidRPr="004E7112" w14:paraId="214366B8" w14:textId="77777777" w:rsidTr="000D3688">
        <w:tc>
          <w:tcPr>
            <w:tcW w:w="9350" w:type="dxa"/>
          </w:tcPr>
          <w:p w14:paraId="53E5D636" w14:textId="77777777" w:rsidR="003D2EC7" w:rsidRPr="009F51DC" w:rsidRDefault="003D2EC7" w:rsidP="000D3688">
            <w:pPr>
              <w:spacing w:after="160"/>
              <w:rPr>
                <w:b/>
                <w:lang w:val="sr-Cyrl-RS"/>
              </w:rPr>
            </w:pPr>
            <w:r w:rsidRPr="009F51DC">
              <w:rPr>
                <w:b/>
                <w:lang w:val="sr-Cyrl-RS"/>
              </w:rPr>
              <w:t>Нови сет фискалних правила:</w:t>
            </w:r>
          </w:p>
          <w:p w14:paraId="3357AA70" w14:textId="77777777" w:rsidR="003D2EC7" w:rsidRPr="009F51DC" w:rsidRDefault="003D2EC7" w:rsidP="000D3688">
            <w:pPr>
              <w:spacing w:after="160"/>
              <w:rPr>
                <w:lang w:val="sr-Cyrl-RS"/>
              </w:rPr>
            </w:pPr>
            <w:r w:rsidRPr="009F51DC">
              <w:rPr>
                <w:lang w:val="sr-Cyrl-RS"/>
              </w:rPr>
              <w:t>Општа фискална правила*:</w:t>
            </w:r>
          </w:p>
          <w:p w14:paraId="453255D7" w14:textId="77777777" w:rsidR="003D2EC7" w:rsidRPr="009F51DC" w:rsidRDefault="003D2EC7" w:rsidP="000D3688">
            <w:pPr>
              <w:pStyle w:val="ListParagraph"/>
              <w:numPr>
                <w:ilvl w:val="0"/>
                <w:numId w:val="19"/>
              </w:numPr>
              <w:spacing w:after="60"/>
              <w:contextualSpacing w:val="0"/>
              <w:rPr>
                <w:lang w:val="sr-Cyrl-RS"/>
              </w:rPr>
            </w:pPr>
            <w:r w:rsidRPr="009F51DC">
              <w:rPr>
                <w:lang w:val="sr-Cyrl-RS"/>
              </w:rPr>
              <w:t>дуг сектора државе, укључујући обавезе по основу реституције, неће бити већи од 60% БДП.</w:t>
            </w:r>
          </w:p>
          <w:p w14:paraId="3713FA10" w14:textId="77777777" w:rsidR="003D2EC7" w:rsidRPr="009F51DC" w:rsidRDefault="003D2EC7" w:rsidP="000D3688">
            <w:pPr>
              <w:pStyle w:val="ListParagraph"/>
              <w:numPr>
                <w:ilvl w:val="0"/>
                <w:numId w:val="19"/>
              </w:numPr>
              <w:spacing w:after="60"/>
              <w:contextualSpacing w:val="0"/>
              <w:rPr>
                <w:lang w:val="sr-Cyrl-RS"/>
              </w:rPr>
            </w:pPr>
            <w:r w:rsidRPr="009F51DC">
              <w:rPr>
                <w:lang w:val="sr-Cyrl-RS"/>
              </w:rPr>
              <w:t>циљани средњорочни дефицит је 0,5% БДП.</w:t>
            </w:r>
          </w:p>
          <w:p w14:paraId="146D134E" w14:textId="77777777" w:rsidR="003D2EC7" w:rsidRPr="009F51DC" w:rsidRDefault="003D2EC7" w:rsidP="000D3688">
            <w:pPr>
              <w:pStyle w:val="ListParagraph"/>
              <w:spacing w:after="60"/>
              <w:contextualSpacing w:val="0"/>
              <w:rPr>
                <w:i/>
                <w:lang w:val="sr-Cyrl-RS"/>
              </w:rPr>
            </w:pPr>
            <w:r w:rsidRPr="009F51DC">
              <w:rPr>
                <w:i/>
                <w:lang w:val="sr-Cyrl-RS"/>
              </w:rPr>
              <w:t>Уколико је дуг сектора државе изнад 60% БДП, фискална позиција сектора државе мора бити уравнотежена, тако да дефицит износи највише 0% БДП.</w:t>
            </w:r>
          </w:p>
          <w:p w14:paraId="378A427F" w14:textId="77777777" w:rsidR="003D2EC7" w:rsidRPr="009F51DC" w:rsidRDefault="003D2EC7" w:rsidP="000D3688">
            <w:pPr>
              <w:pStyle w:val="ListParagraph"/>
              <w:spacing w:after="60"/>
              <w:contextualSpacing w:val="0"/>
              <w:rPr>
                <w:i/>
                <w:lang w:val="sr-Cyrl-RS"/>
              </w:rPr>
            </w:pPr>
            <w:r w:rsidRPr="009F51DC">
              <w:rPr>
                <w:i/>
                <w:lang w:val="sr-Cyrl-RS"/>
              </w:rPr>
              <w:t>Уколико је дуг сектора државе између 55% и 60% БДП, дефицит износи највише 0,5% БДП.</w:t>
            </w:r>
          </w:p>
          <w:p w14:paraId="4E25CD97" w14:textId="77777777" w:rsidR="003D2EC7" w:rsidRPr="009F51DC" w:rsidRDefault="003D2EC7" w:rsidP="000D3688">
            <w:pPr>
              <w:pStyle w:val="ListParagraph"/>
              <w:spacing w:after="60"/>
              <w:contextualSpacing w:val="0"/>
              <w:rPr>
                <w:i/>
                <w:lang w:val="sr-Cyrl-RS"/>
              </w:rPr>
            </w:pPr>
            <w:r w:rsidRPr="009F51DC">
              <w:rPr>
                <w:i/>
                <w:lang w:val="sr-Cyrl-RS"/>
              </w:rPr>
              <w:t>Уколико је дуг сектора државе између 45% и 55% БДП, дефицит износи највише 1,5% БДП.</w:t>
            </w:r>
          </w:p>
          <w:p w14:paraId="1B4CF053" w14:textId="77777777" w:rsidR="003D2EC7" w:rsidRPr="009F51DC" w:rsidRDefault="003D2EC7" w:rsidP="000D3688">
            <w:pPr>
              <w:pStyle w:val="ListParagraph"/>
              <w:spacing w:after="160"/>
              <w:rPr>
                <w:i/>
                <w:lang w:val="sr-Cyrl-RS"/>
              </w:rPr>
            </w:pPr>
            <w:r w:rsidRPr="009F51DC">
              <w:rPr>
                <w:i/>
                <w:lang w:val="sr-Cyrl-RS"/>
              </w:rPr>
              <w:t>Уколико је дуг сектора државе испод 45% БДП, дефицит неће прећи износ од 3% БДП.</w:t>
            </w:r>
          </w:p>
          <w:p w14:paraId="71AC6B27" w14:textId="77777777" w:rsidR="003D2EC7" w:rsidRPr="009F51DC" w:rsidRDefault="003D2EC7" w:rsidP="000D3688">
            <w:pPr>
              <w:spacing w:after="160"/>
              <w:rPr>
                <w:lang w:val="sr-Cyrl-RS"/>
              </w:rPr>
            </w:pPr>
            <w:r w:rsidRPr="009F51DC">
              <w:rPr>
                <w:lang w:val="sr-Cyrl-RS"/>
              </w:rPr>
              <w:t>Посебна фискална правила**:</w:t>
            </w:r>
          </w:p>
          <w:p w14:paraId="7E97B08C" w14:textId="77777777" w:rsidR="003D2EC7" w:rsidRPr="009F51DC" w:rsidRDefault="003D2EC7" w:rsidP="000D3688">
            <w:pPr>
              <w:pStyle w:val="ListParagraph"/>
              <w:numPr>
                <w:ilvl w:val="0"/>
                <w:numId w:val="19"/>
              </w:numPr>
              <w:spacing w:after="60"/>
              <w:contextualSpacing w:val="0"/>
              <w:rPr>
                <w:lang w:val="sr-Cyrl-RS"/>
              </w:rPr>
            </w:pPr>
            <w:r w:rsidRPr="009F51DC">
              <w:rPr>
                <w:lang w:val="sr-Cyrl-RS"/>
              </w:rPr>
              <w:t>учешће плата сектора државе у БДП до 10%.</w:t>
            </w:r>
          </w:p>
          <w:p w14:paraId="1C5CF4F4" w14:textId="77777777" w:rsidR="003D2EC7" w:rsidRPr="009F51DC" w:rsidRDefault="003D2EC7" w:rsidP="000D3688">
            <w:pPr>
              <w:pStyle w:val="ListParagraph"/>
              <w:numPr>
                <w:ilvl w:val="0"/>
                <w:numId w:val="19"/>
              </w:numPr>
              <w:spacing w:after="60"/>
              <w:contextualSpacing w:val="0"/>
              <w:rPr>
                <w:lang w:val="sr-Cyrl-RS"/>
              </w:rPr>
            </w:pPr>
            <w:r w:rsidRPr="009F51DC">
              <w:rPr>
                <w:lang w:val="sr-Cyrl-RS"/>
              </w:rPr>
              <w:t>индексирање пензија зависно од њиховог учешћа у БДП.</w:t>
            </w:r>
          </w:p>
          <w:p w14:paraId="352E057D" w14:textId="77777777" w:rsidR="003D2EC7" w:rsidRPr="009F51DC" w:rsidRDefault="003D2EC7" w:rsidP="000D3688">
            <w:pPr>
              <w:pStyle w:val="ListParagraph"/>
              <w:spacing w:after="60"/>
              <w:contextualSpacing w:val="0"/>
              <w:rPr>
                <w:i/>
                <w:lang w:val="sr-Cyrl-RS"/>
              </w:rPr>
            </w:pPr>
            <w:r w:rsidRPr="009F51DC">
              <w:rPr>
                <w:i/>
                <w:lang w:val="sr-Cyrl-RS"/>
              </w:rPr>
              <w:t>Уколико су укупни расходи за пензије и новчани износ као увећање за пензију мањи од 10% БДП, пензија ће се ускладити према промени просечне зараде без пореза и доприноса, на начин дефинисан законом који уређује пензијско и инвалидско осигурање.</w:t>
            </w:r>
          </w:p>
          <w:p w14:paraId="419565E0" w14:textId="77777777" w:rsidR="003D2EC7" w:rsidRPr="009F51DC" w:rsidRDefault="003D2EC7" w:rsidP="000D3688">
            <w:pPr>
              <w:pStyle w:val="ListParagraph"/>
              <w:spacing w:after="60"/>
              <w:contextualSpacing w:val="0"/>
              <w:rPr>
                <w:i/>
                <w:lang w:val="sr-Cyrl-RS"/>
              </w:rPr>
            </w:pPr>
            <w:r w:rsidRPr="009F51DC">
              <w:rPr>
                <w:i/>
                <w:lang w:val="sr-Cyrl-RS"/>
              </w:rPr>
              <w:t>Уколико су укупни расходи за пензије и новчани износ као увећање за пензију 10% или већи од 10%, а мањи од 10,5% БДП, пензија ће се ускладити са збиром половине процента промене просечне зараде без пореза и доприноса</w:t>
            </w:r>
            <w:r w:rsidRPr="009F51DC" w:rsidDel="001A681C">
              <w:rPr>
                <w:i/>
                <w:lang w:val="sr-Cyrl-RS"/>
              </w:rPr>
              <w:t xml:space="preserve"> </w:t>
            </w:r>
            <w:r w:rsidRPr="009F51DC">
              <w:rPr>
                <w:i/>
                <w:lang w:val="sr-Cyrl-RS"/>
              </w:rPr>
              <w:t>и половине процента промене потрошачких цена, на начин дефинисан законом који уређује пензијско и инвалидско осигурање.</w:t>
            </w:r>
          </w:p>
          <w:p w14:paraId="1B721792" w14:textId="77777777" w:rsidR="003D2EC7" w:rsidRPr="009F51DC" w:rsidRDefault="003D2EC7" w:rsidP="000D3688">
            <w:pPr>
              <w:pStyle w:val="ListParagraph"/>
              <w:spacing w:after="160"/>
              <w:rPr>
                <w:i/>
                <w:lang w:val="sr-Cyrl-RS"/>
              </w:rPr>
            </w:pPr>
            <w:r w:rsidRPr="009F51DC">
              <w:rPr>
                <w:i/>
                <w:lang w:val="sr-Cyrl-RS"/>
              </w:rPr>
              <w:t>Уколико су укупни расходи за пензије и новчани износ као увећање за пензију једнаки или већи од 10,5% БДП, пензија ће се ускладити према промени потрошачких цена, на начин дефинисан законом који уређује пензијско и инвалидско осигурање.</w:t>
            </w:r>
          </w:p>
          <w:p w14:paraId="02FF03AD" w14:textId="77777777" w:rsidR="003D2EC7" w:rsidRPr="009F51DC" w:rsidRDefault="003D2EC7" w:rsidP="000D3688">
            <w:pPr>
              <w:pStyle w:val="ListParagraph"/>
              <w:ind w:left="0"/>
              <w:rPr>
                <w:i/>
                <w:sz w:val="16"/>
                <w:szCs w:val="16"/>
                <w:lang w:val="sr-Cyrl-RS"/>
              </w:rPr>
            </w:pPr>
          </w:p>
          <w:p w14:paraId="0C3CA9D7" w14:textId="77777777" w:rsidR="003D2EC7" w:rsidRPr="009F51DC" w:rsidRDefault="003D2EC7" w:rsidP="000D3688">
            <w:pPr>
              <w:pStyle w:val="ListParagraph"/>
              <w:spacing w:after="40"/>
              <w:ind w:left="0"/>
              <w:contextualSpacing w:val="0"/>
              <w:rPr>
                <w:i/>
                <w:sz w:val="16"/>
                <w:szCs w:val="16"/>
                <w:lang w:val="sr-Cyrl-RS"/>
              </w:rPr>
            </w:pPr>
            <w:r w:rsidRPr="009F51DC">
              <w:rPr>
                <w:i/>
                <w:sz w:val="16"/>
                <w:szCs w:val="16"/>
                <w:lang w:val="sr-Cyrl-RS"/>
              </w:rPr>
              <w:t>* примењиваће се од доношења Закона о буџету Републике Србије за 2025. годину, до тада ће се примењивати фискални циљеви утврђени у Фискалној стратегији</w:t>
            </w:r>
          </w:p>
          <w:p w14:paraId="0E4C541C" w14:textId="77777777" w:rsidR="003D2EC7" w:rsidRPr="009F51DC" w:rsidRDefault="003D2EC7" w:rsidP="000D3688">
            <w:pPr>
              <w:pStyle w:val="ListParagraph"/>
              <w:spacing w:after="120"/>
              <w:ind w:left="0"/>
              <w:rPr>
                <w:i/>
                <w:sz w:val="16"/>
                <w:szCs w:val="16"/>
                <w:lang w:val="sr-Cyrl-RS"/>
              </w:rPr>
            </w:pPr>
            <w:r w:rsidRPr="009F51DC">
              <w:rPr>
                <w:i/>
                <w:sz w:val="16"/>
                <w:szCs w:val="16"/>
                <w:lang w:val="sr-Cyrl-RS"/>
              </w:rPr>
              <w:t>**</w:t>
            </w:r>
            <w:r w:rsidRPr="009F51DC">
              <w:rPr>
                <w:lang w:val="sr-Cyrl-RS"/>
              </w:rPr>
              <w:t xml:space="preserve"> </w:t>
            </w:r>
            <w:r w:rsidRPr="009F51DC">
              <w:rPr>
                <w:i/>
                <w:sz w:val="16"/>
                <w:szCs w:val="16"/>
                <w:lang w:val="sr-Cyrl-RS"/>
              </w:rPr>
              <w:t>примењује се од доношења Закона о буџету Републике Србије за 2023. годину, уз постепено ширење обухвата сектора државе, у складу са законом</w:t>
            </w:r>
          </w:p>
        </w:tc>
      </w:tr>
    </w:tbl>
    <w:p w14:paraId="31C8600C" w14:textId="77777777" w:rsidR="003D2EC7" w:rsidRPr="009F51DC" w:rsidRDefault="003D2EC7" w:rsidP="000D3688">
      <w:pPr>
        <w:spacing w:after="0"/>
        <w:rPr>
          <w:rFonts w:ascii="Calibri" w:eastAsia="Calibri" w:hAnsi="Calibri" w:cs="Calibri"/>
          <w:color w:val="44546A"/>
          <w:spacing w:val="-2"/>
          <w:szCs w:val="20"/>
          <w:lang w:val="sr-Cyrl-RS" w:eastAsia="ja-JP"/>
        </w:rPr>
      </w:pPr>
    </w:p>
    <w:p w14:paraId="6F197B38" w14:textId="77777777" w:rsidR="003D2EC7" w:rsidRPr="009F51DC" w:rsidRDefault="003D2EC7" w:rsidP="000D3688">
      <w:pPr>
        <w:spacing w:after="0"/>
        <w:rPr>
          <w:rFonts w:ascii="Calibri" w:eastAsia="Calibri" w:hAnsi="Calibri" w:cs="Calibri"/>
          <w:color w:val="44546A"/>
          <w:spacing w:val="-2"/>
          <w:szCs w:val="20"/>
          <w:lang w:val="sr-Cyrl-RS" w:eastAsia="ja-JP"/>
        </w:rPr>
        <w:sectPr w:rsidR="003D2EC7" w:rsidRPr="009F51DC" w:rsidSect="000D3688">
          <w:type w:val="continuous"/>
          <w:pgSz w:w="12240" w:h="15840" w:code="1"/>
          <w:pgMar w:top="1440" w:right="1440" w:bottom="1440" w:left="1440" w:header="720" w:footer="720" w:gutter="0"/>
          <w:cols w:space="720"/>
          <w:docGrid w:linePitch="360"/>
        </w:sectPr>
      </w:pPr>
    </w:p>
    <w:p w14:paraId="701A0F25" w14:textId="77777777" w:rsidR="00550CC8" w:rsidRDefault="00550CC8">
      <w:pPr>
        <w:jc w:val="left"/>
        <w:rPr>
          <w:rFonts w:ascii="Calibri" w:eastAsia="Calibri" w:hAnsi="Calibri" w:cs="Calibri"/>
          <w:color w:val="44546A"/>
          <w:szCs w:val="20"/>
          <w:lang w:val="sr-Cyrl-RS" w:eastAsia="ja-JP"/>
        </w:rPr>
      </w:pPr>
      <w:r>
        <w:rPr>
          <w:rFonts w:ascii="Calibri" w:eastAsia="Calibri" w:hAnsi="Calibri" w:cs="Calibri"/>
          <w:color w:val="44546A"/>
          <w:szCs w:val="20"/>
          <w:lang w:val="sr-Cyrl-RS" w:eastAsia="ja-JP"/>
        </w:rPr>
        <w:br w:type="page"/>
      </w:r>
    </w:p>
    <w:p w14:paraId="3F990725" w14:textId="5BDE095D" w:rsidR="003D2EC7" w:rsidRPr="009F51DC" w:rsidRDefault="003D2EC7" w:rsidP="00953528">
      <w:pPr>
        <w:rPr>
          <w:rFonts w:ascii="Calibri" w:eastAsia="Calibri" w:hAnsi="Calibri" w:cs="Calibri"/>
          <w:color w:val="44546A"/>
          <w:szCs w:val="20"/>
          <w:lang w:val="sr-Cyrl-RS" w:eastAsia="ja-JP"/>
        </w:rPr>
      </w:pPr>
      <w:r w:rsidRPr="009F51DC">
        <w:rPr>
          <w:rFonts w:ascii="Calibri" w:eastAsia="Calibri" w:hAnsi="Calibri" w:cs="Calibri"/>
          <w:color w:val="44546A"/>
          <w:szCs w:val="20"/>
          <w:lang w:val="sr-Cyrl-RS" w:eastAsia="ja-JP"/>
        </w:rPr>
        <w:lastRenderedPageBreak/>
        <w:t>У наредном периоду очекује се наставак реформи у области запошљавања, управљања кадровима и система плата у сектору државе. Циљ фискалне политике у средњем року је задржавање расхода за запослене на одрживом нивоу, уз адекватну структуру запослених, како би се обезбедио већи квалитет пружених услуга. У наредном средњорочном периоду акценат ће бити на структурним мерама, које би преко планирања броја запослених с једне стране, и успостављања новог система плата у сектору државе с друге стране, допринеле повећању ефикасности и квалитету пружених јавних услуга. Упоредо с тим планира се прелазак на нови оквир којим ће се на нивоу сектора државе, на основу нове методологије управљати запошљавањем у сектору државе.</w:t>
      </w:r>
    </w:p>
    <w:p w14:paraId="6CB3F8F8" w14:textId="3DEAE09E" w:rsidR="003D2EC7" w:rsidRPr="009F51DC" w:rsidRDefault="003D2EC7" w:rsidP="00953528">
      <w:pPr>
        <w:rPr>
          <w:rFonts w:ascii="Calibri" w:eastAsia="Calibri" w:hAnsi="Calibri" w:cs="Calibri"/>
          <w:color w:val="44546A"/>
          <w:szCs w:val="20"/>
          <w:lang w:val="sr-Cyrl-RS" w:eastAsia="ja-JP"/>
        </w:rPr>
      </w:pPr>
      <w:r w:rsidRPr="009F51DC">
        <w:rPr>
          <w:rFonts w:ascii="Calibri" w:eastAsia="Calibri" w:hAnsi="Calibri" w:cs="Calibri"/>
          <w:color w:val="44546A"/>
          <w:szCs w:val="20"/>
          <w:lang w:val="sr-Cyrl-RS" w:eastAsia="ja-JP"/>
        </w:rPr>
        <w:t xml:space="preserve">Постојећи систем запошљавања, којим руководи Владина Комисија за давање сагласности за ново запошљавање и додатно радно ангажовање код корисника јавних средстава наставиће да функционише у прелазном периоду, односно све док нови систем не буде у потпуности оперативан. Крајем 2020. године усвојене су измене Закона о буџетском систему како би било омогућено да у прелазном периоду институције могу да ангажују нова лица до нивоа од 70% оних који напуштају институцију или одлазе у пензију, док је дозвола Комисије потребна уколико број новозапослених пређе 70%. Смисао ове мере је да се обезбеди већа флексибилност у запошљавању на нивоу самих институција, у складу с њиховим потребама за новим кадровима. Такође, постављен је и лимит од 1% за повећање укупног броја запослених на неодређено време у односу на ниво с краја 2020. године. </w:t>
      </w:r>
      <w:r w:rsidR="00796588" w:rsidRPr="00796588">
        <w:rPr>
          <w:rFonts w:ascii="Calibri" w:eastAsia="Calibri" w:hAnsi="Calibri" w:cs="Calibri"/>
          <w:color w:val="44546A"/>
          <w:szCs w:val="20"/>
          <w:lang w:val="sr-Cyrl-RS" w:eastAsia="ja-JP"/>
        </w:rPr>
        <w:t xml:space="preserve">Централни информациони систем за обрачун примања запослених у јавном сектору „Искра” тренутно обухвата све директне кориснике буџета, институције из области културе, правосуђа, рада и социјалне заштите и просвете (осим установа вишег и високог образовања), а у следећој фази биће укључене институције из области здравства и јединице локалне самоуправе са индиректним корисницима (предшколске установе, установе културе, спорта и социјалне заштите). Суштина овог система је боље планирање, извршење и контрола расхода за плате запослених, већа транспарентност и боље </w:t>
      </w:r>
      <w:r w:rsidR="00796588" w:rsidRPr="00796588">
        <w:rPr>
          <w:rFonts w:ascii="Calibri" w:eastAsia="Calibri" w:hAnsi="Calibri" w:cs="Calibri"/>
          <w:color w:val="44546A"/>
          <w:szCs w:val="20"/>
          <w:lang w:val="sr-Cyrl-RS" w:eastAsia="ja-JP"/>
        </w:rPr>
        <w:t>управљање људским ресурсима у условима све јаче конкуренције из приватног сектора, што има негативан утицај на привлачење и задржавање запослених у јавном сектору, поготово имајући у виду атрактивност зарада у приватном сектору, што може довести до значајног одлива кадрова уколико се ове реформе не спроведу. Системом ће бити обухваћено преко 450.000 запослених у јавном сектору, а ван система у овој фази ће остати само запослени у сектору одбране, безбедности и унутрашњих послова и институције вишег и високог образовања</w:t>
      </w:r>
      <w:r w:rsidRPr="00796588">
        <w:rPr>
          <w:rFonts w:ascii="Calibri" w:eastAsia="Calibri" w:hAnsi="Calibri" w:cs="Calibri"/>
          <w:color w:val="44546A"/>
          <w:szCs w:val="20"/>
          <w:lang w:val="sr-Cyrl-RS" w:eastAsia="ja-JP"/>
        </w:rPr>
        <w:t>.</w:t>
      </w:r>
    </w:p>
    <w:p w14:paraId="4F633CD3" w14:textId="0AA9D6E6" w:rsidR="003D2EC7" w:rsidRPr="009F51DC" w:rsidRDefault="003D2EC7" w:rsidP="00953528">
      <w:pPr>
        <w:rPr>
          <w:rFonts w:ascii="Calibri" w:eastAsia="Calibri" w:hAnsi="Calibri" w:cs="Calibri"/>
          <w:szCs w:val="20"/>
          <w:lang w:val="sr-Cyrl-RS" w:eastAsia="ja-JP"/>
        </w:rPr>
      </w:pPr>
      <w:r w:rsidRPr="009F51DC">
        <w:rPr>
          <w:rFonts w:ascii="Calibri" w:eastAsia="Calibri" w:hAnsi="Calibri" w:cs="Calibri"/>
          <w:szCs w:val="20"/>
          <w:lang w:val="sr-Cyrl-RS" w:eastAsia="ja-JP"/>
        </w:rPr>
        <w:t xml:space="preserve">Криза у Украјини је кроз негативан утицај на тржишту енергената нарочито истакла све изазове и проблеме с којима се суочава енергетски сектор у Србији који се могу решити само спровођењем свеобухватног сета преко потребних реформи, које су критичне како за обезбеђивање енергетске безбедности тако и за фискалну и екстерну одрживост. Фазно подизање цена енергената (гаса и електричне енергије) су нужна мера како би се надоместили егзогено условљени високи трошкови њихове набавке. Далеко већи проблеми се тичу структурних дубоко укорењених слабости енергетског сектора који захтевају ургентне и свеобухватне реформе. Приоритет има реструктурирање великих енергетских компанија у власништву државе, како би се повећала њихова ефикасност и смањила буџетска подршка и фискални ризици. Статусна промена ЕПС из јавног предузећа у акционарско друштво извршена у априлу ове године има за циљ јачање ове компаније на дуги рок кроз професионализацију менаџмента. Ову промену прати и усвајање новог статута друштва у складу с новим Законом о управљању привредним друштвима у власништву Републике Србије, чије се усвајање очекује у наредном периоду. До краја године би требало да буде израђен детаљан стратешки план реструктурирања ове компаније, којим треба да буду решени бројни проблеми у пословању и који ће дефинисати кораке у трансформацији компаније, обезбеђујући њену стабилизацију и прецизирајући реформске приоритете у управљању и организационој структури. У складу с начелом транспарентности биће објављени сви стратешки и финансијски планови за ЕПС а.д. и ЈП „Србијагас”, за које се очекује завршетак посла </w:t>
      </w:r>
      <w:r w:rsidRPr="009F51DC">
        <w:rPr>
          <w:rFonts w:ascii="Calibri" w:eastAsia="Calibri" w:hAnsi="Calibri" w:cs="Calibri"/>
          <w:szCs w:val="20"/>
          <w:lang w:val="sr-Cyrl-RS" w:eastAsia="ja-JP"/>
        </w:rPr>
        <w:lastRenderedPageBreak/>
        <w:t xml:space="preserve">раздвајања основних од споредних делатности до краја 2024. године. Такође, наставиће се с праксом објављивања 20 највећих дужника овим двема компанијама на месечном нивоу. Следећи приоритет представља усвајање Интегрисаног националног енергетског и климатског плана Републике Србије, што се очекује до краја године и чији је циљ смањење емисија гасова стаклене баште, повећање удела обновљивих извора енергије и повећање енергетске ефикасности. Имплементација инвестиционог плана за енергетски сектор се очекује у наредних 2-5 година чиме ће бити обезбеђена сигурност у снабдевању енергентима и стабилизована производња електричне енергије, уз дефинисање субјеката и извора финансирања за ове пројекте. У складу са овим инвестиционим планом и Интегрисаним националним енергетским и климатским планом Републике Србије биће донета измењена Стратегија развоја енергетике Републике Србије с пројекцијама до 2050. године, док ће средства за ове инвестиције бити саставни део капиталних расхода у буџету Републике. Истовремено, потребно је обезбедити повољније окружење и унапредити постојећу законску регулативу како би се омогућило веће учешће приватног сектора у области обновљивих извора енергије. </w:t>
      </w:r>
    </w:p>
    <w:p w14:paraId="2D2158E0" w14:textId="77777777" w:rsidR="003D2EC7" w:rsidRPr="009F51DC" w:rsidRDefault="003D2EC7" w:rsidP="00953528">
      <w:pPr>
        <w:rPr>
          <w:rFonts w:ascii="Calibri" w:eastAsia="Calibri" w:hAnsi="Calibri" w:cs="Calibri"/>
          <w:szCs w:val="20"/>
          <w:lang w:val="sr-Cyrl-RS" w:eastAsia="ja-JP"/>
        </w:rPr>
      </w:pPr>
      <w:r w:rsidRPr="009F51DC">
        <w:rPr>
          <w:rFonts w:ascii="Calibri" w:eastAsia="Calibri" w:hAnsi="Calibri" w:cs="Calibri"/>
          <w:szCs w:val="20"/>
          <w:lang w:val="sr-Cyrl-RS" w:eastAsia="ja-JP"/>
        </w:rPr>
        <w:t xml:space="preserve">Влада је, уз подршку </w:t>
      </w:r>
      <w:r w:rsidRPr="009F51DC">
        <w:rPr>
          <w:rFonts w:eastAsia="MS PGothic" w:cstheme="minorHAnsi"/>
          <w:szCs w:val="20"/>
          <w:lang w:val="sr-Cyrl-RS" w:eastAsia="ja-JP"/>
        </w:rPr>
        <w:t>Европске банке за обнову и развој (у даљем тексту: ЕБРД)</w:t>
      </w:r>
      <w:r w:rsidRPr="009F51DC">
        <w:rPr>
          <w:rFonts w:ascii="Calibri" w:eastAsia="Calibri" w:hAnsi="Calibri" w:cs="Calibri"/>
          <w:szCs w:val="20"/>
          <w:lang w:val="sr-Cyrl-RS" w:eastAsia="ja-JP"/>
        </w:rPr>
        <w:t>, усвојила Стратегију државног власништва и управљања привредним субјектима који су у власништву Републике Србије за период од 2021. до 2027. године као јединствени акт који пружа стратешку визију и упутства у вези са циљевима власничког управљања, циљевима финансијских и јавних политика, као и принципима корпоративног управљања и праксама надзора у складу са међународним стандардима и најбољом праксом.</w:t>
      </w:r>
    </w:p>
    <w:p w14:paraId="735B4444" w14:textId="77777777" w:rsidR="003D2EC7" w:rsidRPr="009F51DC" w:rsidRDefault="003D2EC7" w:rsidP="00953528">
      <w:pPr>
        <w:rPr>
          <w:rFonts w:ascii="Calibri" w:eastAsia="Calibri" w:hAnsi="Calibri" w:cs="Calibri"/>
          <w:szCs w:val="20"/>
          <w:lang w:val="sr-Cyrl-RS" w:eastAsia="ja-JP"/>
        </w:rPr>
      </w:pPr>
      <w:r w:rsidRPr="009F51DC">
        <w:rPr>
          <w:rFonts w:ascii="Calibri" w:eastAsia="Calibri" w:hAnsi="Calibri" w:cs="Calibri"/>
          <w:szCs w:val="20"/>
          <w:lang w:val="sr-Cyrl-RS" w:eastAsia="ja-JP"/>
        </w:rPr>
        <w:t xml:space="preserve">Наставља се стриктно ограничавање издавања државних гаранција. У 2023. години издате су нове државне гаранције за комерцијалне кредите за ЈП „Србијагас” и нова државна гаранција за кредите ЕПС а.д. Неће бити издаване никакве нове државне гаранције за подршку ликвидности државним предузећима осим за ЈП „Србијагас” и ЕПС а.д, или државне гаранције за било које предузеће у портфолију бивше Агенције за </w:t>
      </w:r>
      <w:r w:rsidRPr="009F51DC">
        <w:rPr>
          <w:rFonts w:ascii="Calibri" w:eastAsia="Calibri" w:hAnsi="Calibri" w:cs="Calibri"/>
          <w:szCs w:val="20"/>
          <w:lang w:val="sr-Cyrl-RS" w:eastAsia="ja-JP"/>
        </w:rPr>
        <w:t>приватизацију. Наставиће се са издавањем гаранција за пројектне зајмове које дају мултилатералне финансијске организације као подршку инвестиционој и реформској агенди.</w:t>
      </w:r>
    </w:p>
    <w:p w14:paraId="0F56DC11" w14:textId="77777777" w:rsidR="003D2EC7" w:rsidRPr="009F51DC" w:rsidRDefault="003D2EC7" w:rsidP="00953528">
      <w:pPr>
        <w:rPr>
          <w:rFonts w:ascii="Calibri" w:eastAsia="Calibri" w:hAnsi="Calibri" w:cs="Calibri"/>
          <w:szCs w:val="20"/>
          <w:lang w:val="sr-Cyrl-RS" w:eastAsia="ja-JP"/>
        </w:rPr>
      </w:pPr>
      <w:r w:rsidRPr="009F51DC">
        <w:rPr>
          <w:rFonts w:ascii="Calibri" w:eastAsia="Calibri" w:hAnsi="Calibri" w:cs="Calibri"/>
          <w:szCs w:val="20"/>
          <w:lang w:val="sr-Cyrl-RS" w:eastAsia="ja-JP"/>
        </w:rPr>
        <w:t>За предузећа која чине стратешке компаније из портфолија бивше Агенције за приватизацију, решење се налази или кроз приватизационе тендере, или кроз стечај. За саобраћајно предузеће „Ласта” АД Београд тражиће се компаније заинтересоване за приватизацију или стратешко партнерство. Министарство рударства и енергетике ради на изради планова за ЈП ПЕУ „Ресавица”, чије спровођење укључује проналажење решења за економски неодрживе руднике који су пред исцрпљењем</w:t>
      </w:r>
      <w:r>
        <w:rPr>
          <w:rFonts w:ascii="Calibri" w:eastAsia="Calibri" w:hAnsi="Calibri" w:cs="Calibri"/>
          <w:szCs w:val="20"/>
          <w:lang w:val="sr-Cyrl-RS" w:eastAsia="ja-JP"/>
        </w:rPr>
        <w:t xml:space="preserve"> </w:t>
      </w:r>
      <w:r w:rsidRPr="009F51DC">
        <w:rPr>
          <w:rFonts w:ascii="Calibri" w:eastAsia="Calibri" w:hAnsi="Calibri" w:cs="Calibri"/>
          <w:szCs w:val="20"/>
          <w:lang w:val="sr-Cyrl-RS" w:eastAsia="ja-JP"/>
        </w:rPr>
        <w:t>преосталих резерви угља, као и план рационализације производње и пословања у деловима система</w:t>
      </w:r>
      <w:r>
        <w:rPr>
          <w:rFonts w:ascii="Calibri" w:eastAsia="Calibri" w:hAnsi="Calibri" w:cs="Calibri"/>
          <w:szCs w:val="20"/>
          <w:lang w:val="sr-Cyrl-RS" w:eastAsia="ja-JP"/>
        </w:rPr>
        <w:t xml:space="preserve"> </w:t>
      </w:r>
      <w:r w:rsidRPr="009F51DC">
        <w:rPr>
          <w:rFonts w:ascii="Calibri" w:eastAsia="Calibri" w:hAnsi="Calibri" w:cs="Calibri"/>
          <w:szCs w:val="20"/>
          <w:lang w:val="sr-Cyrl-RS" w:eastAsia="ja-JP"/>
        </w:rPr>
        <w:t>у којима анализа покаже да могу да буду економски одрживи. За ХИП – Петрохемија споразум о приватизацији је постигнут у децембру 2021. године с компанијом НИС, а ЕК је одобрила ово преузимање у септембру 2022. године.</w:t>
      </w:r>
    </w:p>
    <w:p w14:paraId="1245394B" w14:textId="77777777" w:rsidR="003D2EC7" w:rsidRPr="009F51DC" w:rsidRDefault="003D2EC7" w:rsidP="00953528">
      <w:pPr>
        <w:rPr>
          <w:rFonts w:ascii="Calibri" w:eastAsia="Calibri" w:hAnsi="Calibri" w:cs="Calibri"/>
          <w:color w:val="44546A"/>
          <w:szCs w:val="20"/>
          <w:lang w:val="sr-Cyrl-RS" w:eastAsia="ja-JP"/>
        </w:rPr>
      </w:pPr>
      <w:r w:rsidRPr="009F51DC">
        <w:rPr>
          <w:rFonts w:ascii="Calibri" w:eastAsia="Calibri" w:hAnsi="Calibri" w:cs="Calibri"/>
          <w:color w:val="44546A"/>
          <w:szCs w:val="20"/>
          <w:lang w:val="sr-Cyrl-RS" w:eastAsia="ja-JP"/>
        </w:rPr>
        <w:t>Побољшање управљања јавним финансијама је нужно, не само као подршка мерама фискалне стабилизације и структурним реформама, већ као процес који подиже квалитет државне управе и осигурава привлачан амбијент за инвеститоре. Нови Програм реформе управљања јавним финансијама за период од 2021–2025. године усвојен је у јуну 2021. године.</w:t>
      </w:r>
    </w:p>
    <w:p w14:paraId="04B39FCE" w14:textId="77777777" w:rsidR="003D2EC7" w:rsidRPr="00346A23" w:rsidRDefault="003D2EC7" w:rsidP="00953528">
      <w:pPr>
        <w:rPr>
          <w:rFonts w:ascii="Calibri" w:eastAsia="Calibri" w:hAnsi="Calibri" w:cs="Calibri"/>
          <w:color w:val="44546A"/>
          <w:szCs w:val="20"/>
          <w:lang w:val="sr-Cyrl-RS" w:eastAsia="ja-JP"/>
        </w:rPr>
      </w:pPr>
      <w:r w:rsidRPr="009F51DC">
        <w:rPr>
          <w:rFonts w:ascii="Calibri" w:eastAsia="Calibri" w:hAnsi="Calibri" w:cs="Calibri"/>
          <w:color w:val="44546A"/>
          <w:szCs w:val="20"/>
          <w:lang w:val="sr-Cyrl-RS" w:eastAsia="ja-JP"/>
        </w:rPr>
        <w:t xml:space="preserve">Систем за припрему, извршење, рачуноводство и извештавање – СПИРИ је информациони систем који на јединствен начин подржава све активности Министарства финансија и Управе за трезор у вези са буџетом Републике Србије, чиме се поједностављује начин рада корисника и омогућава ефикаснији начин управљања системом јавних финансија. У систем су укључени директни корисници јавних средстава, правосудни органи и индиректни корисници Министарства културе, Министарства за рад, запошљавање, борачка и социјална питања и Управе за извршење кривичних санкција, као и индиректни корисници Министарства спорта, Министарства привреде, Министарства унутрашњих послова и Министарства просвете који нису били део претходног система (ИСИБ), </w:t>
      </w:r>
      <w:r w:rsidRPr="009F51DC">
        <w:rPr>
          <w:rFonts w:ascii="Calibri" w:eastAsia="Calibri" w:hAnsi="Calibri" w:cs="Calibri"/>
          <w:color w:val="44546A"/>
          <w:szCs w:val="20"/>
          <w:lang w:val="sr-Cyrl-RS" w:eastAsia="ja-JP"/>
        </w:rPr>
        <w:lastRenderedPageBreak/>
        <w:t xml:space="preserve">којег је СПИРИ заменио почетком 2023. године. Систем ће постепено укључивати друге кориснике, а крајњи циљ је укључивање свих институција које </w:t>
      </w:r>
      <w:r w:rsidRPr="00346A23">
        <w:rPr>
          <w:rFonts w:ascii="Calibri" w:eastAsia="Calibri" w:hAnsi="Calibri" w:cs="Calibri"/>
          <w:color w:val="44546A"/>
          <w:szCs w:val="20"/>
          <w:lang w:val="sr-Cyrl-RS" w:eastAsia="ja-JP"/>
        </w:rPr>
        <w:t>припадају сектору државе.</w:t>
      </w:r>
    </w:p>
    <w:p w14:paraId="7A066618" w14:textId="4E5685BC" w:rsidR="003D2EC7" w:rsidRPr="009F51DC" w:rsidRDefault="003D2EC7" w:rsidP="00346A23">
      <w:pPr>
        <w:rPr>
          <w:rFonts w:ascii="Calibri" w:eastAsia="Calibri" w:hAnsi="Calibri" w:cs="Calibri"/>
          <w:color w:val="44546A"/>
          <w:szCs w:val="20"/>
          <w:lang w:val="sr-Cyrl-RS" w:eastAsia="ja-JP"/>
        </w:rPr>
      </w:pPr>
      <w:r w:rsidRPr="00346A23">
        <w:rPr>
          <w:rFonts w:ascii="Calibri" w:eastAsia="Calibri" w:hAnsi="Calibri" w:cs="Calibri"/>
          <w:color w:val="44546A"/>
          <w:szCs w:val="20"/>
          <w:lang w:val="sr-Cyrl-RS" w:eastAsia="ja-JP"/>
        </w:rPr>
        <w:t>Област управљања јавним финансијама којој је озбиљно посвећена пажња и на чијем се унапређењу ради је управљање јавним инвестицијама. Јачањем оквира управљања јавним инвестицијама интензивирају се нови инфраструктурни пројекти и подиже квалитет постојеће инфраструктуре. У априлу 2018. године усвојен је Закон о планском систему Републике Србије, којим је успостављен национални оквир за планирање и којим су дефинисани План развоја и Инвестициони план. Систем управљања јавним инвестицијама, који се развија уз помоћ Светске банке, укључује интегрисану базу података о инвестиционим пројектима, која је тренутно у развоју, као и јединствену листу приоритетних пројеката (</w:t>
      </w:r>
      <w:r w:rsidRPr="00346A23">
        <w:rPr>
          <w:rFonts w:ascii="Calibri" w:eastAsia="Calibri" w:hAnsi="Calibri" w:cs="Calibri"/>
          <w:i/>
          <w:color w:val="44546A"/>
          <w:szCs w:val="20"/>
          <w:lang w:val="sr-Cyrl-RS" w:eastAsia="ja-JP"/>
        </w:rPr>
        <w:t>Single Project Pipeline</w:t>
      </w:r>
      <w:r w:rsidRPr="00346A23">
        <w:rPr>
          <w:rFonts w:ascii="Calibri" w:eastAsia="Calibri" w:hAnsi="Calibri" w:cs="Calibri"/>
          <w:color w:val="44546A"/>
          <w:szCs w:val="20"/>
          <w:lang w:val="sr-Cyrl-RS" w:eastAsia="ja-JP"/>
        </w:rPr>
        <w:t xml:space="preserve">). </w:t>
      </w:r>
      <w:r w:rsidR="00346A23" w:rsidRPr="00346A23">
        <w:rPr>
          <w:rFonts w:ascii="Calibri" w:eastAsia="Calibri" w:hAnsi="Calibri" w:cs="Calibri"/>
          <w:color w:val="44546A"/>
          <w:szCs w:val="20"/>
          <w:lang w:val="ru-RU" w:eastAsia="ja-JP"/>
        </w:rPr>
        <w:t>Новоусвојеном Уредбом о капиталним пројектима предвиђен је унапређен механизам усвајања јединствене листе капиталних пројеката, без обзира на извор финансирања, у сарадњи са Министарством за европске интеграције и прецизирана је улога свих учесника у пројектном циклусу. Ревидирана је класификација капиталних пројеката и опсег њене примене, прилагођен је састав Републичке комисије за капиталне инвестиције као и њене надлежности, уведена је и Поткомисија као помоћно тело које ће се бавити пројектним идејама односно пројектима који се предлажу за финансирање или суфинансирање из средстава ЕУ или средстава неке друге државе или међународне институције. Новом Уредбом биће омогућена ефикаснија алокација буџетских средстава за поједине пројекте. Пуштањем у продукцију информационог система - ПИМИС (</w:t>
      </w:r>
      <w:r w:rsidR="00346A23" w:rsidRPr="00346A23">
        <w:rPr>
          <w:rFonts w:ascii="Calibri" w:eastAsia="Calibri" w:hAnsi="Calibri" w:cs="Calibri"/>
          <w:i/>
          <w:iCs/>
          <w:color w:val="44546A"/>
          <w:szCs w:val="20"/>
          <w:lang w:eastAsia="ja-JP"/>
        </w:rPr>
        <w:t>Public</w:t>
      </w:r>
      <w:r w:rsidR="00346A23" w:rsidRPr="000979D4">
        <w:rPr>
          <w:rFonts w:ascii="Calibri" w:eastAsia="Calibri" w:hAnsi="Calibri" w:cs="Calibri"/>
          <w:i/>
          <w:iCs/>
          <w:color w:val="44546A"/>
          <w:szCs w:val="20"/>
          <w:lang w:val="ru-RU" w:eastAsia="ja-JP"/>
        </w:rPr>
        <w:t xml:space="preserve"> </w:t>
      </w:r>
      <w:r w:rsidR="00346A23" w:rsidRPr="00346A23">
        <w:rPr>
          <w:rFonts w:ascii="Calibri" w:eastAsia="Calibri" w:hAnsi="Calibri" w:cs="Calibri"/>
          <w:i/>
          <w:iCs/>
          <w:color w:val="44546A"/>
          <w:szCs w:val="20"/>
          <w:lang w:eastAsia="ja-JP"/>
        </w:rPr>
        <w:t>Investment</w:t>
      </w:r>
      <w:r w:rsidR="00346A23" w:rsidRPr="000979D4">
        <w:rPr>
          <w:rFonts w:ascii="Calibri" w:eastAsia="Calibri" w:hAnsi="Calibri" w:cs="Calibri"/>
          <w:i/>
          <w:iCs/>
          <w:color w:val="44546A"/>
          <w:szCs w:val="20"/>
          <w:lang w:val="ru-RU" w:eastAsia="ja-JP"/>
        </w:rPr>
        <w:t xml:space="preserve"> </w:t>
      </w:r>
      <w:r w:rsidR="00346A23" w:rsidRPr="00346A23">
        <w:rPr>
          <w:rFonts w:ascii="Calibri" w:eastAsia="Calibri" w:hAnsi="Calibri" w:cs="Calibri"/>
          <w:i/>
          <w:iCs/>
          <w:color w:val="44546A"/>
          <w:szCs w:val="20"/>
          <w:lang w:eastAsia="ja-JP"/>
        </w:rPr>
        <w:t>Management</w:t>
      </w:r>
      <w:r w:rsidR="00346A23" w:rsidRPr="000979D4">
        <w:rPr>
          <w:rFonts w:ascii="Calibri" w:eastAsia="Calibri" w:hAnsi="Calibri" w:cs="Calibri"/>
          <w:i/>
          <w:iCs/>
          <w:color w:val="44546A"/>
          <w:szCs w:val="20"/>
          <w:lang w:val="ru-RU" w:eastAsia="ja-JP"/>
        </w:rPr>
        <w:t xml:space="preserve"> </w:t>
      </w:r>
      <w:r w:rsidR="00346A23" w:rsidRPr="00346A23">
        <w:rPr>
          <w:rFonts w:ascii="Calibri" w:eastAsia="Calibri" w:hAnsi="Calibri" w:cs="Calibri"/>
          <w:i/>
          <w:iCs/>
          <w:color w:val="44546A"/>
          <w:szCs w:val="20"/>
          <w:lang w:eastAsia="ja-JP"/>
        </w:rPr>
        <w:t>Information</w:t>
      </w:r>
      <w:r w:rsidR="00346A23" w:rsidRPr="000979D4">
        <w:rPr>
          <w:rFonts w:ascii="Calibri" w:eastAsia="Calibri" w:hAnsi="Calibri" w:cs="Calibri"/>
          <w:i/>
          <w:iCs/>
          <w:color w:val="44546A"/>
          <w:szCs w:val="20"/>
          <w:lang w:val="ru-RU" w:eastAsia="ja-JP"/>
        </w:rPr>
        <w:t xml:space="preserve"> </w:t>
      </w:r>
      <w:r w:rsidR="00346A23" w:rsidRPr="00346A23">
        <w:rPr>
          <w:rFonts w:ascii="Calibri" w:eastAsia="Calibri" w:hAnsi="Calibri" w:cs="Calibri"/>
          <w:i/>
          <w:iCs/>
          <w:color w:val="44546A"/>
          <w:szCs w:val="20"/>
          <w:lang w:eastAsia="ja-JP"/>
        </w:rPr>
        <w:t>System</w:t>
      </w:r>
      <w:r w:rsidR="00346A23" w:rsidRPr="000979D4">
        <w:rPr>
          <w:rFonts w:ascii="Calibri" w:eastAsia="Calibri" w:hAnsi="Calibri" w:cs="Calibri"/>
          <w:color w:val="44546A"/>
          <w:szCs w:val="20"/>
          <w:lang w:val="ru-RU" w:eastAsia="ja-JP"/>
        </w:rPr>
        <w:t>)</w:t>
      </w:r>
      <w:r w:rsidR="00346A23" w:rsidRPr="00346A23">
        <w:rPr>
          <w:rFonts w:ascii="Calibri" w:eastAsia="Calibri" w:hAnsi="Calibri" w:cs="Calibri"/>
          <w:color w:val="44546A"/>
          <w:szCs w:val="20"/>
          <w:lang w:val="ru-RU" w:eastAsia="ja-JP"/>
        </w:rPr>
        <w:t xml:space="preserve"> у 2023. години, креирана је централизована, информациона база која служи као подршка управљању капиталним пројектима. У наредном периоду ПИМИС ће бити надограђен како би </w:t>
      </w:r>
      <w:r w:rsidR="00346A23" w:rsidRPr="00346A23">
        <w:rPr>
          <w:rFonts w:ascii="Calibri" w:eastAsia="Calibri" w:hAnsi="Calibri" w:cs="Calibri"/>
          <w:color w:val="44546A"/>
          <w:szCs w:val="20"/>
          <w:lang w:val="sr-Cyrl-RS" w:eastAsia="ja-JP"/>
        </w:rPr>
        <w:t>његове функционалности у потпуности одражавале ревидиран правни оквир, укључујући и примену на локалном нивоу.</w:t>
      </w:r>
    </w:p>
    <w:p w14:paraId="628792C3" w14:textId="77777777" w:rsidR="003D2EC7" w:rsidRPr="009F51DC" w:rsidRDefault="003D2EC7" w:rsidP="00953528">
      <w:pPr>
        <w:rPr>
          <w:rFonts w:ascii="Calibri" w:eastAsia="Calibri" w:hAnsi="Calibri" w:cs="Calibri"/>
          <w:color w:val="44546A"/>
          <w:szCs w:val="20"/>
          <w:lang w:val="sr-Cyrl-RS" w:eastAsia="ja-JP"/>
        </w:rPr>
      </w:pPr>
      <w:r w:rsidRPr="009F51DC">
        <w:rPr>
          <w:rFonts w:ascii="Calibri" w:eastAsia="Calibri" w:hAnsi="Calibri" w:cs="Calibri"/>
          <w:color w:val="44546A"/>
          <w:szCs w:val="20"/>
          <w:lang w:val="sr-Cyrl-RS" w:eastAsia="ja-JP"/>
        </w:rPr>
        <w:t>Јавно-приватна партнерства (</w:t>
      </w:r>
      <w:r w:rsidRPr="009F51DC">
        <w:rPr>
          <w:rFonts w:ascii="Calibri" w:eastAsia="Calibri" w:hAnsi="Calibri" w:cs="Calibri"/>
          <w:i/>
          <w:color w:val="44546A"/>
          <w:szCs w:val="20"/>
          <w:lang w:val="sr-Cyrl-RS" w:eastAsia="ja-JP"/>
        </w:rPr>
        <w:t>Public-Private Partnerships</w:t>
      </w:r>
      <w:r w:rsidRPr="009F51DC">
        <w:rPr>
          <w:rFonts w:ascii="Calibri" w:eastAsia="Calibri" w:hAnsi="Calibri" w:cs="Calibri"/>
          <w:color w:val="44546A"/>
          <w:szCs w:val="20"/>
          <w:lang w:val="sr-Cyrl-RS" w:eastAsia="ja-JP"/>
        </w:rPr>
        <w:t xml:space="preserve"> – PPP), као специфичан вид сарадње </w:t>
      </w:r>
      <w:r w:rsidRPr="009F51DC">
        <w:rPr>
          <w:rFonts w:ascii="Calibri" w:eastAsia="Calibri" w:hAnsi="Calibri" w:cs="Calibri"/>
          <w:color w:val="44546A"/>
          <w:szCs w:val="20"/>
          <w:lang w:val="sr-Cyrl-RS" w:eastAsia="ja-JP"/>
        </w:rPr>
        <w:t>државе и приватног сектора захтевају посебну пажњу и опрез, стога ће Министарство финансија и даље пратити пројекте од посебног значаја током њихове имплементације и о томе обавештавати Владу.</w:t>
      </w:r>
    </w:p>
    <w:p w14:paraId="06164059" w14:textId="77777777" w:rsidR="003D2EC7" w:rsidRPr="009F51DC" w:rsidRDefault="003D2EC7" w:rsidP="00953528">
      <w:pPr>
        <w:rPr>
          <w:rFonts w:ascii="Calibri" w:eastAsia="Calibri" w:hAnsi="Calibri" w:cs="Calibri"/>
          <w:color w:val="44546A"/>
          <w:szCs w:val="20"/>
          <w:lang w:val="sr-Cyrl-RS" w:eastAsia="ja-JP"/>
        </w:rPr>
      </w:pPr>
      <w:r w:rsidRPr="009F51DC">
        <w:rPr>
          <w:rFonts w:ascii="Calibri" w:eastAsia="Calibri" w:hAnsi="Calibri" w:cs="Calibri"/>
          <w:color w:val="44546A"/>
          <w:szCs w:val="20"/>
          <w:lang w:val="sr-Cyrl-RS" w:eastAsia="ja-JP"/>
        </w:rPr>
        <w:t>Реформе у области управљања јавним набавкама су такође веома важне с обзиром на велики значај и вредност јавних инвестиција. Важећи Закон о јавним набавкама, припремљен уз подршку ЕУ, усклађен је са правним тековинама ЕУ и има за циљ да унапреди конкурентност и транспарентност у поступцима. С тим у вези потребно је обезбедити редовно јавно извештавање преко Управе за јавне набавке о свим набавкама које су изузете из режима редовних набавки према овом закону, као и навођење по ком основу су та изузећа учињена. Убудуће је потребно обезбедити континуирано усклађивање целокупног оквира јавних набавки с правним тековинама ЕУ. Такође, потребно је обезбедити да се све трансакције набавки у јавном сектору одвијају путем портала е-набавки уз настојање да се створе услови за повећање броја понуда по поступку. Имајући то у виду, ради се на унапређењу функционалности Портала јавних набавки како би била олакшана примена одредби Закона о јавним набавкама. Такође, спроводе се обуке за службенике јавних набавки, као и за полицијске службенике у вези праћења јавних набавки и најчешћих неправилности у области јавних набавки у Србији.</w:t>
      </w:r>
    </w:p>
    <w:p w14:paraId="1EAF5353" w14:textId="77777777" w:rsidR="003D2EC7" w:rsidRPr="009F51DC" w:rsidRDefault="003D2EC7" w:rsidP="00953528">
      <w:pPr>
        <w:rPr>
          <w:rFonts w:ascii="Calibri" w:eastAsia="Calibri" w:hAnsi="Calibri" w:cs="Calibri"/>
          <w:szCs w:val="20"/>
          <w:lang w:val="sr-Cyrl-RS" w:eastAsia="ja-JP"/>
        </w:rPr>
      </w:pPr>
      <w:r w:rsidRPr="009F51DC">
        <w:rPr>
          <w:rFonts w:ascii="Calibri" w:eastAsia="Calibri" w:hAnsi="Calibri" w:cs="Calibri"/>
          <w:szCs w:val="20"/>
          <w:lang w:val="sr-Cyrl-RS" w:eastAsia="ja-JP"/>
        </w:rPr>
        <w:t xml:space="preserve">Успешно се спроводи нови Акциони план трансформације Пореске управе за период 2021–2025. године, који је усвојен у мају 2021. године и који дефинише стратешке смернице и временске рокове у којим ће бити спроведене активности потребне за стварање модерне пореске администрације, која ће, уз коришћење савремених електронских процеса, пружити бољу и свеобухватнију услугу пореским обвезницима и бољу контролу и наплату прихода, односно поспешити борбу против сиве економије, заједно са реформом и модернизацијом инспекцијског надзора. У мају прошле године уведен је нови модел фискализације (е-фискализација), на основу којег је извршен први круг ревизија. Очекује се да ће систем допринети смањењу неусклађености код пореских обвезника и мањем </w:t>
      </w:r>
      <w:r w:rsidRPr="009F51DC">
        <w:rPr>
          <w:rFonts w:ascii="Calibri" w:eastAsia="Calibri" w:hAnsi="Calibri" w:cs="Calibri"/>
          <w:szCs w:val="20"/>
          <w:lang w:val="sr-Cyrl-RS" w:eastAsia="ja-JP"/>
        </w:rPr>
        <w:lastRenderedPageBreak/>
        <w:t xml:space="preserve">броју негативних мишљења ревизије. Систем за електронску размену фактура (е-фактура) је био следећи корак који је имплементиран почетком 2023. године. Ускоро се, путем тендера, очекује набавка информационог система од комерцијалног провајдера, који ће, заједно са редизајнираним бизнис моделом чије се усвајање ускоро очекује, омогућити имплементацију модерних пословних процеса. У току је пројекат који се бави анализом ПДВ јаза где се тренутно врши анализа недостатака у подацима и прилагођавање аналитичких алата. Прелиминарни резултати сугеришу да је ПДВ јаз знатно смањен у односу на 2018. годину. Усвајањем Закона о утврђивању порекла имовине и посебном порезу и образовањем посебне организационе јединице Пореске управе, створили су се услови за унакрсну анализу имовине и прихода лица, а прве ревизије би требало да почну половином ове године. Развој нове стратегије људских ресурса за Пореску управу и убрзање процедура запошљавања остају приоритет како би се осигурао адекватан број запослених. Број запослених у Пореској управи је значајно опао током последњих година. Са предстојећим таласом пензионисања великог броја запослених и узимајући у обзир план трансформације која подразумева прелазак на рад са вишим квалификацијама, императив је да се на време запосли адекватан број </w:t>
      </w:r>
      <w:r w:rsidRPr="009F51DC">
        <w:rPr>
          <w:rFonts w:ascii="Calibri" w:eastAsia="Calibri" w:hAnsi="Calibri" w:cs="Calibri"/>
          <w:szCs w:val="20"/>
          <w:lang w:val="sr-Cyrl-RS" w:eastAsia="ja-JP"/>
        </w:rPr>
        <w:t>висококвалификованог особља, што подразумева и адекватне зараде.</w:t>
      </w:r>
    </w:p>
    <w:p w14:paraId="471C6B72" w14:textId="77777777" w:rsidR="003D2EC7" w:rsidRPr="009F51DC" w:rsidRDefault="003D2EC7" w:rsidP="000D3688">
      <w:pPr>
        <w:rPr>
          <w:rFonts w:ascii="Calibri" w:eastAsia="Calibri" w:hAnsi="Calibri" w:cs="Calibri"/>
          <w:color w:val="44546A"/>
          <w:szCs w:val="20"/>
          <w:lang w:val="sr-Cyrl-RS" w:eastAsia="ja-JP"/>
        </w:rPr>
      </w:pPr>
      <w:r w:rsidRPr="009F51DC">
        <w:rPr>
          <w:rFonts w:ascii="Calibri" w:eastAsia="Calibri" w:hAnsi="Calibri" w:cs="Calibri"/>
          <w:color w:val="44546A"/>
          <w:szCs w:val="20"/>
          <w:lang w:val="sr-Cyrl-RS" w:eastAsia="ja-JP"/>
        </w:rPr>
        <w:t>Побољшање квалитета и транспарентности статистике државних финансија</w:t>
      </w:r>
      <w:r w:rsidRPr="009F51DC">
        <w:rPr>
          <w:rFonts w:ascii="Calibri" w:eastAsia="Calibri" w:hAnsi="Calibri" w:cs="Calibri"/>
          <w:b/>
          <w:bCs/>
          <w:color w:val="44546A"/>
          <w:szCs w:val="20"/>
          <w:lang w:val="sr-Cyrl-RS" w:eastAsia="ja-JP"/>
        </w:rPr>
        <w:t xml:space="preserve"> </w:t>
      </w:r>
      <w:r w:rsidRPr="009F51DC">
        <w:rPr>
          <w:rFonts w:ascii="Calibri" w:eastAsia="Calibri" w:hAnsi="Calibri" w:cs="Calibri"/>
          <w:color w:val="44546A"/>
          <w:szCs w:val="20"/>
          <w:lang w:val="sr-Cyrl-RS" w:eastAsia="ja-JP"/>
        </w:rPr>
        <w:t>се врши кроз унапређење свеобухватне, правовремене и аутоматске размене података између надлежних институција – Републичког завода за статистику, Народне банке Србије и Министарства финансија, а у складу са Споразумом о сарадњи у области статистике националних рачуна сектора државе и с њом повезаних статистика. У априлу 2018. године Републички завод је објавио листу институција које чине сектор државе, као и остале секторе, у складу са Европским системом националних и регионалних рачуна (ESA) 2010, Системом националних рачуна (SNA 2008) и Приручником о дефициту и дугу сектора државе, која је урађена у сарадњи са Народном банком Србије и Министарством финансија. Управа за јавни дуг од средине 2021. тромесечно објављује податке о мастришком дугу, који израђује Народна банка Србије у складу са ESA 2010</w:t>
      </w:r>
      <w:r w:rsidRPr="009F51DC">
        <w:rPr>
          <w:rFonts w:ascii="Calibri" w:eastAsia="Calibri" w:hAnsi="Calibri" w:cs="Calibri"/>
          <w:b/>
          <w:bCs/>
          <w:color w:val="44546A"/>
          <w:szCs w:val="20"/>
          <w:lang w:val="sr-Cyrl-RS" w:eastAsia="ja-JP"/>
        </w:rPr>
        <w:t>.</w:t>
      </w:r>
      <w:r w:rsidRPr="009F51DC">
        <w:rPr>
          <w:rFonts w:ascii="Calibri" w:eastAsia="Calibri" w:hAnsi="Calibri" w:cs="Calibri"/>
          <w:color w:val="44546A"/>
          <w:szCs w:val="20"/>
          <w:lang w:val="sr-Cyrl-RS" w:eastAsia="ja-JP"/>
        </w:rPr>
        <w:t xml:space="preserve"> У току је пројекат у сарадњи са ММФ који има за циљ да се у оквиру Управе за трезор, као централног информационог система и свеобухватне базе података изгради систем који ће омогућити прикупљање и консолидацију података за сектор државе како по националној методологији тако и по методологији GFSM 2014, кроз постепено увођење институција у његов обухват.</w:t>
      </w:r>
    </w:p>
    <w:p w14:paraId="2852DB84" w14:textId="77777777" w:rsidR="003D2EC7" w:rsidRPr="009F51DC" w:rsidRDefault="003D2EC7" w:rsidP="000D3688">
      <w:pPr>
        <w:rPr>
          <w:rFonts w:ascii="Calibri" w:eastAsia="Calibri" w:hAnsi="Calibri" w:cs="Calibri"/>
          <w:color w:val="44546A"/>
          <w:szCs w:val="20"/>
          <w:lang w:val="sr-Cyrl-RS" w:eastAsia="ja-JP"/>
        </w:rPr>
        <w:sectPr w:rsidR="003D2EC7" w:rsidRPr="009F51DC" w:rsidSect="000D3688">
          <w:headerReference w:type="even" r:id="rId154"/>
          <w:footerReference w:type="even" r:id="rId155"/>
          <w:footerReference w:type="default" r:id="rId156"/>
          <w:headerReference w:type="first" r:id="rId157"/>
          <w:type w:val="continuous"/>
          <w:pgSz w:w="12240" w:h="15840" w:code="1"/>
          <w:pgMar w:top="1440" w:right="1440" w:bottom="1440" w:left="1440" w:header="720" w:footer="720" w:gutter="0"/>
          <w:cols w:num="2" w:space="720"/>
          <w:docGrid w:linePitch="360"/>
        </w:sectPr>
      </w:pPr>
    </w:p>
    <w:p w14:paraId="0DBC2E66" w14:textId="77777777" w:rsidR="003D2EC7" w:rsidRPr="009F51DC" w:rsidRDefault="003D2EC7" w:rsidP="006272DB">
      <w:pPr>
        <w:rPr>
          <w:rFonts w:ascii="Calibri" w:eastAsia="Calibri" w:hAnsi="Calibri" w:cs="Calibri"/>
          <w:bCs/>
          <w:color w:val="44546A"/>
          <w:szCs w:val="72"/>
          <w:lang w:val="sr-Cyrl-RS"/>
        </w:rPr>
      </w:pPr>
    </w:p>
    <w:p w14:paraId="01D4AF86" w14:textId="77777777" w:rsidR="003D2EC7" w:rsidRDefault="003D2EC7">
      <w:pPr>
        <w:jc w:val="left"/>
        <w:rPr>
          <w:lang w:val="sr-Cyrl-RS"/>
        </w:rPr>
      </w:pPr>
      <w:r>
        <w:rPr>
          <w:lang w:val="sr-Cyrl-RS"/>
        </w:rPr>
        <w:br w:type="page"/>
      </w:r>
    </w:p>
    <w:p w14:paraId="151619BB" w14:textId="77777777" w:rsidR="005967FD" w:rsidRPr="00604ED1" w:rsidRDefault="005967FD" w:rsidP="002A2551">
      <w:pPr>
        <w:keepNext/>
        <w:keepLines/>
        <w:spacing w:after="320"/>
        <w:jc w:val="center"/>
        <w:outlineLvl w:val="1"/>
        <w:rPr>
          <w:rFonts w:eastAsia="MS PGothic" w:cstheme="minorHAnsi"/>
          <w:b/>
          <w:color w:val="2F5496" w:themeColor="accent1" w:themeShade="BF"/>
          <w:sz w:val="24"/>
          <w:szCs w:val="26"/>
          <w:lang w:val="sr-Cyrl-RS" w:eastAsia="ja-JP"/>
        </w:rPr>
      </w:pPr>
      <w:bookmarkStart w:id="50" w:name="_Toc146277918"/>
      <w:bookmarkStart w:id="51" w:name="_Toc499650053"/>
      <w:bookmarkStart w:id="52" w:name="_Toc530635109"/>
      <w:bookmarkStart w:id="53" w:name="_Toc11155995"/>
      <w:bookmarkStart w:id="54" w:name="_Toc56667080"/>
      <w:bookmarkStart w:id="55" w:name="_Toc73364972"/>
      <w:r w:rsidRPr="00604ED1">
        <w:rPr>
          <w:rFonts w:eastAsia="MS PGothic" w:cstheme="minorHAnsi"/>
          <w:b/>
          <w:color w:val="2F5496" w:themeColor="accent1" w:themeShade="BF"/>
          <w:sz w:val="24"/>
          <w:szCs w:val="26"/>
          <w:lang w:val="sr-Cyrl-RS" w:eastAsia="ja-JP"/>
        </w:rPr>
        <w:lastRenderedPageBreak/>
        <w:t>4. Фискални ризици</w:t>
      </w:r>
      <w:bookmarkEnd w:id="50"/>
    </w:p>
    <w:p w14:paraId="0BE5E989" w14:textId="77777777" w:rsidR="005967FD" w:rsidRPr="00604ED1" w:rsidRDefault="005967FD" w:rsidP="002A2551">
      <w:pPr>
        <w:spacing w:after="120"/>
        <w:rPr>
          <w:rFonts w:eastAsia="MS PGothic" w:cstheme="minorHAnsi"/>
          <w:szCs w:val="20"/>
          <w:lang w:val="sr-Cyrl-RS" w:eastAsia="ja-JP"/>
        </w:rPr>
        <w:sectPr w:rsidR="005967FD" w:rsidRPr="00604ED1" w:rsidSect="002A2551">
          <w:headerReference w:type="even" r:id="rId158"/>
          <w:headerReference w:type="default" r:id="rId159"/>
          <w:footerReference w:type="even" r:id="rId160"/>
          <w:footerReference w:type="default" r:id="rId161"/>
          <w:headerReference w:type="first" r:id="rId162"/>
          <w:type w:val="continuous"/>
          <w:pgSz w:w="12240" w:h="15840" w:code="1"/>
          <w:pgMar w:top="1440" w:right="1440" w:bottom="1440" w:left="1440" w:header="720" w:footer="720" w:gutter="0"/>
          <w:cols w:space="720"/>
          <w:titlePg/>
          <w:docGrid w:linePitch="360"/>
        </w:sectPr>
      </w:pPr>
    </w:p>
    <w:p w14:paraId="0E3CF501" w14:textId="77777777" w:rsidR="005967FD" w:rsidRPr="00604ED1" w:rsidRDefault="005967FD" w:rsidP="002A2551">
      <w:pPr>
        <w:spacing w:after="120"/>
        <w:rPr>
          <w:rFonts w:eastAsia="MS PGothic" w:cstheme="minorHAnsi"/>
          <w:szCs w:val="20"/>
          <w:lang w:val="sr-Cyrl-RS" w:eastAsia="ja-JP"/>
        </w:rPr>
      </w:pPr>
      <w:r w:rsidRPr="00604ED1">
        <w:rPr>
          <w:rFonts w:eastAsia="MS PGothic" w:cstheme="minorHAnsi"/>
          <w:szCs w:val="20"/>
          <w:lang w:val="sr-Cyrl-RS" w:eastAsia="ja-JP"/>
        </w:rPr>
        <w:t>Фискални ризици представљају изложеност јавних финансија одређеним околностима које могу проузроковати одступања од пројектованог фискалног оквира. До одступања може доћи у приходима, расходима, фискалном резултату, као и у имовини и обавезама</w:t>
      </w:r>
      <w:r>
        <w:rPr>
          <w:rFonts w:eastAsia="MS PGothic" w:cstheme="minorHAnsi"/>
          <w:szCs w:val="20"/>
          <w:lang w:val="sr-Cyrl-RS" w:eastAsia="ja-JP"/>
        </w:rPr>
        <w:t xml:space="preserve"> </w:t>
      </w:r>
      <w:r w:rsidRPr="00604ED1">
        <w:rPr>
          <w:rFonts w:eastAsia="MS PGothic" w:cstheme="minorHAnsi"/>
          <w:szCs w:val="20"/>
          <w:lang w:val="sr-Cyrl-RS" w:eastAsia="ja-JP"/>
        </w:rPr>
        <w:t>државе, у односу на оно што је планирано и очекивано. На спољашње ризике, попут природних катастрофа или глобалних финансијских криза, Влада не може да утиче, али могуће је дефинисати излазне стратегије које би ублажиле њихово дејство (очување стабилности у добрим временима како би у условима рецесије или кризе фискална политика имала простора за адекватан одговор, осигурање у случају природних катастрофа и сл.). Унутрашњи ризици, односно њихова материјализација последица су активности у јавном сектору, те се на вероватноћу њихове реализације може утицати одлукама и политикама Владе.</w:t>
      </w:r>
    </w:p>
    <w:p w14:paraId="538FDEBC" w14:textId="77777777" w:rsidR="005967FD" w:rsidRPr="00604ED1" w:rsidRDefault="005967FD" w:rsidP="002A2551">
      <w:pPr>
        <w:spacing w:after="120"/>
        <w:rPr>
          <w:rFonts w:eastAsia="MS PGothic" w:cstheme="minorHAnsi"/>
          <w:szCs w:val="20"/>
          <w:lang w:val="sr-Cyrl-RS" w:eastAsia="ja-JP"/>
        </w:rPr>
      </w:pPr>
      <w:r w:rsidRPr="00604ED1">
        <w:rPr>
          <w:rFonts w:eastAsia="MS PGothic" w:cstheme="minorHAnsi"/>
          <w:szCs w:val="20"/>
          <w:lang w:val="sr-Cyrl-RS" w:eastAsia="ja-JP"/>
        </w:rPr>
        <w:t>Идентификација највећих фискалних ризика који могу утицати на државне финансије у средњем року полазна је тачка у бољем управљању фискалним ризицима. О одређеним фискалним ризицима постоје детаљни подаци и лако се може идентификовати да ли ће и са коликом вероватноћом утицати на фискалне агрегате у средњем року. За друге, пак, не постоје довољно детаљни подаци, али и само њихово идентификовање подиже свест о могућности да у наредном периоду доведу до одступања од планираног фискалног оквира.</w:t>
      </w:r>
    </w:p>
    <w:p w14:paraId="5160B50D" w14:textId="77777777" w:rsidR="005967FD" w:rsidRPr="00604ED1" w:rsidRDefault="005967FD" w:rsidP="002A2551">
      <w:pPr>
        <w:spacing w:after="120"/>
        <w:rPr>
          <w:rFonts w:eastAsia="MS PGothic" w:cstheme="minorHAnsi"/>
          <w:szCs w:val="20"/>
          <w:lang w:val="sr-Cyrl-RS" w:eastAsia="ja-JP"/>
        </w:rPr>
      </w:pPr>
      <w:r w:rsidRPr="00604ED1">
        <w:rPr>
          <w:rFonts w:eastAsia="MS PGothic" w:cstheme="minorHAnsi"/>
          <w:szCs w:val="20"/>
          <w:lang w:val="sr-Cyrl-RS" w:eastAsia="ja-JP"/>
        </w:rPr>
        <w:t xml:space="preserve">Министарство финансија има водећу улогу у управљању фискалним ризицима. Као кључна институција за средњорочно макроекономско и фискално планирање, формулацију и управљање буџетом, Министарство финансија мора имати и водећу улогу у успостављању институционалне и законске структуре, те изградњи капацитета неопходних за управљање фискалним ризицима. Сектор за праћење фискалних ризика, организациона јединица за управљање фискалним ризицима у Министарству финансија, основан је са циљем да ради на јачању законске регулативе и методолошког оквира, изградњи </w:t>
      </w:r>
      <w:r w:rsidRPr="00604ED1">
        <w:rPr>
          <w:rFonts w:eastAsia="MS PGothic" w:cstheme="minorHAnsi"/>
          <w:szCs w:val="20"/>
          <w:lang w:val="sr-Cyrl-RS" w:eastAsia="ja-JP"/>
        </w:rPr>
        <w:t>капацитета, те развијању техничких алата и модела неопходних за праћење и процену фискалних ризика. Намера је да резултат ових активности буде идентификација и процена ризика и предлагање излазних стратегија, као помоћ Влади у очувању стабилности јавних финансија, што је кључни циљ фискалне политике и један од основних предуслова за динамичнији привредни раст.</w:t>
      </w:r>
    </w:p>
    <w:p w14:paraId="060E9D00" w14:textId="77777777" w:rsidR="005967FD" w:rsidRPr="00604ED1" w:rsidRDefault="005967FD" w:rsidP="002A2551">
      <w:pPr>
        <w:spacing w:after="0"/>
        <w:rPr>
          <w:rFonts w:eastAsia="MS PGothic" w:cstheme="minorHAnsi"/>
          <w:szCs w:val="20"/>
          <w:lang w:val="sr-Cyrl-RS" w:eastAsia="ja-JP"/>
        </w:rPr>
      </w:pPr>
      <w:r w:rsidRPr="00604ED1">
        <w:rPr>
          <w:rFonts w:eastAsia="MS PGothic" w:cstheme="minorHAnsi"/>
          <w:szCs w:val="20"/>
          <w:lang w:val="sr-Cyrl-RS" w:eastAsia="ja-JP"/>
        </w:rPr>
        <w:t xml:space="preserve">У циљу спровођења наведеног процеса праћења фискалних ризика, у октобру 2021. године, усвојена је Јединствена методологија, која је припремљена уз помоћ Светске банке, која обухвата четири основне методологије и то: </w:t>
      </w:r>
      <w:r w:rsidRPr="00604ED1">
        <w:rPr>
          <w:rFonts w:eastAsia="MS PGothic" w:cstheme="minorHAnsi"/>
          <w:szCs w:val="20"/>
          <w:lang w:val="sr-Cyrl-RS" w:eastAsia="ja-JP"/>
        </w:rPr>
        <w:br w:type="textWrapping" w:clear="all"/>
        <w:t xml:space="preserve">1) Методологију за праћење фискалних ризика који произлазе из пословања јавних предузећа; </w:t>
      </w:r>
      <w:r w:rsidRPr="00604ED1">
        <w:rPr>
          <w:rFonts w:eastAsia="MS PGothic" w:cstheme="minorHAnsi"/>
          <w:szCs w:val="20"/>
          <w:lang w:val="sr-Cyrl-RS" w:eastAsia="ja-JP"/>
        </w:rPr>
        <w:br w:type="textWrapping" w:clear="all"/>
        <w:t xml:space="preserve">2) Методологију за праћење фискалних ризика по буџет Републике Србије који произлазе из вршења надлежности јединица локалне самоуправе; </w:t>
      </w:r>
      <w:r w:rsidRPr="00604ED1">
        <w:rPr>
          <w:rFonts w:eastAsia="MS PGothic" w:cstheme="minorHAnsi"/>
          <w:szCs w:val="20"/>
          <w:lang w:val="sr-Cyrl-RS" w:eastAsia="ja-JP"/>
        </w:rPr>
        <w:br w:type="textWrapping" w:clear="all"/>
        <w:t>3) Методологију за праћење фискалних ризика по основу судских поступака;</w:t>
      </w:r>
    </w:p>
    <w:p w14:paraId="79A9C457" w14:textId="77777777" w:rsidR="005967FD" w:rsidRPr="00604ED1" w:rsidRDefault="005967FD" w:rsidP="002A2551">
      <w:pPr>
        <w:spacing w:after="0"/>
        <w:rPr>
          <w:rFonts w:eastAsia="MS PGothic" w:cstheme="minorHAnsi"/>
          <w:szCs w:val="20"/>
          <w:lang w:val="sr-Cyrl-RS" w:eastAsia="ja-JP"/>
        </w:rPr>
      </w:pPr>
      <w:r w:rsidRPr="00604ED1">
        <w:rPr>
          <w:rFonts w:eastAsia="MS PGothic" w:cstheme="minorHAnsi"/>
          <w:szCs w:val="20"/>
          <w:lang w:val="sr-Cyrl-RS" w:eastAsia="ja-JP"/>
        </w:rPr>
        <w:t>4) Методологију за праћење фискалних ризика који се јављају као последица елементарних непогода.</w:t>
      </w:r>
    </w:p>
    <w:p w14:paraId="00DE386B" w14:textId="77777777" w:rsidR="005967FD" w:rsidRPr="00604ED1" w:rsidRDefault="005967FD" w:rsidP="002A2551">
      <w:pPr>
        <w:spacing w:after="0"/>
        <w:rPr>
          <w:rFonts w:eastAsia="MS PGothic" w:cstheme="minorHAnsi"/>
          <w:szCs w:val="20"/>
          <w:lang w:val="sr-Cyrl-RS" w:eastAsia="ja-JP"/>
        </w:rPr>
      </w:pPr>
    </w:p>
    <w:p w14:paraId="68270941" w14:textId="77777777" w:rsidR="005967FD" w:rsidRPr="000F7955" w:rsidRDefault="005967FD" w:rsidP="002A2551">
      <w:pPr>
        <w:spacing w:after="120"/>
        <w:rPr>
          <w:color w:val="auto"/>
          <w:highlight w:val="yellow"/>
          <w:lang w:val="sr-Cyrl-RS"/>
        </w:rPr>
      </w:pPr>
      <w:r w:rsidRPr="000F7955">
        <w:rPr>
          <w:rFonts w:eastAsia="MS PGothic" w:cstheme="minorHAnsi"/>
          <w:szCs w:val="20"/>
          <w:lang w:val="sr-Cyrl-RS" w:eastAsia="ja-JP"/>
        </w:rPr>
        <w:t>Током јесени 2021. године десили су се поремећаји на енергетском тржишту у свету. Криза у енергетском сектору се само надовезала на већ постојећу кризу изазвану пандемијом COVID-19. Због повећане тражње узроковане постпандемијским развојем економије и проблема у снабдевању, односно недовољне понуде и недовољних залиха, цене природног гаса су достигле историјске максимуме. Ово је подстакло тражњу за осталим енергентима, чије су цене изузетно порасле. Високе цене осталих енергената, а у Европи и смањена производња из електрана на ветар и високе цене дозвола за емисију CO</w:t>
      </w:r>
      <w:r w:rsidRPr="000F7955">
        <w:rPr>
          <w:rFonts w:eastAsia="MS PGothic" w:cstheme="minorHAnsi"/>
          <w:szCs w:val="20"/>
          <w:vertAlign w:val="subscript"/>
          <w:lang w:val="sr-Cyrl-RS" w:eastAsia="ja-JP"/>
        </w:rPr>
        <w:t>2</w:t>
      </w:r>
      <w:r w:rsidRPr="000F7955">
        <w:rPr>
          <w:rFonts w:eastAsia="MS PGothic" w:cstheme="minorHAnsi"/>
          <w:szCs w:val="20"/>
          <w:lang w:val="sr-Cyrl-RS" w:eastAsia="ja-JP"/>
        </w:rPr>
        <w:t xml:space="preserve"> довеле су до раста цена електричне енергије, такође до историјских максимума. У таквим условима, порасла је производња електричне енергије из угља, јер је она била повољнија од производње из гаса.</w:t>
      </w:r>
    </w:p>
    <w:p w14:paraId="3C9AFF25" w14:textId="77777777" w:rsidR="005967FD" w:rsidRPr="00604ED1" w:rsidRDefault="005967FD" w:rsidP="002A2551">
      <w:pPr>
        <w:spacing w:after="120"/>
        <w:rPr>
          <w:spacing w:val="-4"/>
          <w:highlight w:val="yellow"/>
          <w:lang w:val="sr-Cyrl-RS"/>
        </w:rPr>
      </w:pPr>
      <w:r w:rsidRPr="00604ED1">
        <w:rPr>
          <w:spacing w:val="-4"/>
          <w:lang w:val="sr-Cyrl-RS"/>
        </w:rPr>
        <w:t xml:space="preserve">До сада се више пута показало, да раст неког од основних енергената, попут нафте и гаса, доводи до </w:t>
      </w:r>
      <w:r w:rsidRPr="00604ED1">
        <w:rPr>
          <w:spacing w:val="-4"/>
          <w:lang w:val="sr-Cyrl-RS"/>
        </w:rPr>
        <w:lastRenderedPageBreak/>
        <w:t>раста осталих цена на тржишту, а на целу ову већ тешку ситуацију се надовезала и криза у Украјини, те се као један од кључних проблема наметнуло питање енергетске сигурности и европске зависности од руских фосилних горива. Овај след догађаја утицао је да цене електричне енергије и природног гаса у свету достигну цене знатно веће од уобичајених у последњих неколико година. Енергетска криза неизбежно се прелила и на Србију, а највише су погођена енергетска предузећа, претежно АД „Електропривреда Србије” и ЈП „Србијагас”.</w:t>
      </w:r>
    </w:p>
    <w:p w14:paraId="213B0F67" w14:textId="77777777" w:rsidR="005967FD" w:rsidRPr="00604ED1" w:rsidRDefault="005967FD" w:rsidP="002A2551">
      <w:pPr>
        <w:spacing w:after="120"/>
        <w:rPr>
          <w:spacing w:val="-4"/>
          <w:lang w:val="sr-Cyrl-RS"/>
        </w:rPr>
      </w:pPr>
      <w:r w:rsidRPr="00604ED1">
        <w:rPr>
          <w:spacing w:val="-4"/>
          <w:lang w:val="sr-Cyrl-RS"/>
        </w:rPr>
        <w:t>Због виших цена електричне енергије, које би угрозиле пословање привредних субјеката у Републици Србији, као и енергетских субјеката који обављају делатност преноса, односно дистрибуције електричне енергије (у вези набавке електричне енергије за губитке), препоручено је да АД ЕПС те субјекте снабдева по ценама знатно нижим од тржишних, чиме је АД ЕПС изложен финансијском ризику, односно ризик раста цена у потпуности је пребачен на АД ЕПС.</w:t>
      </w:r>
    </w:p>
    <w:p w14:paraId="71CA978A" w14:textId="57F1B688" w:rsidR="005967FD" w:rsidRPr="00604ED1" w:rsidRDefault="005967FD" w:rsidP="002A2551">
      <w:pPr>
        <w:spacing w:after="120"/>
        <w:rPr>
          <w:highlight w:val="yellow"/>
          <w:lang w:val="sr-Cyrl-RS"/>
        </w:rPr>
      </w:pPr>
      <w:r>
        <w:rPr>
          <w:lang w:val="sr-Cyrl-RS"/>
        </w:rPr>
        <w:t>Т</w:t>
      </w:r>
      <w:r w:rsidRPr="00604ED1">
        <w:rPr>
          <w:lang w:val="sr-Cyrl-RS"/>
        </w:rPr>
        <w:t>оком целе претходне 2022. године, а што је настављено и у првој половини 2023. године, Република Србија се борила да финансијским и стратешким мерама обезбеди и осигура снабдевање кључним енергентима. Поред наведеног, уложен је додатни напор да се настави са трансформацијом предузећа и</w:t>
      </w:r>
      <w:r w:rsidR="002C43E8">
        <w:rPr>
          <w:lang w:val="sr-Cyrl-RS"/>
        </w:rPr>
        <w:t xml:space="preserve">з енергетског сектора, тако је </w:t>
      </w:r>
      <w:r w:rsidRPr="00604ED1">
        <w:rPr>
          <w:lang w:val="sr-Cyrl-RS"/>
        </w:rPr>
        <w:t>6. априла 2023. године промењена форма „Електропривреде Србије” из јавног предузећа у нејавно акционарско друштво. Повећа</w:t>
      </w:r>
      <w:r w:rsidR="002C43E8">
        <w:rPr>
          <w:lang w:val="sr-Cyrl-RS"/>
        </w:rPr>
        <w:t xml:space="preserve">ње цена електричне енергије од </w:t>
      </w:r>
      <w:r w:rsidRPr="00604ED1">
        <w:rPr>
          <w:lang w:val="sr-Cyrl-RS"/>
        </w:rPr>
        <w:t>1. септембра 2022. године, рационалним планирањем ресурса, кретање цене енергената и позитивни хидролошки трендови утицали су да у првој половини 2023. године АД ЕПС оствари резултате далеко боље од планираних за овај период. Током 2023. године настављено је са реализацијом планираних</w:t>
      </w:r>
      <w:r w:rsidR="002C43E8">
        <w:rPr>
          <w:lang w:val="sr-Cyrl-RS"/>
        </w:rPr>
        <w:t xml:space="preserve"> активности те је од </w:t>
      </w:r>
      <w:r w:rsidRPr="00604ED1">
        <w:rPr>
          <w:lang w:val="sr-Cyrl-RS"/>
        </w:rPr>
        <w:t>1. маја 2023. године дошло до новог повећања цене електричне енергије од 8%, чији ће се ефекти позитивно одразити у наредном периоду.</w:t>
      </w:r>
    </w:p>
    <w:p w14:paraId="04248106" w14:textId="6CC18510" w:rsidR="005967FD" w:rsidRPr="00604ED1" w:rsidRDefault="005967FD" w:rsidP="002A2551">
      <w:pPr>
        <w:spacing w:after="120"/>
        <w:rPr>
          <w:lang w:val="sr-Cyrl-RS"/>
        </w:rPr>
      </w:pPr>
      <w:r w:rsidRPr="00604ED1">
        <w:rPr>
          <w:lang w:val="sr-Cyrl-RS"/>
        </w:rPr>
        <w:t xml:space="preserve">Што се тиче </w:t>
      </w:r>
      <w:r w:rsidRPr="00604ED1">
        <w:rPr>
          <w:spacing w:val="-4"/>
          <w:lang w:val="sr-Cyrl-RS"/>
        </w:rPr>
        <w:t>ЈП „Србијагас”,</w:t>
      </w:r>
      <w:r w:rsidRPr="00604ED1">
        <w:rPr>
          <w:lang w:val="sr-Cyrl-RS"/>
        </w:rPr>
        <w:t xml:space="preserve"> </w:t>
      </w:r>
      <w:r w:rsidRPr="00604ED1">
        <w:rPr>
          <w:spacing w:val="-4"/>
          <w:lang w:val="sr-Cyrl-RS"/>
        </w:rPr>
        <w:t xml:space="preserve">неповољна тржишна кретања и финансијска позиција дистрибутера </w:t>
      </w:r>
      <w:r w:rsidRPr="00604ED1">
        <w:rPr>
          <w:spacing w:val="-4"/>
          <w:lang w:val="sr-Cyrl-RS"/>
        </w:rPr>
        <w:t>природног гаса утицали су да Република Србија у претходном периоду учествује у финансирању набавк</w:t>
      </w:r>
      <w:r>
        <w:rPr>
          <w:spacing w:val="-4"/>
          <w:lang w:val="sr-Cyrl-RS"/>
        </w:rPr>
        <w:t>и</w:t>
      </w:r>
      <w:r w:rsidRPr="00604ED1">
        <w:rPr>
          <w:spacing w:val="-4"/>
          <w:lang w:val="sr-Cyrl-RS"/>
        </w:rPr>
        <w:t xml:space="preserve"> резервних количина гаса као и суфинансирању редовних набавки. П</w:t>
      </w:r>
      <w:r w:rsidRPr="00604ED1">
        <w:rPr>
          <w:lang w:val="sr-Cyrl-RS"/>
        </w:rPr>
        <w:t>роактивним режимом рада током 2022. године обезбеђени су додатни складишни капацитети за природни гас у Мађарској, одакле су се ускладиштене количине повремено повлачиле у зимској сезони 2022/2023</w:t>
      </w:r>
      <w:r w:rsidR="002C43E8">
        <w:rPr>
          <w:lang w:val="sr-Cyrl-RS"/>
        </w:rPr>
        <w:t>.</w:t>
      </w:r>
      <w:r w:rsidRPr="00604ED1">
        <w:rPr>
          <w:lang w:val="sr-Cyrl-RS"/>
        </w:rPr>
        <w:t xml:space="preserve"> године, а преостале количине омогућиће додатну сигурност снабдевања тржишта током зимске сезоне 2023/2024.</w:t>
      </w:r>
      <w:r w:rsidR="002C43E8">
        <w:rPr>
          <w:lang w:val="sr-Cyrl-RS"/>
        </w:rPr>
        <w:t xml:space="preserve"> године.</w:t>
      </w:r>
      <w:r w:rsidRPr="00604ED1">
        <w:rPr>
          <w:lang w:val="sr-Cyrl-RS"/>
        </w:rPr>
        <w:t xml:space="preserve"> Кретања цена енергената на светском тржишту утицало је да и ЈП </w:t>
      </w:r>
      <w:r w:rsidR="00103315" w:rsidRPr="00103315">
        <w:rPr>
          <w:lang w:val="sr-Cyrl-RS"/>
        </w:rPr>
        <w:t>„Србијагас”</w:t>
      </w:r>
      <w:r w:rsidRPr="00604ED1">
        <w:rPr>
          <w:lang w:val="sr-Cyrl-RS"/>
        </w:rPr>
        <w:t xml:space="preserve"> изврши и корекцију прод</w:t>
      </w:r>
      <w:r w:rsidR="002C43E8">
        <w:rPr>
          <w:lang w:val="sr-Cyrl-RS"/>
        </w:rPr>
        <w:t xml:space="preserve">ајних цена гаса. Према томе од </w:t>
      </w:r>
      <w:r w:rsidRPr="00604ED1">
        <w:rPr>
          <w:lang w:val="sr-Cyrl-RS"/>
        </w:rPr>
        <w:t>1. јануара 2023. године ЈП „Србијагас” примењује нове цене природног гаса у делатности јавног снаб</w:t>
      </w:r>
      <w:r w:rsidR="002C43E8">
        <w:rPr>
          <w:lang w:val="sr-Cyrl-RS"/>
        </w:rPr>
        <w:t xml:space="preserve">девања које су веће за 11%. Од </w:t>
      </w:r>
      <w:r w:rsidRPr="00604ED1">
        <w:rPr>
          <w:lang w:val="sr-Cyrl-RS"/>
        </w:rPr>
        <w:t>1. маја 2023. године ново повећање цена природног гаса за јавно снабдевање малих купаца и домаћинстава од 10%, а пун ефекат наведених повећања биће видљив у другој половини 2023. године.</w:t>
      </w:r>
    </w:p>
    <w:p w14:paraId="07766846" w14:textId="57111FEB" w:rsidR="005967FD" w:rsidRPr="00604ED1" w:rsidRDefault="005967FD" w:rsidP="002A2551">
      <w:pPr>
        <w:rPr>
          <w:lang w:val="sr-Cyrl-RS"/>
        </w:rPr>
      </w:pPr>
      <w:r w:rsidRPr="00604ED1">
        <w:rPr>
          <w:lang w:val="sr-Cyrl-RS"/>
        </w:rPr>
        <w:t>Ефекти енергетске кризе у свету, нису заобишли ни ЈП „Путеви Србије” који су идентификовани као носилац високог фискалног ризика због раста цене основних енергената и главних сировина потребних за обављање основне делатности, што би могло додатно да погорша финансијску позицију овог јавног предузећа, а самим тим и повећа ослањање на буџет Републике Србије. У циљу благовременог спречавања утицаја на буџет, током 2023. године Република Србија је донела низ мера. Како би се избегли негативни ефекти и њихов утицај на буџет Републике Ср</w:t>
      </w:r>
      <w:r w:rsidR="002C43E8">
        <w:rPr>
          <w:lang w:val="sr-Cyrl-RS"/>
        </w:rPr>
        <w:t xml:space="preserve">бије, ЈП „Путеви Србије” су од </w:t>
      </w:r>
      <w:r w:rsidRPr="00604ED1">
        <w:rPr>
          <w:lang w:val="sr-Cyrl-RS"/>
        </w:rPr>
        <w:t>1.</w:t>
      </w:r>
      <w:r w:rsidR="002C43E8">
        <w:rPr>
          <w:lang w:val="sr-Cyrl-RS"/>
        </w:rPr>
        <w:t xml:space="preserve"> </w:t>
      </w:r>
      <w:r w:rsidRPr="00604ED1">
        <w:rPr>
          <w:lang w:val="sr-Cyrl-RS"/>
        </w:rPr>
        <w:t>априла 2023. године повећали цене путарина за 14%, односно 8% за возила са ТАГ уређајем.</w:t>
      </w:r>
    </w:p>
    <w:p w14:paraId="648AF588" w14:textId="77777777" w:rsidR="005967FD" w:rsidRDefault="005967FD" w:rsidP="002A2551">
      <w:pPr>
        <w:spacing w:after="120"/>
        <w:rPr>
          <w:lang w:val="sr-Cyrl-RS"/>
        </w:rPr>
      </w:pPr>
      <w:r w:rsidRPr="00604ED1">
        <w:rPr>
          <w:lang w:val="sr-Cyrl-RS"/>
        </w:rPr>
        <w:t>Слична ситуација идентификована је и код „Коридори Србије” д.о.о, због високих издатака за капиталне инвестиције које су у надлежности овог друштва, те самим тим, промене основних сировина могу значајно повећати трошкове спровођења пројеката и повећати ослањање на буџет Републике Србије, у циљу континуиране реализације пројекта.</w:t>
      </w:r>
    </w:p>
    <w:p w14:paraId="41FA53C6" w14:textId="77777777" w:rsidR="005967FD" w:rsidRDefault="005967FD" w:rsidP="002A2551">
      <w:pPr>
        <w:spacing w:after="120"/>
        <w:rPr>
          <w:lang w:val="sr-Cyrl-RS"/>
        </w:rPr>
        <w:sectPr w:rsidR="005967FD" w:rsidSect="002A2551">
          <w:type w:val="continuous"/>
          <w:pgSz w:w="12240" w:h="15840"/>
          <w:pgMar w:top="1440" w:right="1440" w:bottom="1440" w:left="1440" w:header="720" w:footer="720" w:gutter="0"/>
          <w:cols w:num="2" w:space="720"/>
          <w:docGrid w:linePitch="360"/>
          <w15:footnoteColumns w:val="1"/>
        </w:sectPr>
      </w:pPr>
    </w:p>
    <w:p w14:paraId="3B6CA5F3" w14:textId="77777777" w:rsidR="005967FD" w:rsidRPr="00604ED1" w:rsidRDefault="005967FD" w:rsidP="002A2551">
      <w:pPr>
        <w:spacing w:after="120"/>
        <w:rPr>
          <w:lang w:val="sr-Cyrl-RS"/>
        </w:rPr>
      </w:pPr>
    </w:p>
    <w:p w14:paraId="52273F02" w14:textId="77777777" w:rsidR="005967FD" w:rsidRPr="00604ED1" w:rsidRDefault="005967FD" w:rsidP="002A2551">
      <w:pPr>
        <w:rPr>
          <w:lang w:val="sr-Cyrl-RS"/>
        </w:rPr>
      </w:pPr>
    </w:p>
    <w:p w14:paraId="46A90080" w14:textId="77777777" w:rsidR="005967FD" w:rsidRPr="00604ED1" w:rsidRDefault="005967FD" w:rsidP="002A2551">
      <w:pPr>
        <w:rPr>
          <w:lang w:val="sr-Cyrl-RS"/>
        </w:rPr>
      </w:pPr>
    </w:p>
    <w:p w14:paraId="5C8500FF" w14:textId="77777777" w:rsidR="005967FD" w:rsidRPr="00604ED1" w:rsidRDefault="005967FD" w:rsidP="002A2551">
      <w:pPr>
        <w:rPr>
          <w:lang w:val="sr-Cyrl-RS"/>
        </w:rPr>
      </w:pPr>
    </w:p>
    <w:p w14:paraId="75840FF3" w14:textId="77777777" w:rsidR="005967FD" w:rsidRPr="00604ED1" w:rsidRDefault="005967FD" w:rsidP="002A2551">
      <w:pPr>
        <w:spacing w:after="120"/>
        <w:jc w:val="left"/>
        <w:rPr>
          <w:rFonts w:cstheme="minorHAnsi"/>
          <w:b/>
          <w:bCs/>
          <w:color w:val="2F5496" w:themeColor="accent1" w:themeShade="BF"/>
          <w:sz w:val="24"/>
          <w:szCs w:val="24"/>
          <w:lang w:val="sr-Cyrl-RS"/>
        </w:rPr>
      </w:pPr>
      <w:r w:rsidRPr="00604ED1">
        <w:rPr>
          <w:rFonts w:cstheme="minorHAnsi"/>
          <w:b/>
          <w:bCs/>
          <w:color w:val="2F5496" w:themeColor="accent1" w:themeShade="BF"/>
          <w:sz w:val="24"/>
          <w:szCs w:val="24"/>
          <w:lang w:val="sr-Cyrl-RS"/>
        </w:rPr>
        <w:lastRenderedPageBreak/>
        <w:t>Државне гаранције</w:t>
      </w:r>
    </w:p>
    <w:p w14:paraId="6664CAE5" w14:textId="77777777" w:rsidR="005967FD" w:rsidRPr="00604ED1" w:rsidRDefault="005967FD" w:rsidP="002A2551">
      <w:pPr>
        <w:spacing w:after="240"/>
        <w:rPr>
          <w:rFonts w:eastAsia="MS PGothic" w:cstheme="minorHAnsi"/>
          <w:szCs w:val="20"/>
          <w:lang w:val="sr-Cyrl-RS" w:eastAsia="ja-JP"/>
        </w:rPr>
      </w:pPr>
      <w:r w:rsidRPr="00604ED1">
        <w:rPr>
          <w:rFonts w:eastAsia="MS PGothic" w:cstheme="minorHAnsi"/>
          <w:szCs w:val="20"/>
          <w:lang w:val="sr-Cyrl-RS" w:eastAsia="ja-JP"/>
        </w:rPr>
        <w:t>Гаранције издате од стране државе утичу на висину јавног дуга, али и на висину дефицита, уколико отплату по кредиту уместо првобитног дужника преузме држава. Издате гаранције су према дефиницији одређеној Законом о јавном дугу</w:t>
      </w:r>
      <w:r w:rsidRPr="00604ED1">
        <w:rPr>
          <w:rFonts w:eastAsia="MS PGothic" w:cstheme="minorHAnsi"/>
          <w:szCs w:val="20"/>
          <w:vertAlign w:val="superscript"/>
          <w:lang w:val="sr-Cyrl-RS" w:eastAsia="ja-JP"/>
        </w:rPr>
        <w:footnoteReference w:id="6"/>
      </w:r>
      <w:r w:rsidRPr="00604ED1">
        <w:rPr>
          <w:rFonts w:eastAsia="MS PGothic" w:cstheme="minorHAnsi"/>
          <w:szCs w:val="20"/>
          <w:lang w:val="sr-Cyrl-RS" w:eastAsia="ja-JP"/>
        </w:rPr>
        <w:t xml:space="preserve"> део индиректних обавеза и у укупном износу се укључују у јавни дуг. Ограничења постављена на издавање нових гаранција дала су резултате те се учешће индиректних обавеза у укупном јавном дугу смањује. Индиректне обавезе (издате гаранције од стране Републике Србије) су учествовале са 4,6% у дугу сектора државе на крају 2022. године, док на крају прве половине 2023. године оне чине 4,9% дуга сектора државе.</w:t>
      </w:r>
    </w:p>
    <w:p w14:paraId="43C8A981" w14:textId="77777777" w:rsidR="005967FD" w:rsidRDefault="005967FD" w:rsidP="002A2551">
      <w:pPr>
        <w:spacing w:after="0"/>
        <w:jc w:val="center"/>
        <w:rPr>
          <w:rFonts w:cstheme="minorHAnsi"/>
          <w:b/>
          <w:bCs/>
          <w:color w:val="2F5496" w:themeColor="accent1" w:themeShade="BF"/>
          <w:szCs w:val="20"/>
          <w:lang w:val="sr-Cyrl-RS"/>
        </w:rPr>
      </w:pPr>
      <w:r w:rsidRPr="00604ED1">
        <w:rPr>
          <w:rFonts w:cstheme="minorHAnsi"/>
          <w:b/>
          <w:bCs/>
          <w:color w:val="2F5496" w:themeColor="accent1" w:themeShade="BF"/>
          <w:szCs w:val="20"/>
          <w:lang w:val="sr-Cyrl-RS"/>
        </w:rPr>
        <w:t>Учешће индиректног дуга у дугу сектора државе (у %)</w:t>
      </w:r>
    </w:p>
    <w:p w14:paraId="041B8C70" w14:textId="77777777" w:rsidR="005967FD" w:rsidRPr="00604ED1" w:rsidRDefault="005967FD" w:rsidP="002A2551">
      <w:pPr>
        <w:spacing w:after="0"/>
        <w:jc w:val="center"/>
        <w:rPr>
          <w:lang w:val="sr-Cyrl-RS"/>
        </w:rPr>
      </w:pPr>
      <w:r w:rsidRPr="00604ED1">
        <w:rPr>
          <w:noProof/>
        </w:rPr>
        <w:drawing>
          <wp:inline distT="0" distB="0" distL="0" distR="0" wp14:anchorId="11D44513" wp14:editId="176A9C08">
            <wp:extent cx="2743200" cy="1631311"/>
            <wp:effectExtent l="0" t="0" r="0" b="7620"/>
            <wp:docPr id="1048671970" name="Chart 1">
              <a:extLst xmlns:a="http://schemas.openxmlformats.org/drawingml/2006/main">
                <a:ext uri="{FF2B5EF4-FFF2-40B4-BE49-F238E27FC236}">
                  <a16:creationId xmlns:a16="http://schemas.microsoft.com/office/drawing/2014/main" id="{00000000-0008-0000-04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3"/>
              </a:graphicData>
            </a:graphic>
          </wp:inline>
        </w:drawing>
      </w:r>
    </w:p>
    <w:p w14:paraId="2FE75E9C" w14:textId="77777777" w:rsidR="005967FD" w:rsidRPr="00604ED1" w:rsidRDefault="005967FD" w:rsidP="002A2551">
      <w:pPr>
        <w:spacing w:after="240"/>
        <w:rPr>
          <w:rFonts w:eastAsia="MS PGothic" w:cstheme="minorHAnsi"/>
          <w:spacing w:val="-2"/>
          <w:szCs w:val="20"/>
          <w:lang w:val="sr-Cyrl-RS" w:eastAsia="ja-JP"/>
        </w:rPr>
      </w:pPr>
      <w:r w:rsidRPr="00604ED1">
        <w:rPr>
          <w:rFonts w:eastAsia="MS PGothic" w:cstheme="minorHAnsi"/>
          <w:spacing w:val="-2"/>
          <w:szCs w:val="20"/>
          <w:lang w:val="sr-Cyrl-RS" w:eastAsia="ja-JP"/>
        </w:rPr>
        <w:t>На крају 2022. године стање дуга по основу издатих гаранција износило је 1,5 млрд евра, односно 2,6% БДП.</w:t>
      </w:r>
    </w:p>
    <w:p w14:paraId="5A2549CE" w14:textId="77777777" w:rsidR="005967FD" w:rsidRPr="00604ED1" w:rsidRDefault="005967FD" w:rsidP="002A2551">
      <w:pPr>
        <w:spacing w:after="360"/>
        <w:rPr>
          <w:rFonts w:eastAsia="MS PGothic" w:cstheme="minorHAnsi"/>
          <w:spacing w:val="-2"/>
          <w:szCs w:val="20"/>
          <w:lang w:val="sr-Cyrl-RS" w:eastAsia="ja-JP"/>
        </w:rPr>
        <w:sectPr w:rsidR="005967FD" w:rsidRPr="00604ED1" w:rsidSect="002A2551">
          <w:type w:val="continuous"/>
          <w:pgSz w:w="12240" w:h="15840"/>
          <w:pgMar w:top="1440" w:right="1440" w:bottom="1440" w:left="1440" w:header="720" w:footer="720" w:gutter="0"/>
          <w:cols w:num="2" w:space="720"/>
          <w:docGrid w:linePitch="360"/>
          <w15:footnoteColumns w:val="1"/>
        </w:sectPr>
      </w:pPr>
    </w:p>
    <w:p w14:paraId="638D5A72" w14:textId="77777777" w:rsidR="005967FD" w:rsidRPr="00604ED1" w:rsidRDefault="005967FD" w:rsidP="002A2551">
      <w:pPr>
        <w:spacing w:after="120" w:line="276" w:lineRule="auto"/>
        <w:jc w:val="center"/>
        <w:rPr>
          <w:rFonts w:eastAsia="MS PGothic" w:cstheme="minorHAnsi"/>
          <w:b/>
          <w:bCs/>
          <w:color w:val="002060"/>
          <w:szCs w:val="20"/>
          <w:lang w:val="sr-Cyrl-RS" w:eastAsia="ja-JP"/>
        </w:rPr>
      </w:pPr>
      <w:r w:rsidRPr="00604ED1">
        <w:rPr>
          <w:rFonts w:eastAsia="MS PGothic" w:cstheme="minorHAnsi"/>
          <w:b/>
          <w:bCs/>
          <w:color w:val="002060"/>
          <w:szCs w:val="20"/>
          <w:lang w:val="sr-Cyrl-RS" w:eastAsia="ja-JP"/>
        </w:rPr>
        <w:t>Табела 12. Стање дуга по основу издатих гаранција у мил. евра</w:t>
      </w:r>
    </w:p>
    <w:tbl>
      <w:tblPr>
        <w:tblW w:w="9225" w:type="dxa"/>
        <w:tblInd w:w="90" w:type="dxa"/>
        <w:tblLook w:val="04A0" w:firstRow="1" w:lastRow="0" w:firstColumn="1" w:lastColumn="0" w:noHBand="0" w:noVBand="1"/>
      </w:tblPr>
      <w:tblGrid>
        <w:gridCol w:w="4889"/>
        <w:gridCol w:w="1656"/>
        <w:gridCol w:w="1313"/>
        <w:gridCol w:w="1367"/>
      </w:tblGrid>
      <w:tr w:rsidR="005967FD" w:rsidRPr="00604ED1" w14:paraId="3263763D" w14:textId="77777777" w:rsidTr="002A2551">
        <w:trPr>
          <w:trHeight w:val="299"/>
        </w:trPr>
        <w:tc>
          <w:tcPr>
            <w:tcW w:w="4889" w:type="dxa"/>
            <w:tcBorders>
              <w:top w:val="single" w:sz="4" w:space="0" w:color="203764"/>
              <w:left w:val="nil"/>
              <w:bottom w:val="single" w:sz="4" w:space="0" w:color="203764"/>
              <w:right w:val="nil"/>
            </w:tcBorders>
            <w:shd w:val="clear" w:color="000000" w:fill="FFFFFF"/>
            <w:noWrap/>
            <w:vAlign w:val="center"/>
            <w:hideMark/>
          </w:tcPr>
          <w:p w14:paraId="40D3B5DC" w14:textId="77777777" w:rsidR="005967FD" w:rsidRPr="00604ED1" w:rsidRDefault="005967FD" w:rsidP="002A2551">
            <w:pPr>
              <w:spacing w:after="0" w:line="240" w:lineRule="auto"/>
              <w:jc w:val="left"/>
              <w:rPr>
                <w:rFonts w:ascii="Calibri" w:eastAsia="Times New Roman" w:hAnsi="Calibri" w:cs="Calibri"/>
                <w:b/>
                <w:bCs/>
                <w:color w:val="203764"/>
                <w:sz w:val="18"/>
                <w:szCs w:val="18"/>
                <w:lang w:val="sr-Cyrl-RS"/>
              </w:rPr>
            </w:pPr>
            <w:r w:rsidRPr="00604ED1">
              <w:rPr>
                <w:rFonts w:ascii="Calibri" w:eastAsia="Times New Roman" w:hAnsi="Calibri" w:cs="Calibri"/>
                <w:b/>
                <w:bCs/>
                <w:color w:val="203764"/>
                <w:sz w:val="18"/>
                <w:szCs w:val="18"/>
                <w:lang w:val="sr-Cyrl-RS"/>
              </w:rPr>
              <w:t>Корисник</w:t>
            </w:r>
          </w:p>
        </w:tc>
        <w:tc>
          <w:tcPr>
            <w:tcW w:w="1656" w:type="dxa"/>
            <w:tcBorders>
              <w:top w:val="single" w:sz="4" w:space="0" w:color="203764"/>
              <w:left w:val="nil"/>
              <w:bottom w:val="single" w:sz="4" w:space="0" w:color="203764"/>
              <w:right w:val="nil"/>
            </w:tcBorders>
            <w:shd w:val="clear" w:color="000000" w:fill="FFFFFF"/>
            <w:noWrap/>
            <w:vAlign w:val="center"/>
            <w:hideMark/>
          </w:tcPr>
          <w:p w14:paraId="14F488B9" w14:textId="77777777" w:rsidR="005967FD" w:rsidRPr="00604ED1" w:rsidRDefault="005967FD" w:rsidP="002A2551">
            <w:pPr>
              <w:spacing w:after="0" w:line="240" w:lineRule="auto"/>
              <w:jc w:val="right"/>
              <w:rPr>
                <w:rFonts w:ascii="Calibri" w:eastAsia="Times New Roman" w:hAnsi="Calibri" w:cs="Calibri"/>
                <w:b/>
                <w:bCs/>
                <w:color w:val="203764"/>
                <w:sz w:val="18"/>
                <w:szCs w:val="18"/>
                <w:lang w:val="sr-Cyrl-RS"/>
              </w:rPr>
            </w:pPr>
            <w:r w:rsidRPr="00604ED1">
              <w:rPr>
                <w:rFonts w:ascii="Calibri" w:eastAsia="Times New Roman" w:hAnsi="Calibri" w:cs="Calibri"/>
                <w:b/>
                <w:bCs/>
                <w:color w:val="203764"/>
                <w:sz w:val="18"/>
                <w:szCs w:val="18"/>
                <w:lang w:val="sr-Cyrl-RS"/>
              </w:rPr>
              <w:t>31.12.2021.</w:t>
            </w:r>
          </w:p>
        </w:tc>
        <w:tc>
          <w:tcPr>
            <w:tcW w:w="1313" w:type="dxa"/>
            <w:tcBorders>
              <w:top w:val="single" w:sz="4" w:space="0" w:color="203764"/>
              <w:left w:val="nil"/>
              <w:bottom w:val="single" w:sz="4" w:space="0" w:color="203764"/>
              <w:right w:val="nil"/>
            </w:tcBorders>
            <w:shd w:val="clear" w:color="000000" w:fill="FFFFFF"/>
            <w:noWrap/>
            <w:vAlign w:val="center"/>
            <w:hideMark/>
          </w:tcPr>
          <w:p w14:paraId="042DE5D8" w14:textId="77777777" w:rsidR="005967FD" w:rsidRPr="00604ED1" w:rsidRDefault="005967FD" w:rsidP="002A2551">
            <w:pPr>
              <w:spacing w:after="0" w:line="240" w:lineRule="auto"/>
              <w:jc w:val="right"/>
              <w:rPr>
                <w:rFonts w:ascii="Calibri" w:eastAsia="Times New Roman" w:hAnsi="Calibri" w:cs="Calibri"/>
                <w:b/>
                <w:bCs/>
                <w:color w:val="203764"/>
                <w:sz w:val="18"/>
                <w:szCs w:val="18"/>
                <w:lang w:val="sr-Cyrl-RS"/>
              </w:rPr>
            </w:pPr>
            <w:r w:rsidRPr="00604ED1">
              <w:rPr>
                <w:rFonts w:ascii="Calibri" w:eastAsia="Times New Roman" w:hAnsi="Calibri" w:cs="Calibri"/>
                <w:b/>
                <w:bCs/>
                <w:color w:val="203764"/>
                <w:sz w:val="18"/>
                <w:szCs w:val="18"/>
                <w:lang w:val="sr-Cyrl-RS"/>
              </w:rPr>
              <w:t>31.12.2022.</w:t>
            </w:r>
          </w:p>
        </w:tc>
        <w:tc>
          <w:tcPr>
            <w:tcW w:w="1367" w:type="dxa"/>
            <w:tcBorders>
              <w:top w:val="single" w:sz="4" w:space="0" w:color="203764"/>
              <w:left w:val="nil"/>
              <w:bottom w:val="single" w:sz="4" w:space="0" w:color="203764"/>
              <w:right w:val="nil"/>
            </w:tcBorders>
            <w:shd w:val="clear" w:color="000000" w:fill="FFFFFF"/>
            <w:noWrap/>
            <w:vAlign w:val="center"/>
            <w:hideMark/>
          </w:tcPr>
          <w:p w14:paraId="6FD751A1" w14:textId="404CC87A" w:rsidR="005967FD" w:rsidRPr="00604ED1" w:rsidRDefault="00FB4881" w:rsidP="002A2551">
            <w:pPr>
              <w:spacing w:after="0" w:line="240" w:lineRule="auto"/>
              <w:jc w:val="right"/>
              <w:rPr>
                <w:rFonts w:ascii="Calibri" w:eastAsia="Times New Roman" w:hAnsi="Calibri" w:cs="Calibri"/>
                <w:b/>
                <w:bCs/>
                <w:color w:val="203764"/>
                <w:sz w:val="18"/>
                <w:szCs w:val="18"/>
                <w:lang w:val="sr-Cyrl-RS"/>
              </w:rPr>
            </w:pPr>
            <w:r>
              <w:rPr>
                <w:rFonts w:ascii="Calibri" w:eastAsia="Times New Roman" w:hAnsi="Calibri" w:cs="Calibri"/>
                <w:b/>
                <w:bCs/>
                <w:color w:val="203764"/>
                <w:sz w:val="18"/>
                <w:szCs w:val="18"/>
                <w:lang w:val="sr-Cyrl-RS"/>
              </w:rPr>
              <w:t>30.</w:t>
            </w:r>
            <w:r w:rsidR="005967FD" w:rsidRPr="00604ED1">
              <w:rPr>
                <w:rFonts w:ascii="Calibri" w:eastAsia="Times New Roman" w:hAnsi="Calibri" w:cs="Calibri"/>
                <w:b/>
                <w:bCs/>
                <w:color w:val="203764"/>
                <w:sz w:val="18"/>
                <w:szCs w:val="18"/>
                <w:lang w:val="sr-Cyrl-RS"/>
              </w:rPr>
              <w:t>6.2023.</w:t>
            </w:r>
          </w:p>
        </w:tc>
      </w:tr>
      <w:tr w:rsidR="005967FD" w:rsidRPr="00604ED1" w14:paraId="671BFEE4" w14:textId="77777777" w:rsidTr="002A2551">
        <w:trPr>
          <w:trHeight w:val="287"/>
        </w:trPr>
        <w:tc>
          <w:tcPr>
            <w:tcW w:w="4889" w:type="dxa"/>
            <w:tcBorders>
              <w:top w:val="nil"/>
              <w:left w:val="nil"/>
              <w:bottom w:val="nil"/>
              <w:right w:val="nil"/>
            </w:tcBorders>
            <w:shd w:val="clear" w:color="000000" w:fill="FFFFFF"/>
            <w:noWrap/>
            <w:vAlign w:val="center"/>
            <w:hideMark/>
          </w:tcPr>
          <w:p w14:paraId="2CBBD99A" w14:textId="2575A1B2"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 xml:space="preserve">JП </w:t>
            </w:r>
            <w:r w:rsidR="00103315" w:rsidRPr="00103315">
              <w:rPr>
                <w:rFonts w:ascii="Calibri" w:eastAsia="Times New Roman" w:hAnsi="Calibri" w:cs="Calibri"/>
                <w:color w:val="203764"/>
                <w:sz w:val="18"/>
                <w:szCs w:val="18"/>
                <w:lang w:val="sr-Cyrl-RS"/>
              </w:rPr>
              <w:t>„Србијагас”</w:t>
            </w:r>
          </w:p>
        </w:tc>
        <w:tc>
          <w:tcPr>
            <w:tcW w:w="1656" w:type="dxa"/>
            <w:tcBorders>
              <w:top w:val="nil"/>
              <w:left w:val="nil"/>
              <w:bottom w:val="nil"/>
              <w:right w:val="nil"/>
            </w:tcBorders>
            <w:shd w:val="clear" w:color="000000" w:fill="FFFFFF"/>
            <w:noWrap/>
            <w:vAlign w:val="center"/>
            <w:hideMark/>
          </w:tcPr>
          <w:p w14:paraId="3D97C1D0"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235,8</w:t>
            </w:r>
          </w:p>
        </w:tc>
        <w:tc>
          <w:tcPr>
            <w:tcW w:w="1313" w:type="dxa"/>
            <w:tcBorders>
              <w:top w:val="nil"/>
              <w:left w:val="nil"/>
              <w:bottom w:val="nil"/>
              <w:right w:val="nil"/>
            </w:tcBorders>
            <w:shd w:val="clear" w:color="000000" w:fill="FFFFFF"/>
            <w:noWrap/>
            <w:vAlign w:val="center"/>
            <w:hideMark/>
          </w:tcPr>
          <w:p w14:paraId="01F30C60"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469,7</w:t>
            </w:r>
          </w:p>
        </w:tc>
        <w:tc>
          <w:tcPr>
            <w:tcW w:w="1367" w:type="dxa"/>
            <w:tcBorders>
              <w:top w:val="nil"/>
              <w:left w:val="nil"/>
              <w:bottom w:val="nil"/>
              <w:right w:val="nil"/>
            </w:tcBorders>
            <w:shd w:val="clear" w:color="000000" w:fill="FFFFFF"/>
            <w:noWrap/>
            <w:vAlign w:val="center"/>
            <w:hideMark/>
          </w:tcPr>
          <w:p w14:paraId="642E811C"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750,9</w:t>
            </w:r>
          </w:p>
        </w:tc>
      </w:tr>
      <w:tr w:rsidR="005967FD" w:rsidRPr="00604ED1" w14:paraId="7BE177BE" w14:textId="77777777" w:rsidTr="002A2551">
        <w:trPr>
          <w:trHeight w:val="299"/>
        </w:trPr>
        <w:tc>
          <w:tcPr>
            <w:tcW w:w="4889" w:type="dxa"/>
            <w:tcBorders>
              <w:top w:val="nil"/>
              <w:left w:val="nil"/>
              <w:bottom w:val="nil"/>
              <w:right w:val="nil"/>
            </w:tcBorders>
            <w:shd w:val="clear" w:color="000000" w:fill="FFFFFF"/>
            <w:noWrap/>
            <w:vAlign w:val="center"/>
            <w:hideMark/>
          </w:tcPr>
          <w:p w14:paraId="380E5B01" w14:textId="77777777"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АД „Електропривреда Србије”</w:t>
            </w:r>
          </w:p>
        </w:tc>
        <w:tc>
          <w:tcPr>
            <w:tcW w:w="1656" w:type="dxa"/>
            <w:tcBorders>
              <w:top w:val="nil"/>
              <w:left w:val="nil"/>
              <w:bottom w:val="nil"/>
              <w:right w:val="nil"/>
            </w:tcBorders>
            <w:shd w:val="clear" w:color="000000" w:fill="FFFFFF"/>
            <w:noWrap/>
            <w:vAlign w:val="center"/>
            <w:hideMark/>
          </w:tcPr>
          <w:p w14:paraId="19C5F79A"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363,1</w:t>
            </w:r>
          </w:p>
        </w:tc>
        <w:tc>
          <w:tcPr>
            <w:tcW w:w="1313" w:type="dxa"/>
            <w:tcBorders>
              <w:top w:val="nil"/>
              <w:left w:val="nil"/>
              <w:bottom w:val="nil"/>
              <w:right w:val="nil"/>
            </w:tcBorders>
            <w:shd w:val="clear" w:color="000000" w:fill="FFFFFF"/>
            <w:noWrap/>
            <w:vAlign w:val="center"/>
            <w:hideMark/>
          </w:tcPr>
          <w:p w14:paraId="5AB8984C"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346,1</w:t>
            </w:r>
          </w:p>
        </w:tc>
        <w:tc>
          <w:tcPr>
            <w:tcW w:w="1367" w:type="dxa"/>
            <w:tcBorders>
              <w:top w:val="nil"/>
              <w:left w:val="nil"/>
              <w:bottom w:val="nil"/>
              <w:right w:val="nil"/>
            </w:tcBorders>
            <w:shd w:val="clear" w:color="000000" w:fill="FFFFFF"/>
            <w:noWrap/>
            <w:vAlign w:val="center"/>
            <w:hideMark/>
          </w:tcPr>
          <w:p w14:paraId="76B79524"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326,8</w:t>
            </w:r>
          </w:p>
        </w:tc>
      </w:tr>
      <w:tr w:rsidR="005967FD" w:rsidRPr="00604ED1" w14:paraId="65209975" w14:textId="77777777" w:rsidTr="002A2551">
        <w:trPr>
          <w:trHeight w:val="252"/>
        </w:trPr>
        <w:tc>
          <w:tcPr>
            <w:tcW w:w="4889" w:type="dxa"/>
            <w:tcBorders>
              <w:top w:val="nil"/>
              <w:left w:val="nil"/>
              <w:bottom w:val="nil"/>
              <w:right w:val="nil"/>
            </w:tcBorders>
            <w:shd w:val="clear" w:color="000000" w:fill="FFFFFF"/>
            <w:noWrap/>
            <w:vAlign w:val="center"/>
            <w:hideMark/>
          </w:tcPr>
          <w:p w14:paraId="13BBA2FF" w14:textId="77777777"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ЈП Путеви Србије</w:t>
            </w:r>
          </w:p>
        </w:tc>
        <w:tc>
          <w:tcPr>
            <w:tcW w:w="1656" w:type="dxa"/>
            <w:tcBorders>
              <w:top w:val="nil"/>
              <w:left w:val="nil"/>
              <w:bottom w:val="nil"/>
              <w:right w:val="nil"/>
            </w:tcBorders>
            <w:shd w:val="clear" w:color="000000" w:fill="FFFFFF"/>
            <w:noWrap/>
            <w:vAlign w:val="center"/>
            <w:hideMark/>
          </w:tcPr>
          <w:p w14:paraId="2068C490"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255,6</w:t>
            </w:r>
          </w:p>
        </w:tc>
        <w:tc>
          <w:tcPr>
            <w:tcW w:w="1313" w:type="dxa"/>
            <w:tcBorders>
              <w:top w:val="nil"/>
              <w:left w:val="nil"/>
              <w:bottom w:val="nil"/>
              <w:right w:val="nil"/>
            </w:tcBorders>
            <w:shd w:val="clear" w:color="000000" w:fill="FFFFFF"/>
            <w:noWrap/>
            <w:vAlign w:val="center"/>
            <w:hideMark/>
          </w:tcPr>
          <w:p w14:paraId="6E499D6E"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225,5</w:t>
            </w:r>
          </w:p>
        </w:tc>
        <w:tc>
          <w:tcPr>
            <w:tcW w:w="1367" w:type="dxa"/>
            <w:tcBorders>
              <w:top w:val="nil"/>
              <w:left w:val="nil"/>
              <w:bottom w:val="nil"/>
              <w:right w:val="nil"/>
            </w:tcBorders>
            <w:shd w:val="clear" w:color="000000" w:fill="FFFFFF"/>
            <w:noWrap/>
            <w:vAlign w:val="center"/>
            <w:hideMark/>
          </w:tcPr>
          <w:p w14:paraId="19296BFD"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211,1</w:t>
            </w:r>
          </w:p>
        </w:tc>
      </w:tr>
      <w:tr w:rsidR="005967FD" w:rsidRPr="00604ED1" w14:paraId="410F385B" w14:textId="77777777" w:rsidTr="002A2551">
        <w:trPr>
          <w:trHeight w:val="270"/>
        </w:trPr>
        <w:tc>
          <w:tcPr>
            <w:tcW w:w="4889" w:type="dxa"/>
            <w:tcBorders>
              <w:top w:val="nil"/>
              <w:left w:val="nil"/>
              <w:bottom w:val="nil"/>
              <w:right w:val="nil"/>
            </w:tcBorders>
            <w:shd w:val="clear" w:color="000000" w:fill="FFFFFF"/>
            <w:noWrap/>
            <w:vAlign w:val="center"/>
            <w:hideMark/>
          </w:tcPr>
          <w:p w14:paraId="2EAC0176" w14:textId="77777777"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Јединице локалне власти (градови и општине)</w:t>
            </w:r>
          </w:p>
        </w:tc>
        <w:tc>
          <w:tcPr>
            <w:tcW w:w="1656" w:type="dxa"/>
            <w:tcBorders>
              <w:top w:val="nil"/>
              <w:left w:val="nil"/>
              <w:bottom w:val="nil"/>
              <w:right w:val="nil"/>
            </w:tcBorders>
            <w:shd w:val="clear" w:color="000000" w:fill="FFFFFF"/>
            <w:noWrap/>
            <w:vAlign w:val="center"/>
            <w:hideMark/>
          </w:tcPr>
          <w:p w14:paraId="17C0CB2F"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179,6</w:t>
            </w:r>
          </w:p>
        </w:tc>
        <w:tc>
          <w:tcPr>
            <w:tcW w:w="1313" w:type="dxa"/>
            <w:tcBorders>
              <w:top w:val="nil"/>
              <w:left w:val="nil"/>
              <w:bottom w:val="nil"/>
              <w:right w:val="nil"/>
            </w:tcBorders>
            <w:shd w:val="clear" w:color="000000" w:fill="FFFFFF"/>
            <w:noWrap/>
            <w:vAlign w:val="center"/>
            <w:hideMark/>
          </w:tcPr>
          <w:p w14:paraId="5A3F9035"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163,5</w:t>
            </w:r>
          </w:p>
        </w:tc>
        <w:tc>
          <w:tcPr>
            <w:tcW w:w="1367" w:type="dxa"/>
            <w:tcBorders>
              <w:top w:val="nil"/>
              <w:left w:val="nil"/>
              <w:bottom w:val="nil"/>
              <w:right w:val="nil"/>
            </w:tcBorders>
            <w:shd w:val="clear" w:color="000000" w:fill="FFFFFF"/>
            <w:noWrap/>
            <w:vAlign w:val="center"/>
            <w:hideMark/>
          </w:tcPr>
          <w:p w14:paraId="538C1BB1"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155,7</w:t>
            </w:r>
          </w:p>
        </w:tc>
      </w:tr>
      <w:tr w:rsidR="005967FD" w:rsidRPr="00604ED1" w14:paraId="36A60EB2" w14:textId="77777777" w:rsidTr="002A2551">
        <w:trPr>
          <w:trHeight w:val="299"/>
        </w:trPr>
        <w:tc>
          <w:tcPr>
            <w:tcW w:w="4889" w:type="dxa"/>
            <w:tcBorders>
              <w:top w:val="nil"/>
              <w:left w:val="nil"/>
              <w:bottom w:val="nil"/>
              <w:right w:val="nil"/>
            </w:tcBorders>
            <w:shd w:val="clear" w:color="000000" w:fill="FFFFFF"/>
            <w:noWrap/>
            <w:vAlign w:val="center"/>
            <w:hideMark/>
          </w:tcPr>
          <w:p w14:paraId="7FF1D9D7" w14:textId="77777777"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АД „Србија Воз”</w:t>
            </w:r>
          </w:p>
        </w:tc>
        <w:tc>
          <w:tcPr>
            <w:tcW w:w="1656" w:type="dxa"/>
            <w:tcBorders>
              <w:top w:val="nil"/>
              <w:left w:val="nil"/>
              <w:bottom w:val="nil"/>
              <w:right w:val="nil"/>
            </w:tcBorders>
            <w:shd w:val="clear" w:color="000000" w:fill="FFFFFF"/>
            <w:noWrap/>
            <w:vAlign w:val="center"/>
            <w:hideMark/>
          </w:tcPr>
          <w:p w14:paraId="7C3F04B0"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33,9</w:t>
            </w:r>
          </w:p>
        </w:tc>
        <w:tc>
          <w:tcPr>
            <w:tcW w:w="1313" w:type="dxa"/>
            <w:tcBorders>
              <w:top w:val="nil"/>
              <w:left w:val="nil"/>
              <w:bottom w:val="nil"/>
              <w:right w:val="nil"/>
            </w:tcBorders>
            <w:shd w:val="clear" w:color="000000" w:fill="FFFFFF"/>
            <w:noWrap/>
            <w:vAlign w:val="center"/>
            <w:hideMark/>
          </w:tcPr>
          <w:p w14:paraId="18A3D03F"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99,7</w:t>
            </w:r>
          </w:p>
        </w:tc>
        <w:tc>
          <w:tcPr>
            <w:tcW w:w="1367" w:type="dxa"/>
            <w:tcBorders>
              <w:top w:val="nil"/>
              <w:left w:val="nil"/>
              <w:bottom w:val="nil"/>
              <w:right w:val="nil"/>
            </w:tcBorders>
            <w:shd w:val="clear" w:color="000000" w:fill="FFFFFF"/>
            <w:noWrap/>
            <w:vAlign w:val="center"/>
            <w:hideMark/>
          </w:tcPr>
          <w:p w14:paraId="5F78C18C"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99,4</w:t>
            </w:r>
          </w:p>
        </w:tc>
      </w:tr>
      <w:tr w:rsidR="005967FD" w:rsidRPr="00604ED1" w14:paraId="7FBD5082" w14:textId="77777777" w:rsidTr="002A2551">
        <w:trPr>
          <w:trHeight w:val="299"/>
        </w:trPr>
        <w:tc>
          <w:tcPr>
            <w:tcW w:w="4889" w:type="dxa"/>
            <w:tcBorders>
              <w:top w:val="nil"/>
              <w:left w:val="nil"/>
              <w:bottom w:val="nil"/>
              <w:right w:val="nil"/>
            </w:tcBorders>
            <w:shd w:val="clear" w:color="000000" w:fill="FFFFFF"/>
            <w:noWrap/>
            <w:vAlign w:val="center"/>
            <w:hideMark/>
          </w:tcPr>
          <w:p w14:paraId="1B8E9FA7" w14:textId="77777777"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АД „Железнице Србије”</w:t>
            </w:r>
          </w:p>
        </w:tc>
        <w:tc>
          <w:tcPr>
            <w:tcW w:w="1656" w:type="dxa"/>
            <w:tcBorders>
              <w:top w:val="nil"/>
              <w:left w:val="nil"/>
              <w:bottom w:val="nil"/>
              <w:right w:val="nil"/>
            </w:tcBorders>
            <w:shd w:val="clear" w:color="000000" w:fill="FFFFFF"/>
            <w:noWrap/>
            <w:vAlign w:val="center"/>
            <w:hideMark/>
          </w:tcPr>
          <w:p w14:paraId="498F8D1A"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136,7</w:t>
            </w:r>
          </w:p>
        </w:tc>
        <w:tc>
          <w:tcPr>
            <w:tcW w:w="1313" w:type="dxa"/>
            <w:tcBorders>
              <w:top w:val="nil"/>
              <w:left w:val="nil"/>
              <w:bottom w:val="nil"/>
              <w:right w:val="nil"/>
            </w:tcBorders>
            <w:shd w:val="clear" w:color="000000" w:fill="FFFFFF"/>
            <w:noWrap/>
            <w:vAlign w:val="center"/>
            <w:hideMark/>
          </w:tcPr>
          <w:p w14:paraId="23250A92"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85,1</w:t>
            </w:r>
          </w:p>
        </w:tc>
        <w:tc>
          <w:tcPr>
            <w:tcW w:w="1367" w:type="dxa"/>
            <w:tcBorders>
              <w:top w:val="nil"/>
              <w:left w:val="nil"/>
              <w:bottom w:val="nil"/>
              <w:right w:val="nil"/>
            </w:tcBorders>
            <w:shd w:val="clear" w:color="000000" w:fill="FFFFFF"/>
            <w:noWrap/>
            <w:vAlign w:val="center"/>
            <w:hideMark/>
          </w:tcPr>
          <w:p w14:paraId="5F133AA2"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75,0</w:t>
            </w:r>
          </w:p>
        </w:tc>
      </w:tr>
      <w:tr w:rsidR="005967FD" w:rsidRPr="00604ED1" w14:paraId="0507E3A3" w14:textId="77777777" w:rsidTr="002A2551">
        <w:trPr>
          <w:trHeight w:val="117"/>
        </w:trPr>
        <w:tc>
          <w:tcPr>
            <w:tcW w:w="4889" w:type="dxa"/>
            <w:tcBorders>
              <w:top w:val="nil"/>
              <w:left w:val="nil"/>
              <w:bottom w:val="nil"/>
              <w:right w:val="nil"/>
            </w:tcBorders>
            <w:shd w:val="clear" w:color="000000" w:fill="FFFFFF"/>
            <w:noWrap/>
            <w:vAlign w:val="center"/>
            <w:hideMark/>
          </w:tcPr>
          <w:p w14:paraId="1CC68E81" w14:textId="77777777"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АД „Инфраструктура железнице Србије”</w:t>
            </w:r>
          </w:p>
        </w:tc>
        <w:tc>
          <w:tcPr>
            <w:tcW w:w="1656" w:type="dxa"/>
            <w:tcBorders>
              <w:top w:val="nil"/>
              <w:left w:val="nil"/>
              <w:bottom w:val="nil"/>
              <w:right w:val="nil"/>
            </w:tcBorders>
            <w:shd w:val="clear" w:color="000000" w:fill="FFFFFF"/>
            <w:noWrap/>
            <w:vAlign w:val="center"/>
            <w:hideMark/>
          </w:tcPr>
          <w:p w14:paraId="0855A756"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62,3</w:t>
            </w:r>
          </w:p>
        </w:tc>
        <w:tc>
          <w:tcPr>
            <w:tcW w:w="1313" w:type="dxa"/>
            <w:tcBorders>
              <w:top w:val="nil"/>
              <w:left w:val="nil"/>
              <w:bottom w:val="nil"/>
              <w:right w:val="nil"/>
            </w:tcBorders>
            <w:shd w:val="clear" w:color="000000" w:fill="FFFFFF"/>
            <w:noWrap/>
            <w:vAlign w:val="center"/>
            <w:hideMark/>
          </w:tcPr>
          <w:p w14:paraId="590131C2"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55,2</w:t>
            </w:r>
          </w:p>
        </w:tc>
        <w:tc>
          <w:tcPr>
            <w:tcW w:w="1367" w:type="dxa"/>
            <w:tcBorders>
              <w:top w:val="nil"/>
              <w:left w:val="nil"/>
              <w:bottom w:val="nil"/>
              <w:right w:val="nil"/>
            </w:tcBorders>
            <w:shd w:val="clear" w:color="000000" w:fill="FFFFFF"/>
            <w:noWrap/>
            <w:vAlign w:val="center"/>
            <w:hideMark/>
          </w:tcPr>
          <w:p w14:paraId="1DDEBD10"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49,3</w:t>
            </w:r>
          </w:p>
        </w:tc>
      </w:tr>
      <w:tr w:rsidR="005967FD" w:rsidRPr="00604ED1" w14:paraId="6A4778E0" w14:textId="77777777" w:rsidTr="002A2551">
        <w:trPr>
          <w:trHeight w:val="342"/>
        </w:trPr>
        <w:tc>
          <w:tcPr>
            <w:tcW w:w="4889" w:type="dxa"/>
            <w:tcBorders>
              <w:top w:val="nil"/>
              <w:left w:val="nil"/>
              <w:bottom w:val="nil"/>
              <w:right w:val="nil"/>
            </w:tcBorders>
            <w:shd w:val="clear" w:color="000000" w:fill="FFFFFF"/>
            <w:noWrap/>
            <w:vAlign w:val="center"/>
            <w:hideMark/>
          </w:tcPr>
          <w:p w14:paraId="1AB48902" w14:textId="77777777"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АД „Eлектромрежа Србије”</w:t>
            </w:r>
          </w:p>
        </w:tc>
        <w:tc>
          <w:tcPr>
            <w:tcW w:w="1656" w:type="dxa"/>
            <w:tcBorders>
              <w:top w:val="nil"/>
              <w:left w:val="nil"/>
              <w:bottom w:val="nil"/>
              <w:right w:val="nil"/>
            </w:tcBorders>
            <w:shd w:val="clear" w:color="000000" w:fill="FFFFFF"/>
            <w:noWrap/>
            <w:vAlign w:val="center"/>
            <w:hideMark/>
          </w:tcPr>
          <w:p w14:paraId="1AF8CC53"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33,4</w:t>
            </w:r>
          </w:p>
        </w:tc>
        <w:tc>
          <w:tcPr>
            <w:tcW w:w="1313" w:type="dxa"/>
            <w:tcBorders>
              <w:top w:val="nil"/>
              <w:left w:val="nil"/>
              <w:bottom w:val="nil"/>
              <w:right w:val="nil"/>
            </w:tcBorders>
            <w:shd w:val="clear" w:color="000000" w:fill="FFFFFF"/>
            <w:noWrap/>
            <w:vAlign w:val="center"/>
            <w:hideMark/>
          </w:tcPr>
          <w:p w14:paraId="55C34147"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35,4</w:t>
            </w:r>
          </w:p>
        </w:tc>
        <w:tc>
          <w:tcPr>
            <w:tcW w:w="1367" w:type="dxa"/>
            <w:tcBorders>
              <w:top w:val="nil"/>
              <w:left w:val="nil"/>
              <w:bottom w:val="nil"/>
              <w:right w:val="nil"/>
            </w:tcBorders>
            <w:shd w:val="clear" w:color="000000" w:fill="FFFFFF"/>
            <w:noWrap/>
            <w:vAlign w:val="center"/>
            <w:hideMark/>
          </w:tcPr>
          <w:p w14:paraId="3EAC1251"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33,0</w:t>
            </w:r>
          </w:p>
        </w:tc>
      </w:tr>
      <w:tr w:rsidR="005967FD" w:rsidRPr="00604ED1" w14:paraId="306FF0FF" w14:textId="77777777" w:rsidTr="002A2551">
        <w:trPr>
          <w:trHeight w:val="288"/>
        </w:trPr>
        <w:tc>
          <w:tcPr>
            <w:tcW w:w="4889" w:type="dxa"/>
            <w:tcBorders>
              <w:top w:val="nil"/>
              <w:left w:val="nil"/>
              <w:bottom w:val="nil"/>
              <w:right w:val="nil"/>
            </w:tcBorders>
            <w:shd w:val="clear" w:color="000000" w:fill="FFFFFF"/>
            <w:noWrap/>
            <w:vAlign w:val="center"/>
            <w:hideMark/>
          </w:tcPr>
          <w:p w14:paraId="52F52634" w14:textId="77777777"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ЈП Скијалишта Србије</w:t>
            </w:r>
          </w:p>
        </w:tc>
        <w:tc>
          <w:tcPr>
            <w:tcW w:w="1656" w:type="dxa"/>
            <w:tcBorders>
              <w:top w:val="nil"/>
              <w:left w:val="nil"/>
              <w:bottom w:val="nil"/>
              <w:right w:val="nil"/>
            </w:tcBorders>
            <w:shd w:val="clear" w:color="000000" w:fill="FFFFFF"/>
            <w:noWrap/>
            <w:vAlign w:val="center"/>
            <w:hideMark/>
          </w:tcPr>
          <w:p w14:paraId="21C78A42"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26,8</w:t>
            </w:r>
          </w:p>
        </w:tc>
        <w:tc>
          <w:tcPr>
            <w:tcW w:w="1313" w:type="dxa"/>
            <w:tcBorders>
              <w:top w:val="nil"/>
              <w:left w:val="nil"/>
              <w:bottom w:val="nil"/>
              <w:right w:val="nil"/>
            </w:tcBorders>
            <w:shd w:val="clear" w:color="000000" w:fill="FFFFFF"/>
            <w:noWrap/>
            <w:vAlign w:val="center"/>
            <w:hideMark/>
          </w:tcPr>
          <w:p w14:paraId="7F0FD8FE"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24,5</w:t>
            </w:r>
          </w:p>
        </w:tc>
        <w:tc>
          <w:tcPr>
            <w:tcW w:w="1367" w:type="dxa"/>
            <w:tcBorders>
              <w:top w:val="nil"/>
              <w:left w:val="nil"/>
              <w:bottom w:val="nil"/>
              <w:right w:val="nil"/>
            </w:tcBorders>
            <w:shd w:val="clear" w:color="000000" w:fill="FFFFFF"/>
            <w:noWrap/>
            <w:vAlign w:val="center"/>
            <w:hideMark/>
          </w:tcPr>
          <w:p w14:paraId="1E04925E"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21,8</w:t>
            </w:r>
          </w:p>
        </w:tc>
      </w:tr>
      <w:tr w:rsidR="005967FD" w:rsidRPr="00604ED1" w14:paraId="27A2D375" w14:textId="77777777" w:rsidTr="002A2551">
        <w:trPr>
          <w:trHeight w:val="243"/>
        </w:trPr>
        <w:tc>
          <w:tcPr>
            <w:tcW w:w="4889" w:type="dxa"/>
            <w:tcBorders>
              <w:top w:val="nil"/>
              <w:left w:val="nil"/>
              <w:bottom w:val="nil"/>
              <w:right w:val="nil"/>
            </w:tcBorders>
            <w:shd w:val="clear" w:color="000000" w:fill="FFFFFF"/>
            <w:noWrap/>
            <w:vAlign w:val="center"/>
            <w:hideMark/>
          </w:tcPr>
          <w:p w14:paraId="517D401A" w14:textId="77777777"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АД „Србија Карго”</w:t>
            </w:r>
          </w:p>
        </w:tc>
        <w:tc>
          <w:tcPr>
            <w:tcW w:w="1656" w:type="dxa"/>
            <w:tcBorders>
              <w:top w:val="nil"/>
              <w:left w:val="nil"/>
              <w:bottom w:val="nil"/>
              <w:right w:val="nil"/>
            </w:tcBorders>
            <w:shd w:val="clear" w:color="000000" w:fill="FFFFFF"/>
            <w:noWrap/>
            <w:vAlign w:val="center"/>
            <w:hideMark/>
          </w:tcPr>
          <w:p w14:paraId="4D10FAA3"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36,7</w:t>
            </w:r>
          </w:p>
        </w:tc>
        <w:tc>
          <w:tcPr>
            <w:tcW w:w="1313" w:type="dxa"/>
            <w:tcBorders>
              <w:top w:val="nil"/>
              <w:left w:val="nil"/>
              <w:bottom w:val="nil"/>
              <w:right w:val="nil"/>
            </w:tcBorders>
            <w:shd w:val="clear" w:color="000000" w:fill="FFFFFF"/>
            <w:noWrap/>
            <w:vAlign w:val="center"/>
            <w:hideMark/>
          </w:tcPr>
          <w:p w14:paraId="1F6C2D36"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26,2</w:t>
            </w:r>
          </w:p>
        </w:tc>
        <w:tc>
          <w:tcPr>
            <w:tcW w:w="1367" w:type="dxa"/>
            <w:tcBorders>
              <w:top w:val="nil"/>
              <w:left w:val="nil"/>
              <w:bottom w:val="nil"/>
              <w:right w:val="nil"/>
            </w:tcBorders>
            <w:shd w:val="clear" w:color="000000" w:fill="FFFFFF"/>
            <w:noWrap/>
            <w:vAlign w:val="center"/>
            <w:hideMark/>
          </w:tcPr>
          <w:p w14:paraId="140F3CF9"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21,4</w:t>
            </w:r>
          </w:p>
        </w:tc>
      </w:tr>
      <w:tr w:rsidR="005967FD" w:rsidRPr="00604ED1" w14:paraId="6E024204" w14:textId="77777777" w:rsidTr="002A2551">
        <w:trPr>
          <w:trHeight w:val="299"/>
        </w:trPr>
        <w:tc>
          <w:tcPr>
            <w:tcW w:w="4889" w:type="dxa"/>
            <w:tcBorders>
              <w:top w:val="nil"/>
              <w:left w:val="nil"/>
              <w:bottom w:val="nil"/>
              <w:right w:val="nil"/>
            </w:tcBorders>
            <w:shd w:val="clear" w:color="000000" w:fill="FFFFFF"/>
            <w:noWrap/>
            <w:vAlign w:val="center"/>
            <w:hideMark/>
          </w:tcPr>
          <w:p w14:paraId="2C96EF6B" w14:textId="77777777"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 xml:space="preserve">ЈП Југоимпорт - СДПР </w:t>
            </w:r>
          </w:p>
        </w:tc>
        <w:tc>
          <w:tcPr>
            <w:tcW w:w="1656" w:type="dxa"/>
            <w:tcBorders>
              <w:top w:val="nil"/>
              <w:left w:val="nil"/>
              <w:bottom w:val="nil"/>
              <w:right w:val="nil"/>
            </w:tcBorders>
            <w:shd w:val="clear" w:color="000000" w:fill="FFFFFF"/>
            <w:noWrap/>
            <w:vAlign w:val="center"/>
            <w:hideMark/>
          </w:tcPr>
          <w:p w14:paraId="356BB363"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10,0</w:t>
            </w:r>
          </w:p>
        </w:tc>
        <w:tc>
          <w:tcPr>
            <w:tcW w:w="1313" w:type="dxa"/>
            <w:tcBorders>
              <w:top w:val="nil"/>
              <w:left w:val="nil"/>
              <w:bottom w:val="nil"/>
              <w:right w:val="nil"/>
            </w:tcBorders>
            <w:shd w:val="clear" w:color="000000" w:fill="FFFFFF"/>
            <w:noWrap/>
            <w:vAlign w:val="center"/>
            <w:hideMark/>
          </w:tcPr>
          <w:p w14:paraId="7FCDBCCB"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9,5</w:t>
            </w:r>
          </w:p>
        </w:tc>
        <w:tc>
          <w:tcPr>
            <w:tcW w:w="1367" w:type="dxa"/>
            <w:tcBorders>
              <w:top w:val="nil"/>
              <w:left w:val="nil"/>
              <w:bottom w:val="nil"/>
              <w:right w:val="nil"/>
            </w:tcBorders>
            <w:shd w:val="clear" w:color="000000" w:fill="FFFFFF"/>
            <w:noWrap/>
            <w:vAlign w:val="center"/>
            <w:hideMark/>
          </w:tcPr>
          <w:p w14:paraId="12D0C42A"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9,1</w:t>
            </w:r>
          </w:p>
        </w:tc>
      </w:tr>
      <w:tr w:rsidR="005967FD" w:rsidRPr="00604ED1" w14:paraId="4284EE72" w14:textId="77777777" w:rsidTr="002A2551">
        <w:trPr>
          <w:trHeight w:val="299"/>
        </w:trPr>
        <w:tc>
          <w:tcPr>
            <w:tcW w:w="4889" w:type="dxa"/>
            <w:tcBorders>
              <w:top w:val="nil"/>
              <w:left w:val="nil"/>
              <w:bottom w:val="nil"/>
              <w:right w:val="nil"/>
            </w:tcBorders>
            <w:shd w:val="clear" w:color="000000" w:fill="FFFFFF"/>
            <w:noWrap/>
            <w:vAlign w:val="center"/>
            <w:hideMark/>
          </w:tcPr>
          <w:p w14:paraId="67AB8D96" w14:textId="77777777"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ЈП Емисиона техника и везе</w:t>
            </w:r>
          </w:p>
        </w:tc>
        <w:tc>
          <w:tcPr>
            <w:tcW w:w="1656" w:type="dxa"/>
            <w:tcBorders>
              <w:top w:val="nil"/>
              <w:left w:val="nil"/>
              <w:bottom w:val="nil"/>
              <w:right w:val="nil"/>
            </w:tcBorders>
            <w:shd w:val="clear" w:color="000000" w:fill="FFFFFF"/>
            <w:noWrap/>
            <w:vAlign w:val="center"/>
            <w:hideMark/>
          </w:tcPr>
          <w:p w14:paraId="3B639054"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5,6</w:t>
            </w:r>
          </w:p>
        </w:tc>
        <w:tc>
          <w:tcPr>
            <w:tcW w:w="1313" w:type="dxa"/>
            <w:tcBorders>
              <w:top w:val="nil"/>
              <w:left w:val="nil"/>
              <w:bottom w:val="nil"/>
              <w:right w:val="nil"/>
            </w:tcBorders>
            <w:shd w:val="clear" w:color="000000" w:fill="FFFFFF"/>
            <w:noWrap/>
            <w:vAlign w:val="center"/>
            <w:hideMark/>
          </w:tcPr>
          <w:p w14:paraId="75A4C260"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3,3</w:t>
            </w:r>
          </w:p>
        </w:tc>
        <w:tc>
          <w:tcPr>
            <w:tcW w:w="1367" w:type="dxa"/>
            <w:tcBorders>
              <w:top w:val="nil"/>
              <w:left w:val="nil"/>
              <w:bottom w:val="nil"/>
              <w:right w:val="nil"/>
            </w:tcBorders>
            <w:shd w:val="clear" w:color="000000" w:fill="FFFFFF"/>
            <w:noWrap/>
            <w:vAlign w:val="center"/>
            <w:hideMark/>
          </w:tcPr>
          <w:p w14:paraId="4CC1D13D"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2,2</w:t>
            </w:r>
          </w:p>
        </w:tc>
      </w:tr>
      <w:tr w:rsidR="005967FD" w:rsidRPr="00604ED1" w14:paraId="4D1555EA" w14:textId="77777777" w:rsidTr="002A2551">
        <w:trPr>
          <w:trHeight w:val="299"/>
        </w:trPr>
        <w:tc>
          <w:tcPr>
            <w:tcW w:w="4889" w:type="dxa"/>
            <w:tcBorders>
              <w:top w:val="nil"/>
              <w:left w:val="nil"/>
              <w:bottom w:val="nil"/>
              <w:right w:val="nil"/>
            </w:tcBorders>
            <w:shd w:val="clear" w:color="000000" w:fill="FFFFFF"/>
            <w:noWrap/>
            <w:vAlign w:val="center"/>
            <w:hideMark/>
          </w:tcPr>
          <w:p w14:paraId="00BC6ABA" w14:textId="77777777"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Електродистрибуција Србије д.о.о.</w:t>
            </w:r>
          </w:p>
        </w:tc>
        <w:tc>
          <w:tcPr>
            <w:tcW w:w="1656" w:type="dxa"/>
            <w:tcBorders>
              <w:top w:val="nil"/>
              <w:left w:val="nil"/>
              <w:bottom w:val="nil"/>
              <w:right w:val="nil"/>
            </w:tcBorders>
            <w:shd w:val="clear" w:color="000000" w:fill="FFFFFF"/>
            <w:noWrap/>
            <w:vAlign w:val="center"/>
            <w:hideMark/>
          </w:tcPr>
          <w:p w14:paraId="575716D8"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0,4</w:t>
            </w:r>
          </w:p>
        </w:tc>
        <w:tc>
          <w:tcPr>
            <w:tcW w:w="1313" w:type="dxa"/>
            <w:tcBorders>
              <w:top w:val="nil"/>
              <w:left w:val="nil"/>
              <w:bottom w:val="nil"/>
              <w:right w:val="nil"/>
            </w:tcBorders>
            <w:shd w:val="clear" w:color="000000" w:fill="FFFFFF"/>
            <w:noWrap/>
            <w:vAlign w:val="center"/>
            <w:hideMark/>
          </w:tcPr>
          <w:p w14:paraId="43143BEE"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0,7</w:t>
            </w:r>
          </w:p>
        </w:tc>
        <w:tc>
          <w:tcPr>
            <w:tcW w:w="1367" w:type="dxa"/>
            <w:tcBorders>
              <w:top w:val="nil"/>
              <w:left w:val="nil"/>
              <w:bottom w:val="nil"/>
              <w:right w:val="nil"/>
            </w:tcBorders>
            <w:shd w:val="clear" w:color="000000" w:fill="FFFFFF"/>
            <w:noWrap/>
            <w:vAlign w:val="center"/>
            <w:hideMark/>
          </w:tcPr>
          <w:p w14:paraId="7A4BE822"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0,7</w:t>
            </w:r>
          </w:p>
        </w:tc>
      </w:tr>
      <w:tr w:rsidR="005967FD" w:rsidRPr="00604ED1" w14:paraId="797A5B1E" w14:textId="77777777" w:rsidTr="002A2551">
        <w:trPr>
          <w:trHeight w:val="90"/>
        </w:trPr>
        <w:tc>
          <w:tcPr>
            <w:tcW w:w="4889" w:type="dxa"/>
            <w:tcBorders>
              <w:top w:val="nil"/>
              <w:left w:val="nil"/>
              <w:bottom w:val="nil"/>
              <w:right w:val="nil"/>
            </w:tcBorders>
            <w:shd w:val="clear" w:color="000000" w:fill="FFFFFF"/>
            <w:noWrap/>
            <w:vAlign w:val="center"/>
            <w:hideMark/>
          </w:tcPr>
          <w:p w14:paraId="468DCBB2" w14:textId="77777777"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Јат Техника д.о.о.</w:t>
            </w:r>
          </w:p>
        </w:tc>
        <w:tc>
          <w:tcPr>
            <w:tcW w:w="1656" w:type="dxa"/>
            <w:tcBorders>
              <w:top w:val="nil"/>
              <w:left w:val="nil"/>
              <w:bottom w:val="nil"/>
              <w:right w:val="nil"/>
            </w:tcBorders>
            <w:shd w:val="clear" w:color="000000" w:fill="FFFFFF"/>
            <w:noWrap/>
            <w:vAlign w:val="center"/>
            <w:hideMark/>
          </w:tcPr>
          <w:p w14:paraId="48CC55C3"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2,0</w:t>
            </w:r>
          </w:p>
        </w:tc>
        <w:tc>
          <w:tcPr>
            <w:tcW w:w="1313" w:type="dxa"/>
            <w:tcBorders>
              <w:top w:val="nil"/>
              <w:left w:val="nil"/>
              <w:bottom w:val="nil"/>
              <w:right w:val="nil"/>
            </w:tcBorders>
            <w:shd w:val="clear" w:color="000000" w:fill="FFFFFF"/>
            <w:noWrap/>
            <w:vAlign w:val="center"/>
            <w:hideMark/>
          </w:tcPr>
          <w:p w14:paraId="6202FB78"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1,4</w:t>
            </w:r>
          </w:p>
        </w:tc>
        <w:tc>
          <w:tcPr>
            <w:tcW w:w="1367" w:type="dxa"/>
            <w:tcBorders>
              <w:top w:val="nil"/>
              <w:left w:val="nil"/>
              <w:bottom w:val="nil"/>
              <w:right w:val="nil"/>
            </w:tcBorders>
            <w:shd w:val="clear" w:color="000000" w:fill="FFFFFF"/>
            <w:noWrap/>
            <w:vAlign w:val="center"/>
            <w:hideMark/>
          </w:tcPr>
          <w:p w14:paraId="27761E6F"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0,1</w:t>
            </w:r>
          </w:p>
        </w:tc>
      </w:tr>
      <w:tr w:rsidR="005967FD" w:rsidRPr="00604ED1" w14:paraId="00BF1CC3" w14:textId="77777777" w:rsidTr="002A2551">
        <w:trPr>
          <w:trHeight w:val="299"/>
        </w:trPr>
        <w:tc>
          <w:tcPr>
            <w:tcW w:w="4889" w:type="dxa"/>
            <w:tcBorders>
              <w:top w:val="nil"/>
              <w:left w:val="nil"/>
              <w:bottom w:val="nil"/>
              <w:right w:val="nil"/>
            </w:tcBorders>
            <w:shd w:val="clear" w:color="000000" w:fill="FFFFFF"/>
            <w:noWrap/>
            <w:vAlign w:val="center"/>
            <w:hideMark/>
          </w:tcPr>
          <w:p w14:paraId="66068316" w14:textId="77777777" w:rsidR="005967FD" w:rsidRPr="00604ED1" w:rsidRDefault="005967FD" w:rsidP="002A2551">
            <w:pPr>
              <w:spacing w:after="0" w:line="240" w:lineRule="auto"/>
              <w:jc w:val="lef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Агенција за контролу летења Србије и Црне Горе</w:t>
            </w:r>
          </w:p>
        </w:tc>
        <w:tc>
          <w:tcPr>
            <w:tcW w:w="1656" w:type="dxa"/>
            <w:tcBorders>
              <w:top w:val="nil"/>
              <w:left w:val="nil"/>
              <w:bottom w:val="nil"/>
              <w:right w:val="nil"/>
            </w:tcBorders>
            <w:shd w:val="clear" w:color="000000" w:fill="FFFFFF"/>
            <w:noWrap/>
            <w:vAlign w:val="center"/>
            <w:hideMark/>
          </w:tcPr>
          <w:p w14:paraId="22DFC021"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0,3</w:t>
            </w:r>
          </w:p>
        </w:tc>
        <w:tc>
          <w:tcPr>
            <w:tcW w:w="1313" w:type="dxa"/>
            <w:tcBorders>
              <w:top w:val="nil"/>
              <w:left w:val="nil"/>
              <w:bottom w:val="nil"/>
              <w:right w:val="nil"/>
            </w:tcBorders>
            <w:shd w:val="clear" w:color="000000" w:fill="FFFFFF"/>
            <w:noWrap/>
            <w:vAlign w:val="center"/>
            <w:hideMark/>
          </w:tcPr>
          <w:p w14:paraId="7CDA835B"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0,0</w:t>
            </w:r>
          </w:p>
        </w:tc>
        <w:tc>
          <w:tcPr>
            <w:tcW w:w="1367" w:type="dxa"/>
            <w:tcBorders>
              <w:top w:val="nil"/>
              <w:left w:val="nil"/>
              <w:bottom w:val="nil"/>
              <w:right w:val="nil"/>
            </w:tcBorders>
            <w:shd w:val="clear" w:color="000000" w:fill="FFFFFF"/>
            <w:noWrap/>
            <w:vAlign w:val="center"/>
            <w:hideMark/>
          </w:tcPr>
          <w:p w14:paraId="65EE444D" w14:textId="77777777" w:rsidR="005967FD" w:rsidRPr="00604ED1" w:rsidRDefault="005967FD" w:rsidP="002A2551">
            <w:pPr>
              <w:spacing w:after="0" w:line="240" w:lineRule="auto"/>
              <w:jc w:val="right"/>
              <w:rPr>
                <w:rFonts w:ascii="Calibri" w:eastAsia="Times New Roman" w:hAnsi="Calibri" w:cs="Calibri"/>
                <w:color w:val="203764"/>
                <w:sz w:val="18"/>
                <w:szCs w:val="18"/>
                <w:lang w:val="sr-Cyrl-RS"/>
              </w:rPr>
            </w:pPr>
            <w:r w:rsidRPr="00604ED1">
              <w:rPr>
                <w:rFonts w:ascii="Calibri" w:eastAsia="Times New Roman" w:hAnsi="Calibri" w:cs="Calibri"/>
                <w:color w:val="203764"/>
                <w:sz w:val="18"/>
                <w:szCs w:val="18"/>
                <w:lang w:val="sr-Cyrl-RS"/>
              </w:rPr>
              <w:t>0,0</w:t>
            </w:r>
          </w:p>
        </w:tc>
      </w:tr>
      <w:tr w:rsidR="005967FD" w:rsidRPr="00604ED1" w14:paraId="759449A9" w14:textId="77777777" w:rsidTr="002A2551">
        <w:trPr>
          <w:trHeight w:val="358"/>
        </w:trPr>
        <w:tc>
          <w:tcPr>
            <w:tcW w:w="4889" w:type="dxa"/>
            <w:tcBorders>
              <w:top w:val="single" w:sz="4" w:space="0" w:color="203764"/>
              <w:left w:val="nil"/>
              <w:bottom w:val="single" w:sz="4" w:space="0" w:color="203764"/>
              <w:right w:val="nil"/>
            </w:tcBorders>
            <w:shd w:val="clear" w:color="000000" w:fill="FFFFFF"/>
            <w:noWrap/>
            <w:vAlign w:val="center"/>
            <w:hideMark/>
          </w:tcPr>
          <w:p w14:paraId="3EBF0FB3" w14:textId="77777777" w:rsidR="005967FD" w:rsidRPr="00604ED1" w:rsidRDefault="005967FD" w:rsidP="002A2551">
            <w:pPr>
              <w:spacing w:after="0" w:line="240" w:lineRule="auto"/>
              <w:jc w:val="left"/>
              <w:rPr>
                <w:rFonts w:ascii="Calibri" w:eastAsia="Times New Roman" w:hAnsi="Calibri" w:cs="Calibri"/>
                <w:b/>
                <w:bCs/>
                <w:color w:val="203764"/>
                <w:sz w:val="18"/>
                <w:szCs w:val="18"/>
                <w:lang w:val="sr-Cyrl-RS"/>
              </w:rPr>
            </w:pPr>
            <w:r w:rsidRPr="00604ED1">
              <w:rPr>
                <w:rFonts w:ascii="Calibri" w:eastAsia="Times New Roman" w:hAnsi="Calibri" w:cs="Calibri"/>
                <w:b/>
                <w:bCs/>
                <w:color w:val="203764"/>
                <w:sz w:val="18"/>
                <w:szCs w:val="18"/>
                <w:lang w:val="sr-Cyrl-RS"/>
              </w:rPr>
              <w:t>УКУПНО:</w:t>
            </w:r>
          </w:p>
        </w:tc>
        <w:tc>
          <w:tcPr>
            <w:tcW w:w="1656" w:type="dxa"/>
            <w:tcBorders>
              <w:top w:val="single" w:sz="4" w:space="0" w:color="203764"/>
              <w:left w:val="nil"/>
              <w:bottom w:val="single" w:sz="4" w:space="0" w:color="203764"/>
              <w:right w:val="nil"/>
            </w:tcBorders>
            <w:shd w:val="clear" w:color="000000" w:fill="FFFFFF"/>
            <w:noWrap/>
            <w:vAlign w:val="center"/>
            <w:hideMark/>
          </w:tcPr>
          <w:p w14:paraId="42CA1BF9" w14:textId="77777777" w:rsidR="005967FD" w:rsidRPr="00604ED1" w:rsidRDefault="005967FD" w:rsidP="002A2551">
            <w:pPr>
              <w:spacing w:after="0" w:line="240" w:lineRule="auto"/>
              <w:jc w:val="right"/>
              <w:rPr>
                <w:rFonts w:ascii="Calibri" w:eastAsia="Times New Roman" w:hAnsi="Calibri" w:cs="Calibri"/>
                <w:b/>
                <w:bCs/>
                <w:color w:val="203764"/>
                <w:sz w:val="18"/>
                <w:szCs w:val="18"/>
                <w:lang w:val="sr-Cyrl-RS"/>
              </w:rPr>
            </w:pPr>
            <w:r w:rsidRPr="00604ED1">
              <w:rPr>
                <w:rFonts w:ascii="Calibri" w:eastAsia="Times New Roman" w:hAnsi="Calibri" w:cs="Calibri"/>
                <w:b/>
                <w:bCs/>
                <w:color w:val="203764"/>
                <w:sz w:val="18"/>
                <w:szCs w:val="18"/>
                <w:lang w:val="sr-Cyrl-RS"/>
              </w:rPr>
              <w:t>1.382,2</w:t>
            </w:r>
          </w:p>
        </w:tc>
        <w:tc>
          <w:tcPr>
            <w:tcW w:w="1313" w:type="dxa"/>
            <w:tcBorders>
              <w:top w:val="single" w:sz="4" w:space="0" w:color="203764"/>
              <w:left w:val="nil"/>
              <w:bottom w:val="single" w:sz="4" w:space="0" w:color="203764"/>
              <w:right w:val="nil"/>
            </w:tcBorders>
            <w:shd w:val="clear" w:color="000000" w:fill="FFFFFF"/>
            <w:noWrap/>
            <w:vAlign w:val="center"/>
            <w:hideMark/>
          </w:tcPr>
          <w:p w14:paraId="5E9FEB82" w14:textId="77777777" w:rsidR="005967FD" w:rsidRPr="00604ED1" w:rsidRDefault="005967FD" w:rsidP="002A2551">
            <w:pPr>
              <w:spacing w:after="0" w:line="240" w:lineRule="auto"/>
              <w:jc w:val="right"/>
              <w:rPr>
                <w:rFonts w:ascii="Calibri" w:eastAsia="Times New Roman" w:hAnsi="Calibri" w:cs="Calibri"/>
                <w:b/>
                <w:bCs/>
                <w:color w:val="203764"/>
                <w:sz w:val="18"/>
                <w:szCs w:val="18"/>
                <w:lang w:val="sr-Cyrl-RS"/>
              </w:rPr>
            </w:pPr>
            <w:r w:rsidRPr="00604ED1">
              <w:rPr>
                <w:rFonts w:ascii="Calibri" w:eastAsia="Times New Roman" w:hAnsi="Calibri" w:cs="Calibri"/>
                <w:b/>
                <w:bCs/>
                <w:color w:val="203764"/>
                <w:sz w:val="18"/>
                <w:szCs w:val="18"/>
                <w:lang w:val="sr-Cyrl-RS"/>
              </w:rPr>
              <w:t>1.545,9</w:t>
            </w:r>
          </w:p>
        </w:tc>
        <w:tc>
          <w:tcPr>
            <w:tcW w:w="1367" w:type="dxa"/>
            <w:tcBorders>
              <w:top w:val="single" w:sz="4" w:space="0" w:color="203764"/>
              <w:left w:val="nil"/>
              <w:bottom w:val="single" w:sz="4" w:space="0" w:color="203764"/>
              <w:right w:val="nil"/>
            </w:tcBorders>
            <w:shd w:val="clear" w:color="000000" w:fill="FFFFFF"/>
            <w:noWrap/>
            <w:vAlign w:val="center"/>
            <w:hideMark/>
          </w:tcPr>
          <w:p w14:paraId="381AC214" w14:textId="77777777" w:rsidR="005967FD" w:rsidRPr="00604ED1" w:rsidRDefault="005967FD" w:rsidP="002A2551">
            <w:pPr>
              <w:spacing w:after="0" w:line="240" w:lineRule="auto"/>
              <w:jc w:val="right"/>
              <w:rPr>
                <w:rFonts w:ascii="Calibri" w:eastAsia="Times New Roman" w:hAnsi="Calibri" w:cs="Calibri"/>
                <w:b/>
                <w:bCs/>
                <w:color w:val="203764"/>
                <w:sz w:val="18"/>
                <w:szCs w:val="18"/>
                <w:lang w:val="sr-Cyrl-RS"/>
              </w:rPr>
            </w:pPr>
            <w:r w:rsidRPr="00604ED1">
              <w:rPr>
                <w:rFonts w:ascii="Calibri" w:eastAsia="Times New Roman" w:hAnsi="Calibri" w:cs="Calibri"/>
                <w:b/>
                <w:bCs/>
                <w:color w:val="203764"/>
                <w:sz w:val="18"/>
                <w:szCs w:val="18"/>
                <w:lang w:val="sr-Cyrl-RS"/>
              </w:rPr>
              <w:t>1.756,5</w:t>
            </w:r>
          </w:p>
        </w:tc>
      </w:tr>
    </w:tbl>
    <w:p w14:paraId="54DAD4C6" w14:textId="77777777" w:rsidR="005967FD" w:rsidRPr="00B11332" w:rsidRDefault="005967FD" w:rsidP="002A2551">
      <w:pPr>
        <w:spacing w:after="120" w:line="276" w:lineRule="auto"/>
        <w:rPr>
          <w:rFonts w:eastAsia="MS PGothic" w:cstheme="minorHAnsi"/>
          <w:sz w:val="16"/>
          <w:szCs w:val="16"/>
          <w:lang w:val="sr-Cyrl-RS" w:eastAsia="ja-JP"/>
        </w:rPr>
        <w:sectPr w:rsidR="005967FD" w:rsidRPr="00B11332" w:rsidSect="002A2551">
          <w:type w:val="continuous"/>
          <w:pgSz w:w="12240" w:h="15840"/>
          <w:pgMar w:top="1440" w:right="1440" w:bottom="1440" w:left="1440" w:header="720" w:footer="720" w:gutter="0"/>
          <w:cols w:space="720"/>
          <w:docGrid w:linePitch="360"/>
          <w15:footnoteColumns w:val="1"/>
        </w:sectPr>
      </w:pPr>
      <w:r w:rsidRPr="00604ED1">
        <w:rPr>
          <w:rFonts w:eastAsia="MS PGothic" w:cstheme="minorHAnsi"/>
          <w:sz w:val="18"/>
          <w:szCs w:val="18"/>
          <w:lang w:val="sr-Cyrl-RS" w:eastAsia="ja-JP"/>
        </w:rPr>
        <w:t xml:space="preserve">   </w:t>
      </w:r>
      <w:r w:rsidRPr="00B11332">
        <w:rPr>
          <w:rFonts w:eastAsia="MS PGothic" w:cstheme="minorHAnsi"/>
          <w:sz w:val="16"/>
          <w:szCs w:val="16"/>
          <w:lang w:val="sr-Cyrl-RS" w:eastAsia="ja-JP"/>
        </w:rPr>
        <w:t>Извор: Министарство финансија, Управа за јавни дуг</w:t>
      </w:r>
    </w:p>
    <w:p w14:paraId="6A219DD9" w14:textId="4C478690" w:rsidR="005967FD" w:rsidRDefault="005967FD" w:rsidP="002A2551">
      <w:pPr>
        <w:rPr>
          <w:rFonts w:eastAsia="MS PGothic" w:cstheme="minorHAnsi"/>
          <w:szCs w:val="20"/>
          <w:lang w:val="sr-Cyrl-RS" w:eastAsia="ja-JP"/>
        </w:rPr>
      </w:pPr>
      <w:r w:rsidRPr="00604ED1">
        <w:rPr>
          <w:rFonts w:eastAsia="MS PGothic" w:cstheme="minorHAnsi"/>
          <w:szCs w:val="20"/>
          <w:lang w:val="sr-Cyrl-RS" w:eastAsia="ja-JP"/>
        </w:rPr>
        <w:t>Главнице по основу гарантованих кредита, сервисиране из буџета Републике Србије у 2022. години износила је 21,</w:t>
      </w:r>
      <w:r w:rsidR="0051665F">
        <w:rPr>
          <w:rFonts w:eastAsia="MS PGothic" w:cstheme="minorHAnsi"/>
          <w:szCs w:val="20"/>
          <w:lang w:val="sr-Cyrl-RS" w:eastAsia="ja-JP"/>
        </w:rPr>
        <w:t>3</w:t>
      </w:r>
      <w:r w:rsidRPr="00604ED1">
        <w:rPr>
          <w:rFonts w:eastAsia="MS PGothic" w:cstheme="minorHAnsi"/>
          <w:szCs w:val="20"/>
          <w:lang w:val="sr-Cyrl-RS" w:eastAsia="ja-JP"/>
        </w:rPr>
        <w:t xml:space="preserve"> млрд динара, од чега 17,7 </w:t>
      </w:r>
      <w:r w:rsidRPr="00604ED1">
        <w:rPr>
          <w:rFonts w:eastAsia="MS PGothic" w:cstheme="minorHAnsi"/>
          <w:szCs w:val="20"/>
          <w:lang w:val="sr-Cyrl-RS" w:eastAsia="ja-JP"/>
        </w:rPr>
        <w:t>млрд динара утиче на дефицит. Рачуноводствена методологија, до 2014. године, није у расходе укључивала отплате по основу гаранција</w:t>
      </w:r>
      <w:r w:rsidRPr="00604ED1">
        <w:rPr>
          <w:rFonts w:eastAsia="MS PGothic" w:cstheme="minorHAnsi"/>
          <w:szCs w:val="20"/>
          <w:vertAlign w:val="superscript"/>
          <w:lang w:val="sr-Cyrl-RS" w:eastAsia="ja-JP"/>
        </w:rPr>
        <w:footnoteReference w:id="7"/>
      </w:r>
      <w:r w:rsidRPr="00604ED1">
        <w:rPr>
          <w:rFonts w:eastAsia="MS PGothic" w:cstheme="minorHAnsi"/>
          <w:szCs w:val="20"/>
          <w:lang w:val="sr-Cyrl-RS" w:eastAsia="ja-JP"/>
        </w:rPr>
        <w:t>.</w:t>
      </w:r>
    </w:p>
    <w:p w14:paraId="26B17995" w14:textId="77777777" w:rsidR="005967FD" w:rsidRDefault="005967FD" w:rsidP="002A2551">
      <w:pPr>
        <w:rPr>
          <w:rFonts w:eastAsia="MS PGothic" w:cstheme="minorHAnsi"/>
          <w:szCs w:val="20"/>
          <w:lang w:val="sr-Cyrl-RS" w:eastAsia="ja-JP"/>
        </w:rPr>
        <w:sectPr w:rsidR="005967FD" w:rsidSect="002A2551">
          <w:type w:val="continuous"/>
          <w:pgSz w:w="12240" w:h="15840"/>
          <w:pgMar w:top="1440" w:right="1440" w:bottom="1440" w:left="1440" w:header="720" w:footer="720" w:gutter="0"/>
          <w:cols w:num="2" w:space="720"/>
          <w:docGrid w:linePitch="360"/>
          <w15:footnoteColumns w:val="1"/>
        </w:sectPr>
      </w:pPr>
    </w:p>
    <w:p w14:paraId="01920440" w14:textId="77777777" w:rsidR="005967FD" w:rsidRDefault="005967FD" w:rsidP="002A2551">
      <w:pPr>
        <w:rPr>
          <w:rFonts w:eastAsia="MS PGothic" w:cstheme="minorHAnsi"/>
          <w:szCs w:val="20"/>
          <w:lang w:val="sr-Cyrl-RS" w:eastAsia="ja-JP"/>
        </w:rPr>
      </w:pPr>
    </w:p>
    <w:p w14:paraId="59B9CACA" w14:textId="77777777" w:rsidR="005967FD" w:rsidRDefault="005967FD" w:rsidP="002A2551">
      <w:pPr>
        <w:spacing w:after="480"/>
        <w:rPr>
          <w:rFonts w:eastAsia="MS PGothic" w:cstheme="minorHAnsi"/>
          <w:szCs w:val="20"/>
          <w:lang w:val="sr-Cyrl-RS" w:eastAsia="ja-JP"/>
        </w:rPr>
      </w:pPr>
      <w:r w:rsidRPr="00604ED1">
        <w:rPr>
          <w:rFonts w:eastAsia="MS PGothic" w:cstheme="minorHAnsi"/>
          <w:szCs w:val="20"/>
          <w:lang w:val="sr-Cyrl-RS" w:eastAsia="ja-JP"/>
        </w:rPr>
        <w:lastRenderedPageBreak/>
        <w:t>Од 2014. године део ових расхода је укључен у расходе буџета</w:t>
      </w:r>
      <w:r w:rsidRPr="00604ED1">
        <w:rPr>
          <w:rFonts w:eastAsia="MS PGothic" w:cstheme="minorHAnsi"/>
          <w:szCs w:val="20"/>
          <w:vertAlign w:val="superscript"/>
          <w:lang w:val="sr-Cyrl-RS" w:eastAsia="ja-JP"/>
        </w:rPr>
        <w:footnoteReference w:id="8"/>
      </w:r>
      <w:r w:rsidRPr="00604ED1">
        <w:rPr>
          <w:rFonts w:eastAsia="MS PGothic" w:cstheme="minorHAnsi"/>
          <w:szCs w:val="20"/>
          <w:lang w:val="sr-Cyrl-RS" w:eastAsia="ja-JP"/>
        </w:rPr>
        <w:t xml:space="preserve">. Независно од буџетског и рачуноводственог приказа, дуг који уместо главног </w:t>
      </w:r>
      <w:r w:rsidRPr="00604ED1">
        <w:rPr>
          <w:rFonts w:eastAsia="MS PGothic" w:cstheme="minorHAnsi"/>
          <w:szCs w:val="20"/>
          <w:lang w:val="sr-Cyrl-RS" w:eastAsia="ja-JP"/>
        </w:rPr>
        <w:t>дужника плаћа држава повећава укупне потребе за задуживањем.</w:t>
      </w:r>
    </w:p>
    <w:p w14:paraId="47A5826C" w14:textId="77777777" w:rsidR="005967FD" w:rsidRPr="00604ED1" w:rsidRDefault="005967FD" w:rsidP="002A2551">
      <w:pPr>
        <w:rPr>
          <w:rFonts w:eastAsia="MS PGothic" w:cstheme="minorHAnsi"/>
          <w:szCs w:val="20"/>
          <w:lang w:val="sr-Cyrl-RS" w:eastAsia="ja-JP"/>
        </w:rPr>
        <w:sectPr w:rsidR="005967FD" w:rsidRPr="00604ED1" w:rsidSect="002A2551">
          <w:type w:val="continuous"/>
          <w:pgSz w:w="12240" w:h="15840"/>
          <w:pgMar w:top="1440" w:right="1440" w:bottom="1440" w:left="1440" w:header="720" w:footer="720" w:gutter="0"/>
          <w:cols w:num="2" w:space="720"/>
          <w:docGrid w:linePitch="360"/>
          <w15:footnoteColumns w:val="1"/>
        </w:sectPr>
      </w:pPr>
    </w:p>
    <w:p w14:paraId="338942C6" w14:textId="77777777" w:rsidR="005967FD" w:rsidRPr="00604ED1" w:rsidRDefault="005967FD" w:rsidP="002A2551">
      <w:pPr>
        <w:spacing w:after="0" w:line="276" w:lineRule="auto"/>
        <w:jc w:val="center"/>
        <w:rPr>
          <w:rFonts w:eastAsia="MS PGothic" w:cstheme="minorHAnsi"/>
          <w:b/>
          <w:color w:val="002060"/>
          <w:szCs w:val="20"/>
          <w:lang w:val="sr-Cyrl-RS" w:eastAsia="ja-JP"/>
        </w:rPr>
      </w:pPr>
      <w:r w:rsidRPr="00604ED1">
        <w:rPr>
          <w:rFonts w:eastAsia="MS PGothic" w:cstheme="minorHAnsi"/>
          <w:b/>
          <w:color w:val="002060"/>
          <w:szCs w:val="20"/>
          <w:lang w:val="sr-Cyrl-RS" w:eastAsia="ja-JP"/>
        </w:rPr>
        <w:t>Отплата дуга по основу гаранција сервисираних из буџета, млрд динара</w:t>
      </w:r>
    </w:p>
    <w:p w14:paraId="33D38218" w14:textId="77777777" w:rsidR="005967FD" w:rsidRPr="00604ED1" w:rsidRDefault="005967FD" w:rsidP="002A2551">
      <w:pPr>
        <w:spacing w:after="0" w:line="276" w:lineRule="auto"/>
        <w:jc w:val="center"/>
        <w:rPr>
          <w:rFonts w:eastAsia="MS PGothic" w:cstheme="minorHAnsi"/>
          <w:b/>
          <w:color w:val="002060"/>
          <w:szCs w:val="20"/>
          <w:lang w:val="sr-Cyrl-RS" w:eastAsia="ja-JP"/>
        </w:rPr>
        <w:sectPr w:rsidR="005967FD" w:rsidRPr="00604ED1" w:rsidSect="002A2551">
          <w:type w:val="continuous"/>
          <w:pgSz w:w="12240" w:h="15840"/>
          <w:pgMar w:top="1440" w:right="1440" w:bottom="1440" w:left="1440" w:header="720" w:footer="720" w:gutter="0"/>
          <w:cols w:space="720"/>
          <w:docGrid w:linePitch="360"/>
          <w15:footnoteColumns w:val="1"/>
        </w:sectPr>
      </w:pPr>
      <w:r w:rsidRPr="00604ED1">
        <w:rPr>
          <w:noProof/>
        </w:rPr>
        <w:drawing>
          <wp:inline distT="0" distB="0" distL="0" distR="0" wp14:anchorId="6FF0A63C" wp14:editId="0C672D50">
            <wp:extent cx="5046980" cy="2609088"/>
            <wp:effectExtent l="0" t="0" r="1270" b="1270"/>
            <wp:docPr id="363250090" name="Chart 1">
              <a:extLst xmlns:a="http://schemas.openxmlformats.org/drawingml/2006/main">
                <a:ext uri="{FF2B5EF4-FFF2-40B4-BE49-F238E27FC236}">
                  <a16:creationId xmlns:a16="http://schemas.microsoft.com/office/drawing/2014/main" id="{00000000-0008-0000-0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4"/>
              </a:graphicData>
            </a:graphic>
          </wp:inline>
        </w:drawing>
      </w:r>
    </w:p>
    <w:p w14:paraId="5432963A" w14:textId="77777777" w:rsidR="005967FD" w:rsidRPr="00604ED1" w:rsidRDefault="005967FD" w:rsidP="002A2551">
      <w:pPr>
        <w:rPr>
          <w:rFonts w:eastAsia="MS PGothic" w:cstheme="minorHAnsi"/>
          <w:b/>
          <w:bCs/>
          <w:color w:val="002060"/>
          <w:szCs w:val="20"/>
          <w:lang w:val="sr-Cyrl-RS" w:eastAsia="ja-JP"/>
        </w:rPr>
        <w:sectPr w:rsidR="005967FD" w:rsidRPr="00604ED1" w:rsidSect="002A2551">
          <w:type w:val="continuous"/>
          <w:pgSz w:w="12240" w:h="15840"/>
          <w:pgMar w:top="1440" w:right="1440" w:bottom="1440" w:left="1440" w:header="720" w:footer="720" w:gutter="0"/>
          <w:cols w:num="2" w:space="720"/>
          <w:docGrid w:linePitch="360"/>
          <w15:footnoteColumns w:val="1"/>
        </w:sectPr>
      </w:pPr>
    </w:p>
    <w:p w14:paraId="33BA2229" w14:textId="77777777" w:rsidR="005967FD" w:rsidRPr="00604ED1" w:rsidRDefault="005967FD" w:rsidP="002A2551">
      <w:pPr>
        <w:jc w:val="center"/>
        <w:rPr>
          <w:rFonts w:eastAsia="MS PGothic" w:cstheme="minorHAnsi"/>
          <w:b/>
          <w:bCs/>
          <w:color w:val="002060"/>
          <w:szCs w:val="20"/>
          <w:lang w:val="sr-Cyrl-RS" w:eastAsia="ja-JP"/>
        </w:rPr>
      </w:pPr>
      <w:r w:rsidRPr="00604ED1">
        <w:rPr>
          <w:rFonts w:eastAsia="MS PGothic" w:cstheme="minorHAnsi"/>
          <w:b/>
          <w:bCs/>
          <w:color w:val="002060"/>
          <w:szCs w:val="20"/>
          <w:lang w:val="sr-Cyrl-RS" w:eastAsia="ja-JP"/>
        </w:rPr>
        <w:t>Табела 13. Укупно плаћене обавезе по основу гаранција по корисницима, млрд динара</w:t>
      </w:r>
    </w:p>
    <w:tbl>
      <w:tblPr>
        <w:tblW w:w="9356" w:type="dxa"/>
        <w:tblLayout w:type="fixed"/>
        <w:tblLook w:val="04A0" w:firstRow="1" w:lastRow="0" w:firstColumn="1" w:lastColumn="0" w:noHBand="0" w:noVBand="1"/>
      </w:tblPr>
      <w:tblGrid>
        <w:gridCol w:w="3682"/>
        <w:gridCol w:w="996"/>
        <w:gridCol w:w="895"/>
        <w:gridCol w:w="946"/>
        <w:gridCol w:w="994"/>
        <w:gridCol w:w="897"/>
        <w:gridCol w:w="946"/>
      </w:tblGrid>
      <w:tr w:rsidR="005967FD" w:rsidRPr="00604ED1" w14:paraId="5826D745" w14:textId="77777777" w:rsidTr="002A2551">
        <w:trPr>
          <w:trHeight w:hRule="exact" w:val="284"/>
          <w:tblHeader/>
        </w:trPr>
        <w:tc>
          <w:tcPr>
            <w:tcW w:w="3682" w:type="dxa"/>
            <w:tcBorders>
              <w:top w:val="single" w:sz="8" w:space="0" w:color="002060"/>
              <w:left w:val="nil"/>
              <w:bottom w:val="single" w:sz="8" w:space="0" w:color="FFFFFF"/>
              <w:right w:val="nil"/>
            </w:tcBorders>
            <w:shd w:val="clear" w:color="auto" w:fill="auto"/>
            <w:noWrap/>
            <w:vAlign w:val="center"/>
            <w:hideMark/>
          </w:tcPr>
          <w:p w14:paraId="06BD58BD" w14:textId="77777777" w:rsidR="005967FD" w:rsidRPr="00604ED1" w:rsidRDefault="005967FD" w:rsidP="002A2551">
            <w:pPr>
              <w:spacing w:after="120" w:line="276" w:lineRule="auto"/>
              <w:jc w:val="left"/>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 </w:t>
            </w:r>
          </w:p>
        </w:tc>
        <w:tc>
          <w:tcPr>
            <w:tcW w:w="2837" w:type="dxa"/>
            <w:gridSpan w:val="3"/>
            <w:tcBorders>
              <w:top w:val="single" w:sz="8" w:space="0" w:color="002060"/>
              <w:left w:val="nil"/>
              <w:bottom w:val="single" w:sz="8" w:space="0" w:color="002060"/>
              <w:right w:val="nil"/>
            </w:tcBorders>
            <w:shd w:val="clear" w:color="auto" w:fill="auto"/>
            <w:noWrap/>
            <w:vAlign w:val="center"/>
            <w:hideMark/>
          </w:tcPr>
          <w:p w14:paraId="2901F5F8" w14:textId="77777777" w:rsidR="005967FD" w:rsidRPr="00604ED1" w:rsidRDefault="005967FD" w:rsidP="002A2551">
            <w:pPr>
              <w:spacing w:after="120" w:line="276" w:lineRule="auto"/>
              <w:jc w:val="center"/>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2022</w:t>
            </w:r>
          </w:p>
        </w:tc>
        <w:tc>
          <w:tcPr>
            <w:tcW w:w="2837" w:type="dxa"/>
            <w:gridSpan w:val="3"/>
            <w:tcBorders>
              <w:top w:val="single" w:sz="8" w:space="0" w:color="002060"/>
              <w:left w:val="nil"/>
              <w:bottom w:val="single" w:sz="8" w:space="0" w:color="002060"/>
              <w:right w:val="nil"/>
            </w:tcBorders>
            <w:shd w:val="clear" w:color="auto" w:fill="auto"/>
            <w:noWrap/>
            <w:vAlign w:val="center"/>
            <w:hideMark/>
          </w:tcPr>
          <w:p w14:paraId="4B46047C" w14:textId="2540AF67" w:rsidR="005967FD" w:rsidRPr="00604ED1" w:rsidRDefault="004E0DA4" w:rsidP="002A2551">
            <w:pPr>
              <w:spacing w:after="120" w:line="276" w:lineRule="auto"/>
              <w:jc w:val="center"/>
              <w:rPr>
                <w:rFonts w:eastAsia="MS PGothic" w:cstheme="minorHAnsi"/>
                <w:b/>
                <w:color w:val="002060"/>
                <w:sz w:val="18"/>
                <w:szCs w:val="18"/>
                <w:lang w:val="sr-Cyrl-RS" w:eastAsia="ja-JP"/>
              </w:rPr>
            </w:pPr>
            <w:r>
              <w:rPr>
                <w:rFonts w:eastAsia="MS PGothic" w:cstheme="minorHAnsi"/>
                <w:b/>
                <w:color w:val="002060"/>
                <w:sz w:val="18"/>
                <w:szCs w:val="18"/>
                <w:lang w:val="sr-Cyrl-RS" w:eastAsia="ja-JP"/>
              </w:rPr>
              <w:t>2023 (до 30.</w:t>
            </w:r>
            <w:r w:rsidR="005967FD" w:rsidRPr="00604ED1">
              <w:rPr>
                <w:rFonts w:eastAsia="MS PGothic" w:cstheme="minorHAnsi"/>
                <w:b/>
                <w:color w:val="002060"/>
                <w:sz w:val="18"/>
                <w:szCs w:val="18"/>
                <w:lang w:val="sr-Cyrl-RS" w:eastAsia="ja-JP"/>
              </w:rPr>
              <w:t>6.)</w:t>
            </w:r>
          </w:p>
        </w:tc>
      </w:tr>
      <w:tr w:rsidR="005967FD" w:rsidRPr="00604ED1" w14:paraId="4B9ADA86" w14:textId="77777777" w:rsidTr="002A2551">
        <w:trPr>
          <w:trHeight w:hRule="exact" w:val="284"/>
          <w:tblHeader/>
        </w:trPr>
        <w:tc>
          <w:tcPr>
            <w:tcW w:w="3682" w:type="dxa"/>
            <w:tcBorders>
              <w:top w:val="nil"/>
              <w:left w:val="nil"/>
              <w:bottom w:val="single" w:sz="8" w:space="0" w:color="002060"/>
              <w:right w:val="nil"/>
            </w:tcBorders>
            <w:shd w:val="clear" w:color="auto" w:fill="auto"/>
            <w:noWrap/>
            <w:vAlign w:val="center"/>
            <w:hideMark/>
          </w:tcPr>
          <w:p w14:paraId="651D642E" w14:textId="77777777" w:rsidR="005967FD" w:rsidRPr="00604ED1" w:rsidRDefault="005967FD" w:rsidP="002A2551">
            <w:pPr>
              <w:spacing w:after="120" w:line="276" w:lineRule="auto"/>
              <w:jc w:val="left"/>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Корисник</w:t>
            </w:r>
          </w:p>
        </w:tc>
        <w:tc>
          <w:tcPr>
            <w:tcW w:w="996" w:type="dxa"/>
            <w:tcBorders>
              <w:top w:val="nil"/>
              <w:left w:val="nil"/>
              <w:bottom w:val="single" w:sz="8" w:space="0" w:color="002060"/>
              <w:right w:val="nil"/>
            </w:tcBorders>
            <w:shd w:val="clear" w:color="auto" w:fill="auto"/>
            <w:noWrap/>
            <w:vAlign w:val="center"/>
            <w:hideMark/>
          </w:tcPr>
          <w:p w14:paraId="33992B0D" w14:textId="77777777" w:rsidR="005967FD" w:rsidRPr="00604ED1" w:rsidRDefault="005967FD" w:rsidP="002A2551">
            <w:pPr>
              <w:spacing w:after="120" w:line="276" w:lineRule="auto"/>
              <w:jc w:val="center"/>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Главница</w:t>
            </w:r>
          </w:p>
        </w:tc>
        <w:tc>
          <w:tcPr>
            <w:tcW w:w="895" w:type="dxa"/>
            <w:tcBorders>
              <w:top w:val="nil"/>
              <w:left w:val="nil"/>
              <w:bottom w:val="single" w:sz="8" w:space="0" w:color="002060"/>
              <w:right w:val="nil"/>
            </w:tcBorders>
            <w:shd w:val="clear" w:color="auto" w:fill="auto"/>
            <w:noWrap/>
            <w:vAlign w:val="center"/>
            <w:hideMark/>
          </w:tcPr>
          <w:p w14:paraId="1615729C" w14:textId="77777777" w:rsidR="005967FD" w:rsidRPr="00604ED1" w:rsidRDefault="005967FD" w:rsidP="002A2551">
            <w:pPr>
              <w:spacing w:after="120" w:line="276" w:lineRule="auto"/>
              <w:jc w:val="center"/>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Камата</w:t>
            </w:r>
          </w:p>
        </w:tc>
        <w:tc>
          <w:tcPr>
            <w:tcW w:w="946" w:type="dxa"/>
            <w:tcBorders>
              <w:top w:val="nil"/>
              <w:left w:val="nil"/>
              <w:bottom w:val="single" w:sz="8" w:space="0" w:color="002060"/>
              <w:right w:val="nil"/>
            </w:tcBorders>
            <w:shd w:val="clear" w:color="auto" w:fill="auto"/>
            <w:noWrap/>
            <w:vAlign w:val="center"/>
            <w:hideMark/>
          </w:tcPr>
          <w:p w14:paraId="4FDA78D4" w14:textId="77777777" w:rsidR="005967FD" w:rsidRPr="00604ED1" w:rsidRDefault="005967FD" w:rsidP="002A2551">
            <w:pPr>
              <w:spacing w:after="120" w:line="276" w:lineRule="auto"/>
              <w:jc w:val="center"/>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Укупно</w:t>
            </w:r>
          </w:p>
        </w:tc>
        <w:tc>
          <w:tcPr>
            <w:tcW w:w="994" w:type="dxa"/>
            <w:tcBorders>
              <w:top w:val="nil"/>
              <w:left w:val="nil"/>
              <w:bottom w:val="single" w:sz="8" w:space="0" w:color="002060"/>
              <w:right w:val="nil"/>
            </w:tcBorders>
            <w:shd w:val="clear" w:color="auto" w:fill="auto"/>
            <w:noWrap/>
            <w:vAlign w:val="center"/>
            <w:hideMark/>
          </w:tcPr>
          <w:p w14:paraId="0B5A32AA" w14:textId="77777777" w:rsidR="005967FD" w:rsidRPr="00604ED1" w:rsidRDefault="005967FD" w:rsidP="002A2551">
            <w:pPr>
              <w:spacing w:after="120" w:line="276" w:lineRule="auto"/>
              <w:jc w:val="center"/>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Главница</w:t>
            </w:r>
          </w:p>
        </w:tc>
        <w:tc>
          <w:tcPr>
            <w:tcW w:w="897" w:type="dxa"/>
            <w:tcBorders>
              <w:top w:val="nil"/>
              <w:left w:val="nil"/>
              <w:bottom w:val="single" w:sz="8" w:space="0" w:color="002060"/>
              <w:right w:val="nil"/>
            </w:tcBorders>
            <w:shd w:val="clear" w:color="auto" w:fill="auto"/>
            <w:noWrap/>
            <w:vAlign w:val="center"/>
            <w:hideMark/>
          </w:tcPr>
          <w:p w14:paraId="1E56487A" w14:textId="77777777" w:rsidR="005967FD" w:rsidRPr="00604ED1" w:rsidRDefault="005967FD" w:rsidP="002A2551">
            <w:pPr>
              <w:spacing w:after="120" w:line="276" w:lineRule="auto"/>
              <w:jc w:val="center"/>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Камата</w:t>
            </w:r>
          </w:p>
        </w:tc>
        <w:tc>
          <w:tcPr>
            <w:tcW w:w="946" w:type="dxa"/>
            <w:tcBorders>
              <w:top w:val="nil"/>
              <w:left w:val="nil"/>
              <w:bottom w:val="single" w:sz="8" w:space="0" w:color="002060"/>
              <w:right w:val="nil"/>
            </w:tcBorders>
            <w:shd w:val="clear" w:color="auto" w:fill="auto"/>
            <w:noWrap/>
            <w:vAlign w:val="center"/>
            <w:hideMark/>
          </w:tcPr>
          <w:p w14:paraId="6F2723F1" w14:textId="77777777" w:rsidR="005967FD" w:rsidRPr="00604ED1" w:rsidRDefault="005967FD" w:rsidP="002A2551">
            <w:pPr>
              <w:spacing w:after="120" w:line="276" w:lineRule="auto"/>
              <w:jc w:val="center"/>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Укупно</w:t>
            </w:r>
          </w:p>
        </w:tc>
      </w:tr>
      <w:tr w:rsidR="005967FD" w:rsidRPr="00604ED1" w14:paraId="47FD47FA" w14:textId="77777777" w:rsidTr="002A2551">
        <w:trPr>
          <w:trHeight w:hRule="exact" w:val="263"/>
        </w:trPr>
        <w:tc>
          <w:tcPr>
            <w:tcW w:w="3682" w:type="dxa"/>
            <w:tcBorders>
              <w:top w:val="nil"/>
              <w:left w:val="nil"/>
              <w:bottom w:val="nil"/>
              <w:right w:val="nil"/>
            </w:tcBorders>
            <w:shd w:val="clear" w:color="000000" w:fill="FFFFFF"/>
            <w:noWrap/>
            <w:vAlign w:val="center"/>
          </w:tcPr>
          <w:p w14:paraId="0EBE17D5" w14:textId="3EB4821B" w:rsidR="005967FD" w:rsidRPr="00604ED1" w:rsidRDefault="005967FD" w:rsidP="002A2551">
            <w:pPr>
              <w:spacing w:after="40" w:line="240" w:lineRule="auto"/>
              <w:jc w:val="left"/>
              <w:rPr>
                <w:rFonts w:eastAsia="MS PGothic" w:cstheme="minorHAnsi"/>
                <w:color w:val="002060"/>
                <w:sz w:val="18"/>
                <w:szCs w:val="18"/>
                <w:lang w:val="sr-Cyrl-RS" w:eastAsia="ja-JP"/>
              </w:rPr>
            </w:pPr>
            <w:r w:rsidRPr="00604ED1">
              <w:rPr>
                <w:rFonts w:ascii="Calibri" w:hAnsi="Calibri" w:cs="Calibri"/>
                <w:color w:val="002060"/>
                <w:sz w:val="18"/>
                <w:szCs w:val="18"/>
                <w:lang w:val="sr-Cyrl-RS"/>
              </w:rPr>
              <w:t xml:space="preserve">ЈП </w:t>
            </w:r>
            <w:r w:rsidR="00103315" w:rsidRPr="00103315">
              <w:rPr>
                <w:rFonts w:ascii="Calibri" w:hAnsi="Calibri" w:cs="Calibri"/>
                <w:color w:val="002060"/>
                <w:sz w:val="18"/>
                <w:szCs w:val="18"/>
                <w:lang w:val="sr-Cyrl-RS"/>
              </w:rPr>
              <w:t>„Србијагас”</w:t>
            </w:r>
          </w:p>
        </w:tc>
        <w:tc>
          <w:tcPr>
            <w:tcW w:w="996" w:type="dxa"/>
            <w:tcBorders>
              <w:top w:val="nil"/>
              <w:left w:val="nil"/>
              <w:bottom w:val="nil"/>
              <w:right w:val="nil"/>
            </w:tcBorders>
            <w:shd w:val="clear" w:color="000000" w:fill="FFFFFF"/>
            <w:noWrap/>
            <w:vAlign w:val="center"/>
          </w:tcPr>
          <w:p w14:paraId="2DA4EEFE"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7,48</w:t>
            </w:r>
          </w:p>
        </w:tc>
        <w:tc>
          <w:tcPr>
            <w:tcW w:w="895" w:type="dxa"/>
            <w:tcBorders>
              <w:top w:val="nil"/>
              <w:left w:val="nil"/>
              <w:bottom w:val="nil"/>
              <w:right w:val="nil"/>
            </w:tcBorders>
            <w:shd w:val="clear" w:color="000000" w:fill="FFFFFF"/>
            <w:noWrap/>
            <w:vAlign w:val="center"/>
          </w:tcPr>
          <w:p w14:paraId="2B714AFC"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0,45</w:t>
            </w:r>
          </w:p>
        </w:tc>
        <w:tc>
          <w:tcPr>
            <w:tcW w:w="946" w:type="dxa"/>
            <w:tcBorders>
              <w:top w:val="nil"/>
              <w:left w:val="nil"/>
              <w:bottom w:val="nil"/>
              <w:right w:val="nil"/>
            </w:tcBorders>
            <w:shd w:val="clear" w:color="000000" w:fill="FFFFFF"/>
            <w:noWrap/>
            <w:vAlign w:val="center"/>
          </w:tcPr>
          <w:p w14:paraId="34566EAE"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7,93</w:t>
            </w:r>
          </w:p>
        </w:tc>
        <w:tc>
          <w:tcPr>
            <w:tcW w:w="994" w:type="dxa"/>
            <w:tcBorders>
              <w:top w:val="nil"/>
              <w:left w:val="nil"/>
              <w:bottom w:val="nil"/>
              <w:right w:val="nil"/>
            </w:tcBorders>
            <w:shd w:val="clear" w:color="000000" w:fill="FFFFFF"/>
            <w:noWrap/>
            <w:vAlign w:val="center"/>
          </w:tcPr>
          <w:p w14:paraId="72E0C779"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7,88</w:t>
            </w:r>
          </w:p>
        </w:tc>
        <w:tc>
          <w:tcPr>
            <w:tcW w:w="897" w:type="dxa"/>
            <w:tcBorders>
              <w:top w:val="nil"/>
              <w:left w:val="nil"/>
              <w:bottom w:val="nil"/>
              <w:right w:val="nil"/>
            </w:tcBorders>
            <w:shd w:val="clear" w:color="000000" w:fill="FFFFFF"/>
            <w:noWrap/>
            <w:vAlign w:val="center"/>
          </w:tcPr>
          <w:p w14:paraId="34516AFD"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1,32</w:t>
            </w:r>
          </w:p>
        </w:tc>
        <w:tc>
          <w:tcPr>
            <w:tcW w:w="946" w:type="dxa"/>
            <w:tcBorders>
              <w:top w:val="nil"/>
              <w:left w:val="nil"/>
              <w:bottom w:val="nil"/>
              <w:right w:val="nil"/>
            </w:tcBorders>
            <w:shd w:val="clear" w:color="000000" w:fill="FFFFFF"/>
            <w:noWrap/>
            <w:vAlign w:val="center"/>
          </w:tcPr>
          <w:p w14:paraId="32823378"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9,19</w:t>
            </w:r>
          </w:p>
        </w:tc>
      </w:tr>
      <w:tr w:rsidR="005967FD" w:rsidRPr="00604ED1" w14:paraId="76132A93" w14:textId="77777777" w:rsidTr="002A2551">
        <w:trPr>
          <w:trHeight w:hRule="exact" w:val="252"/>
        </w:trPr>
        <w:tc>
          <w:tcPr>
            <w:tcW w:w="3682" w:type="dxa"/>
            <w:tcBorders>
              <w:top w:val="nil"/>
              <w:left w:val="nil"/>
              <w:bottom w:val="nil"/>
              <w:right w:val="nil"/>
            </w:tcBorders>
            <w:shd w:val="clear" w:color="000000" w:fill="FFFFFF"/>
            <w:noWrap/>
            <w:vAlign w:val="center"/>
          </w:tcPr>
          <w:p w14:paraId="5ABF234D" w14:textId="77777777" w:rsidR="005967FD" w:rsidRPr="00604ED1" w:rsidRDefault="005967FD" w:rsidP="002A2551">
            <w:pPr>
              <w:spacing w:after="40" w:line="240" w:lineRule="auto"/>
              <w:jc w:val="left"/>
              <w:rPr>
                <w:rFonts w:eastAsia="MS PGothic" w:cstheme="minorHAnsi"/>
                <w:color w:val="002060"/>
                <w:sz w:val="18"/>
                <w:szCs w:val="18"/>
                <w:lang w:val="sr-Cyrl-RS" w:eastAsia="ja-JP"/>
              </w:rPr>
            </w:pPr>
            <w:r w:rsidRPr="00604ED1">
              <w:rPr>
                <w:rFonts w:ascii="Calibri" w:hAnsi="Calibri" w:cs="Calibri"/>
                <w:color w:val="002060"/>
                <w:sz w:val="18"/>
                <w:szCs w:val="18"/>
                <w:lang w:val="sr-Cyrl-RS"/>
              </w:rPr>
              <w:t>ЈП Путеви Србије</w:t>
            </w:r>
          </w:p>
        </w:tc>
        <w:tc>
          <w:tcPr>
            <w:tcW w:w="996" w:type="dxa"/>
            <w:tcBorders>
              <w:top w:val="nil"/>
              <w:left w:val="nil"/>
              <w:bottom w:val="nil"/>
              <w:right w:val="nil"/>
            </w:tcBorders>
            <w:shd w:val="clear" w:color="000000" w:fill="FFFFFF"/>
            <w:noWrap/>
            <w:vAlign w:val="center"/>
          </w:tcPr>
          <w:p w14:paraId="71BA26DF"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3,53</w:t>
            </w:r>
          </w:p>
        </w:tc>
        <w:tc>
          <w:tcPr>
            <w:tcW w:w="895" w:type="dxa"/>
            <w:tcBorders>
              <w:top w:val="nil"/>
              <w:left w:val="nil"/>
              <w:bottom w:val="nil"/>
              <w:right w:val="nil"/>
            </w:tcBorders>
            <w:shd w:val="clear" w:color="000000" w:fill="FFFFFF"/>
            <w:noWrap/>
            <w:vAlign w:val="center"/>
          </w:tcPr>
          <w:p w14:paraId="0D723A6B"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1,00</w:t>
            </w:r>
          </w:p>
        </w:tc>
        <w:tc>
          <w:tcPr>
            <w:tcW w:w="946" w:type="dxa"/>
            <w:tcBorders>
              <w:top w:val="nil"/>
              <w:left w:val="nil"/>
              <w:bottom w:val="nil"/>
              <w:right w:val="nil"/>
            </w:tcBorders>
            <w:shd w:val="clear" w:color="000000" w:fill="FFFFFF"/>
            <w:noWrap/>
            <w:vAlign w:val="center"/>
          </w:tcPr>
          <w:p w14:paraId="7237C2A8"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4,53</w:t>
            </w:r>
          </w:p>
        </w:tc>
        <w:tc>
          <w:tcPr>
            <w:tcW w:w="994" w:type="dxa"/>
            <w:tcBorders>
              <w:top w:val="nil"/>
              <w:left w:val="nil"/>
              <w:bottom w:val="nil"/>
              <w:right w:val="nil"/>
            </w:tcBorders>
            <w:shd w:val="clear" w:color="000000" w:fill="FFFFFF"/>
            <w:noWrap/>
            <w:vAlign w:val="center"/>
          </w:tcPr>
          <w:p w14:paraId="6033922D"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1,69</w:t>
            </w:r>
          </w:p>
        </w:tc>
        <w:tc>
          <w:tcPr>
            <w:tcW w:w="897" w:type="dxa"/>
            <w:tcBorders>
              <w:top w:val="nil"/>
              <w:left w:val="nil"/>
              <w:bottom w:val="nil"/>
              <w:right w:val="nil"/>
            </w:tcBorders>
            <w:shd w:val="clear" w:color="000000" w:fill="FFFFFF"/>
            <w:noWrap/>
            <w:vAlign w:val="center"/>
          </w:tcPr>
          <w:p w14:paraId="357BBEF6"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0,46</w:t>
            </w:r>
          </w:p>
        </w:tc>
        <w:tc>
          <w:tcPr>
            <w:tcW w:w="946" w:type="dxa"/>
            <w:tcBorders>
              <w:top w:val="nil"/>
              <w:left w:val="nil"/>
              <w:bottom w:val="nil"/>
              <w:right w:val="nil"/>
            </w:tcBorders>
            <w:shd w:val="clear" w:color="000000" w:fill="FFFFFF"/>
            <w:noWrap/>
            <w:vAlign w:val="center"/>
          </w:tcPr>
          <w:p w14:paraId="6759AB72"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2,15</w:t>
            </w:r>
          </w:p>
        </w:tc>
      </w:tr>
      <w:tr w:rsidR="005967FD" w:rsidRPr="00604ED1" w14:paraId="10D1E2E3" w14:textId="77777777" w:rsidTr="002A2551">
        <w:trPr>
          <w:trHeight w:hRule="exact" w:val="270"/>
        </w:trPr>
        <w:tc>
          <w:tcPr>
            <w:tcW w:w="3682" w:type="dxa"/>
            <w:tcBorders>
              <w:top w:val="nil"/>
              <w:left w:val="nil"/>
              <w:bottom w:val="nil"/>
              <w:right w:val="nil"/>
            </w:tcBorders>
            <w:shd w:val="clear" w:color="000000" w:fill="FFFFFF"/>
            <w:noWrap/>
            <w:vAlign w:val="center"/>
          </w:tcPr>
          <w:p w14:paraId="58553466" w14:textId="77777777" w:rsidR="005967FD" w:rsidRPr="00604ED1" w:rsidRDefault="005967FD" w:rsidP="002A2551">
            <w:pPr>
              <w:spacing w:after="40" w:line="240" w:lineRule="auto"/>
              <w:jc w:val="left"/>
              <w:rPr>
                <w:rFonts w:eastAsia="MS PGothic" w:cstheme="minorHAnsi"/>
                <w:color w:val="002060"/>
                <w:sz w:val="18"/>
                <w:szCs w:val="18"/>
                <w:lang w:val="sr-Cyrl-RS" w:eastAsia="ja-JP"/>
              </w:rPr>
            </w:pPr>
            <w:r w:rsidRPr="00604ED1">
              <w:rPr>
                <w:rFonts w:ascii="Calibri" w:hAnsi="Calibri" w:cs="Calibri"/>
                <w:color w:val="002060"/>
                <w:sz w:val="18"/>
                <w:szCs w:val="18"/>
                <w:lang w:val="sr-Cyrl-RS"/>
              </w:rPr>
              <w:t>АД „Железнице Србије”, Београд</w:t>
            </w:r>
          </w:p>
        </w:tc>
        <w:tc>
          <w:tcPr>
            <w:tcW w:w="996" w:type="dxa"/>
            <w:tcBorders>
              <w:top w:val="nil"/>
              <w:left w:val="nil"/>
              <w:bottom w:val="nil"/>
              <w:right w:val="nil"/>
            </w:tcBorders>
            <w:shd w:val="clear" w:color="000000" w:fill="FFFFFF"/>
            <w:noWrap/>
            <w:vAlign w:val="center"/>
          </w:tcPr>
          <w:p w14:paraId="57C81594"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6,34</w:t>
            </w:r>
          </w:p>
        </w:tc>
        <w:tc>
          <w:tcPr>
            <w:tcW w:w="895" w:type="dxa"/>
            <w:tcBorders>
              <w:top w:val="nil"/>
              <w:left w:val="nil"/>
              <w:bottom w:val="nil"/>
              <w:right w:val="nil"/>
            </w:tcBorders>
            <w:shd w:val="clear" w:color="000000" w:fill="FFFFFF"/>
            <w:noWrap/>
            <w:vAlign w:val="center"/>
          </w:tcPr>
          <w:p w14:paraId="31F0B784"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0,32</w:t>
            </w:r>
          </w:p>
        </w:tc>
        <w:tc>
          <w:tcPr>
            <w:tcW w:w="946" w:type="dxa"/>
            <w:tcBorders>
              <w:top w:val="nil"/>
              <w:left w:val="nil"/>
              <w:bottom w:val="nil"/>
              <w:right w:val="nil"/>
            </w:tcBorders>
            <w:shd w:val="clear" w:color="000000" w:fill="FFFFFF"/>
            <w:noWrap/>
            <w:vAlign w:val="center"/>
          </w:tcPr>
          <w:p w14:paraId="7ABD1A3E"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6,66</w:t>
            </w:r>
          </w:p>
        </w:tc>
        <w:tc>
          <w:tcPr>
            <w:tcW w:w="994" w:type="dxa"/>
            <w:tcBorders>
              <w:top w:val="nil"/>
              <w:left w:val="nil"/>
              <w:bottom w:val="nil"/>
              <w:right w:val="nil"/>
            </w:tcBorders>
            <w:shd w:val="clear" w:color="000000" w:fill="FFFFFF"/>
            <w:noWrap/>
            <w:vAlign w:val="center"/>
          </w:tcPr>
          <w:p w14:paraId="43A4ADD1"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1,14</w:t>
            </w:r>
          </w:p>
        </w:tc>
        <w:tc>
          <w:tcPr>
            <w:tcW w:w="897" w:type="dxa"/>
            <w:tcBorders>
              <w:top w:val="nil"/>
              <w:left w:val="nil"/>
              <w:bottom w:val="nil"/>
              <w:right w:val="nil"/>
            </w:tcBorders>
            <w:shd w:val="clear" w:color="000000" w:fill="FFFFFF"/>
            <w:noWrap/>
            <w:vAlign w:val="center"/>
          </w:tcPr>
          <w:p w14:paraId="1FACF6FB"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0,14</w:t>
            </w:r>
          </w:p>
        </w:tc>
        <w:tc>
          <w:tcPr>
            <w:tcW w:w="946" w:type="dxa"/>
            <w:tcBorders>
              <w:top w:val="nil"/>
              <w:left w:val="nil"/>
              <w:bottom w:val="nil"/>
              <w:right w:val="nil"/>
            </w:tcBorders>
            <w:shd w:val="clear" w:color="000000" w:fill="FFFFFF"/>
            <w:noWrap/>
            <w:vAlign w:val="center"/>
          </w:tcPr>
          <w:p w14:paraId="498BBCAC"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1,28</w:t>
            </w:r>
          </w:p>
        </w:tc>
      </w:tr>
      <w:tr w:rsidR="005967FD" w:rsidRPr="00604ED1" w14:paraId="59985219" w14:textId="77777777" w:rsidTr="002A2551">
        <w:trPr>
          <w:trHeight w:hRule="exact" w:val="810"/>
        </w:trPr>
        <w:tc>
          <w:tcPr>
            <w:tcW w:w="3682" w:type="dxa"/>
            <w:tcBorders>
              <w:top w:val="nil"/>
              <w:left w:val="nil"/>
              <w:bottom w:val="nil"/>
              <w:right w:val="nil"/>
            </w:tcBorders>
            <w:shd w:val="clear" w:color="000000" w:fill="FFFFFF"/>
            <w:noWrap/>
            <w:vAlign w:val="center"/>
          </w:tcPr>
          <w:p w14:paraId="5EF9CE1E" w14:textId="77777777" w:rsidR="005967FD" w:rsidRPr="00604ED1" w:rsidRDefault="005967FD" w:rsidP="002A2551">
            <w:pPr>
              <w:spacing w:after="40" w:line="240" w:lineRule="auto"/>
              <w:jc w:val="left"/>
              <w:rPr>
                <w:rFonts w:eastAsia="MS PGothic" w:cstheme="minorHAnsi"/>
                <w:color w:val="002060"/>
                <w:sz w:val="18"/>
                <w:szCs w:val="18"/>
                <w:lang w:val="sr-Cyrl-RS" w:eastAsia="ja-JP"/>
              </w:rPr>
            </w:pPr>
            <w:r w:rsidRPr="00604ED1">
              <w:rPr>
                <w:rFonts w:ascii="Calibri" w:hAnsi="Calibri" w:cs="Calibri"/>
                <w:color w:val="002060"/>
                <w:sz w:val="18"/>
                <w:szCs w:val="18"/>
                <w:lang w:val="sr-Cyrl-RS"/>
              </w:rPr>
              <w:t>АД за управљање јавном железничком инфраструктуром „Инфраструктура железнице Србије”, Београд</w:t>
            </w:r>
          </w:p>
        </w:tc>
        <w:tc>
          <w:tcPr>
            <w:tcW w:w="996" w:type="dxa"/>
            <w:tcBorders>
              <w:top w:val="nil"/>
              <w:left w:val="nil"/>
              <w:bottom w:val="nil"/>
              <w:right w:val="nil"/>
            </w:tcBorders>
            <w:shd w:val="clear" w:color="000000" w:fill="FFFFFF"/>
            <w:noWrap/>
            <w:vAlign w:val="center"/>
          </w:tcPr>
          <w:p w14:paraId="306542D2"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1,68</w:t>
            </w:r>
          </w:p>
        </w:tc>
        <w:tc>
          <w:tcPr>
            <w:tcW w:w="895" w:type="dxa"/>
            <w:tcBorders>
              <w:top w:val="nil"/>
              <w:left w:val="nil"/>
              <w:bottom w:val="nil"/>
              <w:right w:val="nil"/>
            </w:tcBorders>
            <w:shd w:val="clear" w:color="000000" w:fill="FFFFFF"/>
            <w:noWrap/>
            <w:vAlign w:val="center"/>
          </w:tcPr>
          <w:p w14:paraId="37C137AC"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0,04</w:t>
            </w:r>
          </w:p>
        </w:tc>
        <w:tc>
          <w:tcPr>
            <w:tcW w:w="946" w:type="dxa"/>
            <w:tcBorders>
              <w:top w:val="nil"/>
              <w:left w:val="nil"/>
              <w:bottom w:val="nil"/>
              <w:right w:val="nil"/>
            </w:tcBorders>
            <w:shd w:val="clear" w:color="000000" w:fill="FFFFFF"/>
            <w:noWrap/>
            <w:vAlign w:val="center"/>
          </w:tcPr>
          <w:p w14:paraId="0A81A2F8"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1,72</w:t>
            </w:r>
          </w:p>
        </w:tc>
        <w:tc>
          <w:tcPr>
            <w:tcW w:w="994" w:type="dxa"/>
            <w:tcBorders>
              <w:top w:val="nil"/>
              <w:left w:val="nil"/>
              <w:bottom w:val="nil"/>
              <w:right w:val="nil"/>
            </w:tcBorders>
            <w:shd w:val="clear" w:color="000000" w:fill="FFFFFF"/>
            <w:noWrap/>
            <w:vAlign w:val="center"/>
          </w:tcPr>
          <w:p w14:paraId="2A55C3A2"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0,89</w:t>
            </w:r>
          </w:p>
        </w:tc>
        <w:tc>
          <w:tcPr>
            <w:tcW w:w="897" w:type="dxa"/>
            <w:tcBorders>
              <w:top w:val="nil"/>
              <w:left w:val="nil"/>
              <w:bottom w:val="nil"/>
              <w:right w:val="nil"/>
            </w:tcBorders>
            <w:shd w:val="clear" w:color="000000" w:fill="FFFFFF"/>
            <w:noWrap/>
            <w:vAlign w:val="center"/>
          </w:tcPr>
          <w:p w14:paraId="373EF8E4"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0,06</w:t>
            </w:r>
          </w:p>
        </w:tc>
        <w:tc>
          <w:tcPr>
            <w:tcW w:w="946" w:type="dxa"/>
            <w:tcBorders>
              <w:top w:val="nil"/>
              <w:left w:val="nil"/>
              <w:bottom w:val="nil"/>
              <w:right w:val="nil"/>
            </w:tcBorders>
            <w:shd w:val="clear" w:color="000000" w:fill="FFFFFF"/>
            <w:noWrap/>
            <w:vAlign w:val="center"/>
          </w:tcPr>
          <w:p w14:paraId="05DF10E8"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0,95</w:t>
            </w:r>
          </w:p>
        </w:tc>
      </w:tr>
      <w:tr w:rsidR="005967FD" w:rsidRPr="00604ED1" w14:paraId="55E17588" w14:textId="77777777" w:rsidTr="002A2551">
        <w:trPr>
          <w:trHeight w:hRule="exact" w:val="540"/>
        </w:trPr>
        <w:tc>
          <w:tcPr>
            <w:tcW w:w="3682" w:type="dxa"/>
            <w:tcBorders>
              <w:top w:val="nil"/>
              <w:left w:val="nil"/>
              <w:bottom w:val="nil"/>
              <w:right w:val="nil"/>
            </w:tcBorders>
            <w:shd w:val="clear" w:color="000000" w:fill="FFFFFF"/>
            <w:noWrap/>
            <w:vAlign w:val="center"/>
          </w:tcPr>
          <w:p w14:paraId="43925D4D" w14:textId="77777777" w:rsidR="005967FD" w:rsidRPr="00604ED1" w:rsidRDefault="005967FD" w:rsidP="002A2551">
            <w:pPr>
              <w:spacing w:after="120" w:line="240" w:lineRule="auto"/>
              <w:jc w:val="left"/>
              <w:rPr>
                <w:rFonts w:eastAsia="MS PGothic" w:cstheme="minorHAnsi"/>
                <w:color w:val="002060"/>
                <w:sz w:val="18"/>
                <w:szCs w:val="18"/>
                <w:lang w:val="sr-Cyrl-RS" w:eastAsia="ja-JP"/>
              </w:rPr>
            </w:pPr>
            <w:r w:rsidRPr="00604ED1">
              <w:rPr>
                <w:rFonts w:ascii="Calibri" w:hAnsi="Calibri" w:cs="Calibri"/>
                <w:color w:val="002060"/>
                <w:sz w:val="18"/>
                <w:szCs w:val="18"/>
                <w:lang w:val="sr-Cyrl-RS"/>
              </w:rPr>
              <w:t>АД за железнички превоз робе „Србија Карго”, Београд</w:t>
            </w:r>
          </w:p>
        </w:tc>
        <w:tc>
          <w:tcPr>
            <w:tcW w:w="996" w:type="dxa"/>
            <w:tcBorders>
              <w:top w:val="nil"/>
              <w:left w:val="nil"/>
              <w:bottom w:val="nil"/>
              <w:right w:val="nil"/>
            </w:tcBorders>
            <w:shd w:val="clear" w:color="000000" w:fill="FFFFFF"/>
            <w:noWrap/>
            <w:vAlign w:val="center"/>
          </w:tcPr>
          <w:p w14:paraId="6112331B"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1,23</w:t>
            </w:r>
          </w:p>
        </w:tc>
        <w:tc>
          <w:tcPr>
            <w:tcW w:w="895" w:type="dxa"/>
            <w:tcBorders>
              <w:top w:val="nil"/>
              <w:left w:val="nil"/>
              <w:bottom w:val="nil"/>
              <w:right w:val="nil"/>
            </w:tcBorders>
            <w:shd w:val="clear" w:color="000000" w:fill="FFFFFF"/>
            <w:noWrap/>
            <w:vAlign w:val="center"/>
          </w:tcPr>
          <w:p w14:paraId="123F6E60"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0,03</w:t>
            </w:r>
          </w:p>
        </w:tc>
        <w:tc>
          <w:tcPr>
            <w:tcW w:w="946" w:type="dxa"/>
            <w:tcBorders>
              <w:top w:val="nil"/>
              <w:left w:val="nil"/>
              <w:bottom w:val="nil"/>
              <w:right w:val="nil"/>
            </w:tcBorders>
            <w:shd w:val="clear" w:color="000000" w:fill="FFFFFF"/>
            <w:noWrap/>
            <w:vAlign w:val="center"/>
          </w:tcPr>
          <w:p w14:paraId="267A0B01"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1,26</w:t>
            </w:r>
          </w:p>
        </w:tc>
        <w:tc>
          <w:tcPr>
            <w:tcW w:w="994" w:type="dxa"/>
            <w:tcBorders>
              <w:top w:val="nil"/>
              <w:left w:val="nil"/>
              <w:bottom w:val="nil"/>
              <w:right w:val="nil"/>
            </w:tcBorders>
            <w:shd w:val="clear" w:color="000000" w:fill="FFFFFF"/>
            <w:noWrap/>
            <w:vAlign w:val="center"/>
          </w:tcPr>
          <w:p w14:paraId="3304ECB2"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0,61</w:t>
            </w:r>
          </w:p>
        </w:tc>
        <w:tc>
          <w:tcPr>
            <w:tcW w:w="897" w:type="dxa"/>
            <w:tcBorders>
              <w:top w:val="nil"/>
              <w:left w:val="nil"/>
              <w:bottom w:val="nil"/>
              <w:right w:val="nil"/>
            </w:tcBorders>
            <w:shd w:val="clear" w:color="000000" w:fill="FFFFFF"/>
            <w:noWrap/>
            <w:vAlign w:val="center"/>
          </w:tcPr>
          <w:p w14:paraId="5EF93F81"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0,05</w:t>
            </w:r>
          </w:p>
        </w:tc>
        <w:tc>
          <w:tcPr>
            <w:tcW w:w="946" w:type="dxa"/>
            <w:tcBorders>
              <w:top w:val="nil"/>
              <w:left w:val="nil"/>
              <w:bottom w:val="nil"/>
              <w:right w:val="nil"/>
            </w:tcBorders>
            <w:shd w:val="clear" w:color="000000" w:fill="FFFFFF"/>
            <w:noWrap/>
            <w:vAlign w:val="center"/>
          </w:tcPr>
          <w:p w14:paraId="1B0625B6"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0,67</w:t>
            </w:r>
          </w:p>
        </w:tc>
      </w:tr>
      <w:tr w:rsidR="005967FD" w:rsidRPr="00604ED1" w14:paraId="01DE6CB5" w14:textId="77777777" w:rsidTr="002A2551">
        <w:trPr>
          <w:trHeight w:hRule="exact" w:val="450"/>
        </w:trPr>
        <w:tc>
          <w:tcPr>
            <w:tcW w:w="3682" w:type="dxa"/>
            <w:tcBorders>
              <w:top w:val="nil"/>
              <w:left w:val="nil"/>
              <w:bottom w:val="nil"/>
              <w:right w:val="nil"/>
            </w:tcBorders>
            <w:shd w:val="clear" w:color="000000" w:fill="FFFFFF"/>
            <w:noWrap/>
            <w:vAlign w:val="center"/>
          </w:tcPr>
          <w:p w14:paraId="4566C802" w14:textId="77777777" w:rsidR="005967FD" w:rsidRPr="00604ED1" w:rsidRDefault="005967FD" w:rsidP="002A2551">
            <w:pPr>
              <w:spacing w:after="120" w:line="240" w:lineRule="auto"/>
              <w:jc w:val="left"/>
              <w:rPr>
                <w:rFonts w:eastAsia="MS PGothic" w:cstheme="minorHAnsi"/>
                <w:color w:val="002060"/>
                <w:sz w:val="18"/>
                <w:szCs w:val="18"/>
                <w:lang w:val="sr-Cyrl-RS" w:eastAsia="ja-JP"/>
              </w:rPr>
            </w:pPr>
            <w:r w:rsidRPr="00604ED1">
              <w:rPr>
                <w:rFonts w:ascii="Calibri" w:hAnsi="Calibri" w:cs="Calibri"/>
                <w:color w:val="002060"/>
                <w:sz w:val="18"/>
                <w:szCs w:val="18"/>
                <w:lang w:val="sr-Cyrl-RS"/>
              </w:rPr>
              <w:t>АД за железнички превоз путника „Србија Воз” Београд</w:t>
            </w:r>
          </w:p>
        </w:tc>
        <w:tc>
          <w:tcPr>
            <w:tcW w:w="996" w:type="dxa"/>
            <w:tcBorders>
              <w:top w:val="nil"/>
              <w:left w:val="nil"/>
              <w:bottom w:val="nil"/>
              <w:right w:val="nil"/>
            </w:tcBorders>
            <w:shd w:val="clear" w:color="000000" w:fill="FFFFFF"/>
            <w:noWrap/>
            <w:vAlign w:val="center"/>
          </w:tcPr>
          <w:p w14:paraId="1313DA42"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0,43</w:t>
            </w:r>
          </w:p>
        </w:tc>
        <w:tc>
          <w:tcPr>
            <w:tcW w:w="895" w:type="dxa"/>
            <w:tcBorders>
              <w:top w:val="nil"/>
              <w:left w:val="nil"/>
              <w:bottom w:val="nil"/>
              <w:right w:val="nil"/>
            </w:tcBorders>
            <w:shd w:val="clear" w:color="000000" w:fill="FFFFFF"/>
            <w:noWrap/>
            <w:vAlign w:val="center"/>
          </w:tcPr>
          <w:p w14:paraId="7BA8CE2B"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0,09</w:t>
            </w:r>
          </w:p>
        </w:tc>
        <w:tc>
          <w:tcPr>
            <w:tcW w:w="946" w:type="dxa"/>
            <w:tcBorders>
              <w:top w:val="nil"/>
              <w:left w:val="nil"/>
              <w:bottom w:val="nil"/>
              <w:right w:val="nil"/>
            </w:tcBorders>
            <w:shd w:val="clear" w:color="000000" w:fill="FFFFFF"/>
            <w:noWrap/>
            <w:vAlign w:val="center"/>
          </w:tcPr>
          <w:p w14:paraId="15FA50AB"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0,52</w:t>
            </w:r>
          </w:p>
        </w:tc>
        <w:tc>
          <w:tcPr>
            <w:tcW w:w="994" w:type="dxa"/>
            <w:tcBorders>
              <w:top w:val="nil"/>
              <w:left w:val="nil"/>
              <w:bottom w:val="nil"/>
              <w:right w:val="nil"/>
            </w:tcBorders>
            <w:shd w:val="clear" w:color="000000" w:fill="FFFFFF"/>
            <w:noWrap/>
            <w:vAlign w:val="center"/>
          </w:tcPr>
          <w:p w14:paraId="3EF56C24"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0,26</w:t>
            </w:r>
          </w:p>
        </w:tc>
        <w:tc>
          <w:tcPr>
            <w:tcW w:w="897" w:type="dxa"/>
            <w:tcBorders>
              <w:top w:val="nil"/>
              <w:left w:val="nil"/>
              <w:bottom w:val="nil"/>
              <w:right w:val="nil"/>
            </w:tcBorders>
            <w:shd w:val="clear" w:color="000000" w:fill="FFFFFF"/>
            <w:noWrap/>
            <w:vAlign w:val="center"/>
          </w:tcPr>
          <w:p w14:paraId="68426782"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0,19</w:t>
            </w:r>
          </w:p>
        </w:tc>
        <w:tc>
          <w:tcPr>
            <w:tcW w:w="946" w:type="dxa"/>
            <w:tcBorders>
              <w:top w:val="nil"/>
              <w:left w:val="nil"/>
              <w:bottom w:val="nil"/>
              <w:right w:val="nil"/>
            </w:tcBorders>
            <w:shd w:val="clear" w:color="000000" w:fill="FFFFFF"/>
            <w:noWrap/>
            <w:vAlign w:val="center"/>
          </w:tcPr>
          <w:p w14:paraId="5689DC8A"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0,46</w:t>
            </w:r>
          </w:p>
        </w:tc>
      </w:tr>
      <w:tr w:rsidR="005967FD" w:rsidRPr="00604ED1" w14:paraId="5CCBF5E9" w14:textId="77777777" w:rsidTr="002A2551">
        <w:trPr>
          <w:trHeight w:hRule="exact" w:val="270"/>
        </w:trPr>
        <w:tc>
          <w:tcPr>
            <w:tcW w:w="3682" w:type="dxa"/>
            <w:tcBorders>
              <w:top w:val="nil"/>
              <w:left w:val="nil"/>
              <w:bottom w:val="nil"/>
              <w:right w:val="nil"/>
            </w:tcBorders>
            <w:shd w:val="clear" w:color="000000" w:fill="FFFFFF"/>
            <w:noWrap/>
            <w:vAlign w:val="center"/>
          </w:tcPr>
          <w:p w14:paraId="4CFD15AC" w14:textId="77777777" w:rsidR="005967FD" w:rsidRPr="00604ED1" w:rsidRDefault="005967FD" w:rsidP="002A2551">
            <w:pPr>
              <w:spacing w:after="120" w:line="240" w:lineRule="auto"/>
              <w:jc w:val="left"/>
              <w:rPr>
                <w:rFonts w:eastAsia="MS PGothic" w:cstheme="minorHAnsi"/>
                <w:color w:val="002060"/>
                <w:sz w:val="18"/>
                <w:szCs w:val="18"/>
                <w:lang w:val="sr-Cyrl-RS" w:eastAsia="ja-JP"/>
              </w:rPr>
            </w:pPr>
            <w:r w:rsidRPr="00604ED1">
              <w:rPr>
                <w:rFonts w:ascii="Calibri" w:hAnsi="Calibri" w:cs="Calibri"/>
                <w:color w:val="002060"/>
                <w:sz w:val="18"/>
                <w:szCs w:val="18"/>
                <w:lang w:val="sr-Cyrl-RS"/>
              </w:rPr>
              <w:t>ЈП Скијалишта Србије Београд</w:t>
            </w:r>
          </w:p>
        </w:tc>
        <w:tc>
          <w:tcPr>
            <w:tcW w:w="996" w:type="dxa"/>
            <w:tcBorders>
              <w:top w:val="nil"/>
              <w:left w:val="nil"/>
              <w:bottom w:val="nil"/>
              <w:right w:val="nil"/>
            </w:tcBorders>
            <w:shd w:val="clear" w:color="000000" w:fill="FFFFFF"/>
            <w:noWrap/>
            <w:vAlign w:val="center"/>
          </w:tcPr>
          <w:p w14:paraId="243550FD"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0,32</w:t>
            </w:r>
          </w:p>
        </w:tc>
        <w:tc>
          <w:tcPr>
            <w:tcW w:w="895" w:type="dxa"/>
            <w:tcBorders>
              <w:top w:val="nil"/>
              <w:left w:val="nil"/>
              <w:bottom w:val="nil"/>
              <w:right w:val="nil"/>
            </w:tcBorders>
            <w:shd w:val="clear" w:color="000000" w:fill="FFFFFF"/>
            <w:noWrap/>
            <w:vAlign w:val="center"/>
          </w:tcPr>
          <w:p w14:paraId="2C70BACD"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0,09</w:t>
            </w:r>
          </w:p>
        </w:tc>
        <w:tc>
          <w:tcPr>
            <w:tcW w:w="946" w:type="dxa"/>
            <w:tcBorders>
              <w:top w:val="nil"/>
              <w:left w:val="nil"/>
              <w:bottom w:val="nil"/>
              <w:right w:val="nil"/>
            </w:tcBorders>
            <w:shd w:val="clear" w:color="000000" w:fill="FFFFFF"/>
            <w:noWrap/>
            <w:vAlign w:val="center"/>
          </w:tcPr>
          <w:p w14:paraId="7BBB097C"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0,41</w:t>
            </w:r>
          </w:p>
        </w:tc>
        <w:tc>
          <w:tcPr>
            <w:tcW w:w="994" w:type="dxa"/>
            <w:tcBorders>
              <w:top w:val="nil"/>
              <w:left w:val="nil"/>
              <w:bottom w:val="nil"/>
              <w:right w:val="nil"/>
            </w:tcBorders>
            <w:shd w:val="clear" w:color="000000" w:fill="FFFFFF"/>
            <w:noWrap/>
            <w:vAlign w:val="center"/>
          </w:tcPr>
          <w:p w14:paraId="5167D108"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0,32</w:t>
            </w:r>
          </w:p>
        </w:tc>
        <w:tc>
          <w:tcPr>
            <w:tcW w:w="897" w:type="dxa"/>
            <w:tcBorders>
              <w:top w:val="nil"/>
              <w:left w:val="nil"/>
              <w:bottom w:val="nil"/>
              <w:right w:val="nil"/>
            </w:tcBorders>
            <w:shd w:val="clear" w:color="000000" w:fill="FFFFFF"/>
            <w:noWrap/>
            <w:vAlign w:val="center"/>
          </w:tcPr>
          <w:p w14:paraId="16CB0AD5"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0,08</w:t>
            </w:r>
          </w:p>
        </w:tc>
        <w:tc>
          <w:tcPr>
            <w:tcW w:w="946" w:type="dxa"/>
            <w:tcBorders>
              <w:top w:val="nil"/>
              <w:left w:val="nil"/>
              <w:bottom w:val="nil"/>
              <w:right w:val="nil"/>
            </w:tcBorders>
            <w:shd w:val="clear" w:color="000000" w:fill="FFFFFF"/>
            <w:noWrap/>
            <w:vAlign w:val="center"/>
          </w:tcPr>
          <w:p w14:paraId="066B4893"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0,40</w:t>
            </w:r>
          </w:p>
        </w:tc>
      </w:tr>
      <w:tr w:rsidR="005967FD" w:rsidRPr="00604ED1" w14:paraId="1D174C94" w14:textId="77777777" w:rsidTr="002A2551">
        <w:trPr>
          <w:trHeight w:hRule="exact" w:val="270"/>
        </w:trPr>
        <w:tc>
          <w:tcPr>
            <w:tcW w:w="3682" w:type="dxa"/>
            <w:tcBorders>
              <w:top w:val="nil"/>
              <w:left w:val="nil"/>
              <w:bottom w:val="nil"/>
              <w:right w:val="nil"/>
            </w:tcBorders>
            <w:shd w:val="clear" w:color="000000" w:fill="FFFFFF"/>
            <w:noWrap/>
            <w:vAlign w:val="center"/>
          </w:tcPr>
          <w:p w14:paraId="17A5C290" w14:textId="77777777" w:rsidR="005967FD" w:rsidRPr="00604ED1" w:rsidRDefault="005967FD" w:rsidP="002A2551">
            <w:pPr>
              <w:spacing w:after="120" w:line="240" w:lineRule="auto"/>
              <w:jc w:val="left"/>
              <w:rPr>
                <w:rFonts w:eastAsia="MS PGothic" w:cstheme="minorHAnsi"/>
                <w:color w:val="002060"/>
                <w:sz w:val="18"/>
                <w:szCs w:val="18"/>
                <w:lang w:val="sr-Cyrl-RS" w:eastAsia="ja-JP"/>
              </w:rPr>
            </w:pPr>
            <w:r w:rsidRPr="00604ED1">
              <w:rPr>
                <w:rFonts w:ascii="Calibri" w:hAnsi="Calibri" w:cs="Calibri"/>
                <w:color w:val="002060"/>
                <w:sz w:val="18"/>
                <w:szCs w:val="18"/>
                <w:lang w:val="sr-Cyrl-RS"/>
              </w:rPr>
              <w:t>ЈП Емисиона техника и везе</w:t>
            </w:r>
          </w:p>
        </w:tc>
        <w:tc>
          <w:tcPr>
            <w:tcW w:w="996" w:type="dxa"/>
            <w:tcBorders>
              <w:top w:val="nil"/>
              <w:left w:val="nil"/>
              <w:bottom w:val="nil"/>
              <w:right w:val="nil"/>
            </w:tcBorders>
            <w:shd w:val="clear" w:color="000000" w:fill="FFFFFF"/>
            <w:noWrap/>
            <w:vAlign w:val="center"/>
          </w:tcPr>
          <w:p w14:paraId="4D25DCC3"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0,26</w:t>
            </w:r>
          </w:p>
        </w:tc>
        <w:tc>
          <w:tcPr>
            <w:tcW w:w="895" w:type="dxa"/>
            <w:tcBorders>
              <w:top w:val="nil"/>
              <w:left w:val="nil"/>
              <w:bottom w:val="nil"/>
              <w:right w:val="nil"/>
            </w:tcBorders>
            <w:shd w:val="clear" w:color="000000" w:fill="FFFFFF"/>
            <w:noWrap/>
            <w:vAlign w:val="center"/>
          </w:tcPr>
          <w:p w14:paraId="4093057F"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0,01</w:t>
            </w:r>
          </w:p>
        </w:tc>
        <w:tc>
          <w:tcPr>
            <w:tcW w:w="946" w:type="dxa"/>
            <w:tcBorders>
              <w:top w:val="nil"/>
              <w:left w:val="nil"/>
              <w:bottom w:val="nil"/>
              <w:right w:val="nil"/>
            </w:tcBorders>
            <w:shd w:val="clear" w:color="000000" w:fill="FFFFFF"/>
            <w:noWrap/>
            <w:vAlign w:val="center"/>
          </w:tcPr>
          <w:p w14:paraId="6346BF1D"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0,27</w:t>
            </w:r>
          </w:p>
        </w:tc>
        <w:tc>
          <w:tcPr>
            <w:tcW w:w="994" w:type="dxa"/>
            <w:tcBorders>
              <w:top w:val="nil"/>
              <w:left w:val="nil"/>
              <w:bottom w:val="nil"/>
              <w:right w:val="nil"/>
            </w:tcBorders>
            <w:shd w:val="clear" w:color="000000" w:fill="FFFFFF"/>
            <w:noWrap/>
            <w:vAlign w:val="center"/>
          </w:tcPr>
          <w:p w14:paraId="2C1E9D8B"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0,13</w:t>
            </w:r>
          </w:p>
        </w:tc>
        <w:tc>
          <w:tcPr>
            <w:tcW w:w="897" w:type="dxa"/>
            <w:tcBorders>
              <w:top w:val="nil"/>
              <w:left w:val="nil"/>
              <w:bottom w:val="nil"/>
              <w:right w:val="nil"/>
            </w:tcBorders>
            <w:shd w:val="clear" w:color="000000" w:fill="FFFFFF"/>
            <w:noWrap/>
            <w:vAlign w:val="center"/>
          </w:tcPr>
          <w:p w14:paraId="2D8EA774"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0,01</w:t>
            </w:r>
          </w:p>
        </w:tc>
        <w:tc>
          <w:tcPr>
            <w:tcW w:w="946" w:type="dxa"/>
            <w:tcBorders>
              <w:top w:val="nil"/>
              <w:left w:val="nil"/>
              <w:bottom w:val="nil"/>
              <w:right w:val="nil"/>
            </w:tcBorders>
            <w:shd w:val="clear" w:color="000000" w:fill="FFFFFF"/>
            <w:noWrap/>
            <w:vAlign w:val="center"/>
          </w:tcPr>
          <w:p w14:paraId="54BACB55"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0,14</w:t>
            </w:r>
          </w:p>
        </w:tc>
      </w:tr>
      <w:tr w:rsidR="005967FD" w:rsidRPr="00604ED1" w14:paraId="62BD69F5" w14:textId="77777777" w:rsidTr="002A2551">
        <w:trPr>
          <w:trHeight w:hRule="exact" w:val="227"/>
        </w:trPr>
        <w:tc>
          <w:tcPr>
            <w:tcW w:w="3682" w:type="dxa"/>
            <w:tcBorders>
              <w:top w:val="single" w:sz="8" w:space="0" w:color="002060"/>
              <w:left w:val="nil"/>
              <w:bottom w:val="single" w:sz="8" w:space="0" w:color="002060"/>
              <w:right w:val="nil"/>
            </w:tcBorders>
            <w:shd w:val="clear" w:color="000000" w:fill="FFFFFF"/>
            <w:noWrap/>
            <w:vAlign w:val="center"/>
          </w:tcPr>
          <w:p w14:paraId="21E1954C" w14:textId="77777777" w:rsidR="005967FD" w:rsidRPr="00604ED1" w:rsidRDefault="005967FD" w:rsidP="002A2551">
            <w:pPr>
              <w:spacing w:after="120" w:line="240" w:lineRule="auto"/>
              <w:rPr>
                <w:rFonts w:eastAsia="MS PGothic" w:cstheme="minorHAnsi"/>
                <w:b/>
                <w:color w:val="002060"/>
                <w:sz w:val="18"/>
                <w:szCs w:val="18"/>
                <w:lang w:val="sr-Cyrl-RS" w:eastAsia="ja-JP"/>
              </w:rPr>
            </w:pPr>
            <w:r w:rsidRPr="00604ED1">
              <w:rPr>
                <w:rFonts w:ascii="Calibri" w:hAnsi="Calibri" w:cs="Calibri"/>
                <w:b/>
                <w:bCs/>
                <w:color w:val="002060"/>
                <w:sz w:val="18"/>
                <w:szCs w:val="18"/>
                <w:lang w:val="sr-Cyrl-RS"/>
              </w:rPr>
              <w:t>УКУПНО:</w:t>
            </w:r>
          </w:p>
        </w:tc>
        <w:tc>
          <w:tcPr>
            <w:tcW w:w="996" w:type="dxa"/>
            <w:tcBorders>
              <w:top w:val="single" w:sz="8" w:space="0" w:color="002060"/>
              <w:left w:val="nil"/>
              <w:bottom w:val="single" w:sz="8" w:space="0" w:color="002060"/>
              <w:right w:val="nil"/>
            </w:tcBorders>
            <w:shd w:val="clear" w:color="000000" w:fill="FFFFFF"/>
            <w:noWrap/>
            <w:vAlign w:val="center"/>
          </w:tcPr>
          <w:p w14:paraId="66293BAE" w14:textId="77777777" w:rsidR="005967FD" w:rsidRPr="00604ED1" w:rsidRDefault="005967FD" w:rsidP="002A2551">
            <w:pPr>
              <w:jc w:val="righ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21,28</w:t>
            </w:r>
          </w:p>
        </w:tc>
        <w:tc>
          <w:tcPr>
            <w:tcW w:w="895" w:type="dxa"/>
            <w:tcBorders>
              <w:top w:val="single" w:sz="8" w:space="0" w:color="002060"/>
              <w:left w:val="nil"/>
              <w:bottom w:val="single" w:sz="8" w:space="0" w:color="002060"/>
              <w:right w:val="nil"/>
            </w:tcBorders>
            <w:shd w:val="clear" w:color="000000" w:fill="FFFFFF"/>
            <w:noWrap/>
            <w:vAlign w:val="center"/>
          </w:tcPr>
          <w:p w14:paraId="56E36F75" w14:textId="77777777" w:rsidR="005967FD" w:rsidRPr="00604ED1" w:rsidRDefault="005967FD" w:rsidP="002A2551">
            <w:pPr>
              <w:jc w:val="righ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2,02</w:t>
            </w:r>
          </w:p>
        </w:tc>
        <w:tc>
          <w:tcPr>
            <w:tcW w:w="946" w:type="dxa"/>
            <w:tcBorders>
              <w:top w:val="single" w:sz="8" w:space="0" w:color="002060"/>
              <w:left w:val="nil"/>
              <w:bottom w:val="single" w:sz="8" w:space="0" w:color="002060"/>
              <w:right w:val="nil"/>
            </w:tcBorders>
            <w:shd w:val="clear" w:color="000000" w:fill="FFFFFF"/>
            <w:noWrap/>
            <w:vAlign w:val="center"/>
          </w:tcPr>
          <w:p w14:paraId="6E37AEE6" w14:textId="77777777" w:rsidR="005967FD" w:rsidRPr="00604ED1" w:rsidRDefault="005967FD" w:rsidP="002A2551">
            <w:pPr>
              <w:jc w:val="righ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23,30</w:t>
            </w:r>
          </w:p>
        </w:tc>
        <w:tc>
          <w:tcPr>
            <w:tcW w:w="994" w:type="dxa"/>
            <w:tcBorders>
              <w:top w:val="single" w:sz="8" w:space="0" w:color="002060"/>
              <w:left w:val="nil"/>
              <w:bottom w:val="single" w:sz="8" w:space="0" w:color="002060"/>
              <w:right w:val="nil"/>
            </w:tcBorders>
            <w:shd w:val="clear" w:color="000000" w:fill="FFFFFF"/>
            <w:noWrap/>
            <w:vAlign w:val="center"/>
          </w:tcPr>
          <w:p w14:paraId="693D8DC3" w14:textId="77777777" w:rsidR="005967FD" w:rsidRPr="00604ED1" w:rsidRDefault="005967FD" w:rsidP="002A2551">
            <w:pPr>
              <w:jc w:val="righ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12,92</w:t>
            </w:r>
          </w:p>
        </w:tc>
        <w:tc>
          <w:tcPr>
            <w:tcW w:w="897" w:type="dxa"/>
            <w:tcBorders>
              <w:top w:val="single" w:sz="8" w:space="0" w:color="002060"/>
              <w:left w:val="nil"/>
              <w:bottom w:val="single" w:sz="8" w:space="0" w:color="002060"/>
              <w:right w:val="nil"/>
            </w:tcBorders>
            <w:shd w:val="clear" w:color="000000" w:fill="FFFFFF"/>
            <w:noWrap/>
            <w:vAlign w:val="center"/>
          </w:tcPr>
          <w:p w14:paraId="7974545E" w14:textId="77777777" w:rsidR="005967FD" w:rsidRPr="00604ED1" w:rsidRDefault="005967FD" w:rsidP="002A2551">
            <w:pPr>
              <w:jc w:val="righ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2,32</w:t>
            </w:r>
          </w:p>
        </w:tc>
        <w:tc>
          <w:tcPr>
            <w:tcW w:w="946" w:type="dxa"/>
            <w:tcBorders>
              <w:top w:val="single" w:sz="8" w:space="0" w:color="002060"/>
              <w:left w:val="nil"/>
              <w:bottom w:val="single" w:sz="8" w:space="0" w:color="002060"/>
              <w:right w:val="nil"/>
            </w:tcBorders>
            <w:shd w:val="clear" w:color="000000" w:fill="FFFFFF"/>
            <w:noWrap/>
            <w:vAlign w:val="center"/>
          </w:tcPr>
          <w:p w14:paraId="7ED594E1" w14:textId="77777777" w:rsidR="005967FD" w:rsidRPr="00604ED1" w:rsidRDefault="005967FD" w:rsidP="002A2551">
            <w:pPr>
              <w:jc w:val="righ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15,24</w:t>
            </w:r>
          </w:p>
        </w:tc>
      </w:tr>
    </w:tbl>
    <w:p w14:paraId="1796BD57" w14:textId="77777777" w:rsidR="005967FD" w:rsidRPr="00B11332" w:rsidRDefault="005967FD" w:rsidP="002A2551">
      <w:pPr>
        <w:spacing w:after="240" w:line="276" w:lineRule="auto"/>
        <w:rPr>
          <w:rFonts w:eastAsia="MS PGothic" w:cstheme="minorHAnsi"/>
          <w:sz w:val="16"/>
          <w:szCs w:val="18"/>
          <w:lang w:val="sr-Cyrl-RS" w:eastAsia="ja-JP"/>
        </w:rPr>
      </w:pPr>
      <w:r w:rsidRPr="00B11332">
        <w:rPr>
          <w:rFonts w:eastAsia="MS PGothic" w:cstheme="minorHAnsi"/>
          <w:sz w:val="16"/>
          <w:szCs w:val="18"/>
          <w:lang w:val="sr-Cyrl-RS" w:eastAsia="ja-JP"/>
        </w:rPr>
        <w:t>Извор: Министарство финансија, Управа за јавни дуг</w:t>
      </w:r>
    </w:p>
    <w:p w14:paraId="0CEA6436" w14:textId="77777777" w:rsidR="005967FD" w:rsidRPr="00604ED1" w:rsidRDefault="005967FD" w:rsidP="002A2551">
      <w:pPr>
        <w:spacing w:after="120" w:line="257" w:lineRule="auto"/>
        <w:rPr>
          <w:rFonts w:eastAsia="MS PGothic" w:cstheme="minorHAnsi"/>
          <w:szCs w:val="20"/>
          <w:lang w:val="sr-Cyrl-RS" w:eastAsia="ja-JP"/>
        </w:rPr>
        <w:sectPr w:rsidR="005967FD" w:rsidRPr="00604ED1" w:rsidSect="002A2551">
          <w:type w:val="continuous"/>
          <w:pgSz w:w="12240" w:h="15840"/>
          <w:pgMar w:top="1440" w:right="1440" w:bottom="1440" w:left="1440" w:header="720" w:footer="720" w:gutter="0"/>
          <w:cols w:space="720"/>
          <w:docGrid w:linePitch="360"/>
          <w15:footnoteColumns w:val="1"/>
        </w:sectPr>
      </w:pPr>
    </w:p>
    <w:p w14:paraId="17132889" w14:textId="2CA5B66D" w:rsidR="005967FD" w:rsidRPr="00604ED1" w:rsidRDefault="005967FD" w:rsidP="002A2551">
      <w:pPr>
        <w:spacing w:after="120" w:line="257" w:lineRule="auto"/>
        <w:rPr>
          <w:rFonts w:eastAsia="MS PGothic" w:cstheme="minorHAnsi"/>
          <w:szCs w:val="20"/>
          <w:lang w:val="sr-Cyrl-RS" w:eastAsia="ja-JP"/>
        </w:rPr>
      </w:pPr>
      <w:r w:rsidRPr="00604ED1">
        <w:rPr>
          <w:rFonts w:eastAsia="MS PGothic" w:cstheme="minorHAnsi"/>
          <w:szCs w:val="20"/>
          <w:lang w:val="sr-Cyrl-RS" w:eastAsia="ja-JP"/>
        </w:rPr>
        <w:t xml:space="preserve">План отплате по основу гаранција (укупно главница и камата) у </w:t>
      </w:r>
      <w:bookmarkStart w:id="56" w:name="_Hlk146179423"/>
      <w:r w:rsidRPr="00604ED1">
        <w:rPr>
          <w:rFonts w:eastAsia="MS PGothic" w:cstheme="minorHAnsi"/>
          <w:szCs w:val="20"/>
          <w:lang w:val="sr-Cyrl-RS" w:eastAsia="ja-JP"/>
        </w:rPr>
        <w:t>Закон</w:t>
      </w:r>
      <w:r w:rsidR="004E0DA4">
        <w:rPr>
          <w:rFonts w:eastAsia="MS PGothic" w:cstheme="minorHAnsi"/>
          <w:szCs w:val="20"/>
          <w:lang w:val="sr-Cyrl-RS" w:eastAsia="ja-JP"/>
        </w:rPr>
        <w:t>у</w:t>
      </w:r>
      <w:r w:rsidRPr="00604ED1">
        <w:rPr>
          <w:rFonts w:eastAsia="MS PGothic" w:cstheme="minorHAnsi"/>
          <w:szCs w:val="20"/>
          <w:lang w:val="sr-Cyrl-RS" w:eastAsia="ja-JP"/>
        </w:rPr>
        <w:t xml:space="preserve"> о изменама и допунама закона о буџету Републике Србије за 2023. годину („Службени гласник РС” бр. 75/2023) </w:t>
      </w:r>
      <w:bookmarkEnd w:id="56"/>
      <w:r w:rsidRPr="00604ED1">
        <w:rPr>
          <w:rFonts w:eastAsia="MS PGothic" w:cstheme="minorHAnsi"/>
          <w:szCs w:val="20"/>
          <w:lang w:val="sr-Cyrl-RS" w:eastAsia="ja-JP"/>
        </w:rPr>
        <w:t xml:space="preserve">износи 35,7 млрд динара, од чега се у расходе који </w:t>
      </w:r>
      <w:r w:rsidRPr="00604ED1">
        <w:rPr>
          <w:rFonts w:eastAsia="MS PGothic" w:cstheme="minorHAnsi"/>
          <w:szCs w:val="20"/>
          <w:lang w:val="sr-Cyrl-RS" w:eastAsia="ja-JP"/>
        </w:rPr>
        <w:t>утичу на резултат укључује 24,5 млрд динара за отплату главнице по гаранцијама.</w:t>
      </w:r>
    </w:p>
    <w:p w14:paraId="5506DD18" w14:textId="77777777" w:rsidR="005967FD" w:rsidRPr="00604ED1" w:rsidRDefault="005967FD" w:rsidP="002A2551">
      <w:pPr>
        <w:spacing w:after="120" w:line="257" w:lineRule="auto"/>
        <w:rPr>
          <w:rFonts w:eastAsia="MS PGothic" w:cstheme="minorHAnsi"/>
          <w:szCs w:val="20"/>
          <w:lang w:val="sr-Cyrl-RS" w:eastAsia="ja-JP"/>
        </w:rPr>
      </w:pPr>
      <w:r w:rsidRPr="00604ED1">
        <w:rPr>
          <w:rFonts w:eastAsia="MS PGothic" w:cstheme="minorHAnsi"/>
          <w:szCs w:val="20"/>
          <w:lang w:val="sr-Cyrl-RS" w:eastAsia="ja-JP"/>
        </w:rPr>
        <w:t xml:space="preserve">Индиректни дуг, те укључивање дела отплата по основу гаранција у буџетске расходе, и повећање дефицита по том основу, повећали су свест о </w:t>
      </w:r>
      <w:r w:rsidRPr="00604ED1">
        <w:rPr>
          <w:rFonts w:eastAsia="MS PGothic" w:cstheme="minorHAnsi"/>
          <w:szCs w:val="20"/>
          <w:lang w:val="sr-Cyrl-RS" w:eastAsia="ja-JP"/>
        </w:rPr>
        <w:lastRenderedPageBreak/>
        <w:t>растућим фискалним ризицима који произилазе по основу издатих гаранција. Стога су предузете активности које ограничавају издавање нових гаранција. Изменама Закона о јавном дугу забрањено је издавање нових гаранција за кредите за потребе ликвидности. Изменама Закона о Фонду за развој Републике Србије онемогућено је даље давање контрагаранција за гаранције издате од стране Фонда за развој Републике Србије.</w:t>
      </w:r>
    </w:p>
    <w:p w14:paraId="035CCCF2" w14:textId="77777777" w:rsidR="005967FD" w:rsidRPr="00604ED1" w:rsidRDefault="005967FD" w:rsidP="002A2551">
      <w:pPr>
        <w:spacing w:after="120" w:line="257" w:lineRule="auto"/>
        <w:rPr>
          <w:rFonts w:eastAsia="MS PGothic" w:cstheme="minorHAnsi"/>
          <w:szCs w:val="20"/>
          <w:lang w:val="sr-Cyrl-RS" w:eastAsia="ja-JP"/>
        </w:rPr>
      </w:pPr>
      <w:r w:rsidRPr="00604ED1">
        <w:rPr>
          <w:rFonts w:eastAsia="MS PGothic" w:cstheme="minorHAnsi"/>
          <w:szCs w:val="20"/>
          <w:lang w:val="sr-Cyrl-RS" w:eastAsia="ja-JP"/>
        </w:rPr>
        <w:t xml:space="preserve">Поред ограничења у издавању државних гаранција кључни корак у смањењу и отклањању </w:t>
      </w:r>
      <w:r w:rsidRPr="00604ED1">
        <w:rPr>
          <w:rFonts w:eastAsia="MS PGothic" w:cstheme="minorHAnsi"/>
          <w:szCs w:val="20"/>
          <w:lang w:val="sr-Cyrl-RS" w:eastAsia="ja-JP"/>
        </w:rPr>
        <w:t>фискалних ризика по овом основу је у реформи државних и јавних предузећа, корисника гаранција, како би били способни да отплаћују своје кредите. Већи број предузећа, која су и највећи корисници гаранција, налазе се у процесу реструктурирања, односно спровођења планова реструктурирања урађених у сарадњи са међународним финансијским институцијама.</w:t>
      </w:r>
    </w:p>
    <w:p w14:paraId="1A2F109F" w14:textId="5E5D1F42" w:rsidR="005967FD" w:rsidRPr="00604ED1" w:rsidRDefault="005967FD" w:rsidP="002A2551">
      <w:pPr>
        <w:spacing w:after="240" w:line="257" w:lineRule="auto"/>
        <w:rPr>
          <w:lang w:val="sr-Cyrl-RS" w:eastAsia="ja-JP"/>
        </w:rPr>
      </w:pPr>
      <w:r w:rsidRPr="00604ED1">
        <w:rPr>
          <w:rFonts w:eastAsia="MS PGothic" w:cstheme="minorHAnsi"/>
          <w:szCs w:val="20"/>
          <w:lang w:val="sr-Cyrl-RS" w:eastAsia="ja-JP"/>
        </w:rPr>
        <w:t>Закон</w:t>
      </w:r>
      <w:r w:rsidR="00D57563">
        <w:rPr>
          <w:rFonts w:eastAsia="MS PGothic" w:cstheme="minorHAnsi"/>
          <w:szCs w:val="20"/>
          <w:lang w:val="sr-Cyrl-RS" w:eastAsia="ja-JP"/>
        </w:rPr>
        <w:t>ом</w:t>
      </w:r>
      <w:r w:rsidRPr="00604ED1">
        <w:rPr>
          <w:rFonts w:eastAsia="MS PGothic" w:cstheme="minorHAnsi"/>
          <w:szCs w:val="20"/>
          <w:lang w:val="sr-Cyrl-RS" w:eastAsia="ja-JP"/>
        </w:rPr>
        <w:t xml:space="preserve"> о изменама и допунама закона о буџету Републике Србије за 2023. годину („Службени гласник РС” бр. 75/2023) планирано је издавање гаранција највише до 319,8 млрд динара.</w:t>
      </w:r>
    </w:p>
    <w:p w14:paraId="1A9D59CA" w14:textId="77777777" w:rsidR="005967FD" w:rsidRPr="00604ED1" w:rsidRDefault="005967FD" w:rsidP="002A2551">
      <w:pPr>
        <w:rPr>
          <w:lang w:val="sr-Cyrl-RS" w:eastAsia="ja-JP"/>
        </w:rPr>
        <w:sectPr w:rsidR="005967FD" w:rsidRPr="00604ED1" w:rsidSect="002A2551">
          <w:type w:val="continuous"/>
          <w:pgSz w:w="12240" w:h="15840"/>
          <w:pgMar w:top="1440" w:right="1440" w:bottom="1440" w:left="1440" w:header="720" w:footer="720" w:gutter="0"/>
          <w:cols w:num="2" w:space="720"/>
          <w:docGrid w:linePitch="360"/>
          <w15:footnoteColumns w:val="1"/>
        </w:sectPr>
      </w:pPr>
    </w:p>
    <w:p w14:paraId="218A4C70" w14:textId="77777777" w:rsidR="005967FD" w:rsidRPr="00604ED1" w:rsidRDefault="005967FD" w:rsidP="002A2551">
      <w:pPr>
        <w:spacing w:after="60" w:line="276" w:lineRule="auto"/>
        <w:jc w:val="center"/>
        <w:rPr>
          <w:lang w:val="sr-Cyrl-RS"/>
        </w:rPr>
      </w:pPr>
      <w:r w:rsidRPr="00604ED1">
        <w:rPr>
          <w:rFonts w:eastAsia="MS PGothic" w:cstheme="minorHAnsi"/>
          <w:b/>
          <w:color w:val="002060"/>
          <w:szCs w:val="20"/>
          <w:lang w:val="sr-Cyrl-RS" w:eastAsia="ja-JP"/>
        </w:rPr>
        <w:t>Табела 14. План издавања гаранција у 2023. години</w:t>
      </w:r>
      <w:r w:rsidRPr="00604ED1">
        <w:rPr>
          <w:rFonts w:eastAsia="MS PGothic" w:cstheme="minorHAnsi"/>
          <w:sz w:val="18"/>
          <w:szCs w:val="18"/>
          <w:lang w:val="sr-Cyrl-RS" w:eastAsia="ja-JP"/>
        </w:rPr>
        <w:fldChar w:fldCharType="begin"/>
      </w:r>
      <w:r w:rsidRPr="00604ED1">
        <w:rPr>
          <w:rFonts w:eastAsia="MS PGothic" w:cstheme="minorHAnsi"/>
          <w:sz w:val="18"/>
          <w:szCs w:val="18"/>
          <w:lang w:val="sr-Cyrl-RS" w:eastAsia="ja-JP"/>
        </w:rPr>
        <w:instrText xml:space="preserve"> LINK Excel.Sheet.12 "\\\\10.9.19.72\\fiskalnirizici$\\Pracenje fiskalnih rizika\\2023\\Fiskalna strategija Q2 2023\\ФС табеле и графикони.xlsx" "Табела 14.!R4C2:R37C6" \a \f 4 \h  \* MERGEFORMAT </w:instrText>
      </w:r>
      <w:r w:rsidRPr="00604ED1">
        <w:rPr>
          <w:rFonts w:eastAsia="MS PGothic" w:cstheme="minorHAnsi"/>
          <w:sz w:val="18"/>
          <w:szCs w:val="18"/>
          <w:lang w:val="sr-Cyrl-RS" w:eastAsia="ja-JP"/>
        </w:rPr>
        <w:fldChar w:fldCharType="separate"/>
      </w:r>
    </w:p>
    <w:tbl>
      <w:tblPr>
        <w:tblW w:w="9640" w:type="dxa"/>
        <w:tblLook w:val="04A0" w:firstRow="1" w:lastRow="0" w:firstColumn="1" w:lastColumn="0" w:noHBand="0" w:noVBand="1"/>
      </w:tblPr>
      <w:tblGrid>
        <w:gridCol w:w="660"/>
        <w:gridCol w:w="4240"/>
        <w:gridCol w:w="1600"/>
        <w:gridCol w:w="1360"/>
        <w:gridCol w:w="1780"/>
      </w:tblGrid>
      <w:tr w:rsidR="005967FD" w:rsidRPr="00604ED1" w14:paraId="609F89AF" w14:textId="77777777" w:rsidTr="002A2551">
        <w:trPr>
          <w:trHeight w:val="630"/>
        </w:trPr>
        <w:tc>
          <w:tcPr>
            <w:tcW w:w="660" w:type="dxa"/>
            <w:tcBorders>
              <w:top w:val="single" w:sz="8" w:space="0" w:color="203764"/>
              <w:left w:val="nil"/>
              <w:bottom w:val="single" w:sz="8" w:space="0" w:color="203764"/>
              <w:right w:val="nil"/>
            </w:tcBorders>
            <w:shd w:val="clear" w:color="000000" w:fill="FFFFFF"/>
            <w:vAlign w:val="center"/>
            <w:hideMark/>
          </w:tcPr>
          <w:p w14:paraId="51A3250D" w14:textId="77777777" w:rsidR="005967FD" w:rsidRPr="00604ED1" w:rsidRDefault="005967FD">
            <w:pPr>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Ред. број</w:t>
            </w:r>
          </w:p>
        </w:tc>
        <w:tc>
          <w:tcPr>
            <w:tcW w:w="4240" w:type="dxa"/>
            <w:tcBorders>
              <w:top w:val="single" w:sz="8" w:space="0" w:color="203764"/>
              <w:left w:val="nil"/>
              <w:bottom w:val="single" w:sz="8" w:space="0" w:color="203764"/>
              <w:right w:val="nil"/>
            </w:tcBorders>
            <w:shd w:val="clear" w:color="000000" w:fill="FFFFFF"/>
            <w:vAlign w:val="center"/>
            <w:hideMark/>
          </w:tcPr>
          <w:p w14:paraId="7AD13EAF" w14:textId="77777777" w:rsidR="005967FD" w:rsidRPr="00604ED1" w:rsidRDefault="005967FD" w:rsidP="002A2551">
            <w:pPr>
              <w:spacing w:after="0" w:line="240" w:lineRule="auto"/>
              <w:jc w:val="left"/>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 </w:t>
            </w:r>
          </w:p>
        </w:tc>
        <w:tc>
          <w:tcPr>
            <w:tcW w:w="1600" w:type="dxa"/>
            <w:tcBorders>
              <w:top w:val="single" w:sz="8" w:space="0" w:color="203764"/>
              <w:left w:val="nil"/>
              <w:bottom w:val="single" w:sz="8" w:space="0" w:color="203764"/>
              <w:right w:val="nil"/>
            </w:tcBorders>
            <w:shd w:val="clear" w:color="000000" w:fill="FFFFFF"/>
            <w:vAlign w:val="center"/>
            <w:hideMark/>
          </w:tcPr>
          <w:p w14:paraId="485EAD0B"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Износ у динарима</w:t>
            </w:r>
          </w:p>
        </w:tc>
        <w:tc>
          <w:tcPr>
            <w:tcW w:w="1360" w:type="dxa"/>
            <w:tcBorders>
              <w:top w:val="single" w:sz="8" w:space="0" w:color="203764"/>
              <w:left w:val="nil"/>
              <w:bottom w:val="single" w:sz="8" w:space="0" w:color="203764"/>
              <w:right w:val="nil"/>
            </w:tcBorders>
            <w:shd w:val="clear" w:color="000000" w:fill="FFFFFF"/>
            <w:vAlign w:val="center"/>
            <w:hideMark/>
          </w:tcPr>
          <w:p w14:paraId="7321675E"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Оригинална валута</w:t>
            </w:r>
          </w:p>
        </w:tc>
        <w:tc>
          <w:tcPr>
            <w:tcW w:w="1780" w:type="dxa"/>
            <w:tcBorders>
              <w:top w:val="single" w:sz="8" w:space="0" w:color="203764"/>
              <w:left w:val="nil"/>
              <w:bottom w:val="single" w:sz="8" w:space="0" w:color="203764"/>
              <w:right w:val="nil"/>
            </w:tcBorders>
            <w:shd w:val="clear" w:color="000000" w:fill="FFFFFF"/>
            <w:vAlign w:val="center"/>
            <w:hideMark/>
          </w:tcPr>
          <w:p w14:paraId="63878253"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Износ у оригиналној валути</w:t>
            </w:r>
          </w:p>
        </w:tc>
      </w:tr>
      <w:tr w:rsidR="005967FD" w:rsidRPr="004E7112" w14:paraId="3BC457F0" w14:textId="77777777" w:rsidTr="002A2551">
        <w:trPr>
          <w:trHeight w:val="405"/>
        </w:trPr>
        <w:tc>
          <w:tcPr>
            <w:tcW w:w="660" w:type="dxa"/>
            <w:tcBorders>
              <w:top w:val="nil"/>
              <w:left w:val="nil"/>
              <w:bottom w:val="nil"/>
              <w:right w:val="nil"/>
            </w:tcBorders>
            <w:shd w:val="clear" w:color="000000" w:fill="E7E6E6"/>
            <w:vAlign w:val="center"/>
            <w:hideMark/>
          </w:tcPr>
          <w:p w14:paraId="6371EF1D"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I.</w:t>
            </w:r>
          </w:p>
        </w:tc>
        <w:tc>
          <w:tcPr>
            <w:tcW w:w="4240" w:type="dxa"/>
            <w:tcBorders>
              <w:top w:val="nil"/>
              <w:left w:val="nil"/>
              <w:bottom w:val="nil"/>
              <w:right w:val="nil"/>
            </w:tcBorders>
            <w:shd w:val="clear" w:color="000000" w:fill="E7E6E6"/>
            <w:vAlign w:val="center"/>
            <w:hideMark/>
          </w:tcPr>
          <w:p w14:paraId="24EF24FF" w14:textId="77777777" w:rsidR="005967FD" w:rsidRPr="00604ED1" w:rsidRDefault="005967FD" w:rsidP="002A2551">
            <w:pPr>
              <w:spacing w:after="0" w:line="240" w:lineRule="auto"/>
              <w:jc w:val="left"/>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Eвропској банци за обнову и развој</w:t>
            </w:r>
          </w:p>
        </w:tc>
        <w:tc>
          <w:tcPr>
            <w:tcW w:w="1600" w:type="dxa"/>
            <w:tcBorders>
              <w:top w:val="nil"/>
              <w:left w:val="nil"/>
              <w:bottom w:val="nil"/>
              <w:right w:val="nil"/>
            </w:tcBorders>
            <w:shd w:val="clear" w:color="000000" w:fill="E7E6E6"/>
            <w:vAlign w:val="center"/>
            <w:hideMark/>
          </w:tcPr>
          <w:p w14:paraId="056B0EFA"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 </w:t>
            </w:r>
          </w:p>
        </w:tc>
        <w:tc>
          <w:tcPr>
            <w:tcW w:w="1360" w:type="dxa"/>
            <w:tcBorders>
              <w:top w:val="nil"/>
              <w:left w:val="nil"/>
              <w:bottom w:val="nil"/>
              <w:right w:val="nil"/>
            </w:tcBorders>
            <w:shd w:val="clear" w:color="000000" w:fill="E7E6E6"/>
            <w:vAlign w:val="center"/>
            <w:hideMark/>
          </w:tcPr>
          <w:p w14:paraId="772A331B"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 </w:t>
            </w:r>
          </w:p>
        </w:tc>
        <w:tc>
          <w:tcPr>
            <w:tcW w:w="1780" w:type="dxa"/>
            <w:tcBorders>
              <w:top w:val="nil"/>
              <w:left w:val="nil"/>
              <w:bottom w:val="nil"/>
              <w:right w:val="nil"/>
            </w:tcBorders>
            <w:shd w:val="clear" w:color="000000" w:fill="E7E6E6"/>
            <w:vAlign w:val="center"/>
            <w:hideMark/>
          </w:tcPr>
          <w:p w14:paraId="28F78C0B"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 </w:t>
            </w:r>
          </w:p>
        </w:tc>
      </w:tr>
      <w:tr w:rsidR="005967FD" w:rsidRPr="00604ED1" w14:paraId="4DE12851" w14:textId="77777777" w:rsidTr="002A2551">
        <w:trPr>
          <w:trHeight w:val="1020"/>
        </w:trPr>
        <w:tc>
          <w:tcPr>
            <w:tcW w:w="660" w:type="dxa"/>
            <w:tcBorders>
              <w:top w:val="nil"/>
              <w:left w:val="nil"/>
              <w:bottom w:val="nil"/>
              <w:right w:val="nil"/>
            </w:tcBorders>
            <w:shd w:val="clear" w:color="000000" w:fill="FFFFFF"/>
            <w:vAlign w:val="center"/>
            <w:hideMark/>
          </w:tcPr>
          <w:p w14:paraId="766E7923"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1. </w:t>
            </w:r>
          </w:p>
        </w:tc>
        <w:tc>
          <w:tcPr>
            <w:tcW w:w="4240" w:type="dxa"/>
            <w:tcBorders>
              <w:top w:val="nil"/>
              <w:left w:val="nil"/>
              <w:bottom w:val="nil"/>
              <w:right w:val="nil"/>
            </w:tcBorders>
            <w:shd w:val="clear" w:color="000000" w:fill="FFFFFF"/>
            <w:vAlign w:val="center"/>
            <w:hideMark/>
          </w:tcPr>
          <w:p w14:paraId="072A2396"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Акционарско друштво за железнички превоз путника „Србија Воз”, Београд - Реконструкција и модернизација регионалних депоа </w:t>
            </w:r>
          </w:p>
        </w:tc>
        <w:tc>
          <w:tcPr>
            <w:tcW w:w="1600" w:type="dxa"/>
            <w:tcBorders>
              <w:top w:val="nil"/>
              <w:left w:val="nil"/>
              <w:bottom w:val="nil"/>
              <w:right w:val="nil"/>
            </w:tcBorders>
            <w:shd w:val="clear" w:color="000000" w:fill="FFFFFF"/>
            <w:vAlign w:val="center"/>
            <w:hideMark/>
          </w:tcPr>
          <w:p w14:paraId="76A3EC4F"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2.952.500.000</w:t>
            </w:r>
          </w:p>
        </w:tc>
        <w:tc>
          <w:tcPr>
            <w:tcW w:w="1360" w:type="dxa"/>
            <w:tcBorders>
              <w:top w:val="nil"/>
              <w:left w:val="nil"/>
              <w:bottom w:val="nil"/>
              <w:right w:val="nil"/>
            </w:tcBorders>
            <w:shd w:val="clear" w:color="000000" w:fill="FFFFFF"/>
            <w:vAlign w:val="center"/>
            <w:hideMark/>
          </w:tcPr>
          <w:p w14:paraId="09AD8318"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608AF4E0"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25.000.000</w:t>
            </w:r>
          </w:p>
        </w:tc>
      </w:tr>
      <w:tr w:rsidR="005967FD" w:rsidRPr="00604ED1" w14:paraId="6EE4A85B" w14:textId="77777777" w:rsidTr="002A2551">
        <w:trPr>
          <w:trHeight w:val="765"/>
        </w:trPr>
        <w:tc>
          <w:tcPr>
            <w:tcW w:w="660" w:type="dxa"/>
            <w:tcBorders>
              <w:top w:val="nil"/>
              <w:left w:val="nil"/>
              <w:bottom w:val="nil"/>
              <w:right w:val="nil"/>
            </w:tcBorders>
            <w:shd w:val="clear" w:color="000000" w:fill="FFFFFF"/>
            <w:vAlign w:val="center"/>
            <w:hideMark/>
          </w:tcPr>
          <w:p w14:paraId="51D47754"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2. </w:t>
            </w:r>
          </w:p>
        </w:tc>
        <w:tc>
          <w:tcPr>
            <w:tcW w:w="4240" w:type="dxa"/>
            <w:tcBorders>
              <w:top w:val="nil"/>
              <w:left w:val="nil"/>
              <w:bottom w:val="nil"/>
              <w:right w:val="nil"/>
            </w:tcBorders>
            <w:shd w:val="clear" w:color="000000" w:fill="FFFFFF"/>
            <w:vAlign w:val="center"/>
            <w:hideMark/>
          </w:tcPr>
          <w:p w14:paraId="5EF2AB6E"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Акционарско друштво за железнички превоз робе „Србија Карго”, Београд - Набавка и реконструкција возних средстава </w:t>
            </w:r>
          </w:p>
        </w:tc>
        <w:tc>
          <w:tcPr>
            <w:tcW w:w="1600" w:type="dxa"/>
            <w:tcBorders>
              <w:top w:val="nil"/>
              <w:left w:val="nil"/>
              <w:bottom w:val="nil"/>
              <w:right w:val="nil"/>
            </w:tcBorders>
            <w:shd w:val="clear" w:color="000000" w:fill="FFFFFF"/>
            <w:vAlign w:val="center"/>
            <w:hideMark/>
          </w:tcPr>
          <w:p w14:paraId="1EA7739A"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5.078.300.000</w:t>
            </w:r>
          </w:p>
        </w:tc>
        <w:tc>
          <w:tcPr>
            <w:tcW w:w="1360" w:type="dxa"/>
            <w:tcBorders>
              <w:top w:val="nil"/>
              <w:left w:val="nil"/>
              <w:bottom w:val="nil"/>
              <w:right w:val="nil"/>
            </w:tcBorders>
            <w:shd w:val="clear" w:color="000000" w:fill="FFFFFF"/>
            <w:vAlign w:val="center"/>
            <w:hideMark/>
          </w:tcPr>
          <w:p w14:paraId="190AB037"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4A16FC94"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43.000.000</w:t>
            </w:r>
          </w:p>
        </w:tc>
      </w:tr>
      <w:tr w:rsidR="005967FD" w:rsidRPr="00604ED1" w14:paraId="1FAF248A" w14:textId="77777777" w:rsidTr="002A2551">
        <w:trPr>
          <w:trHeight w:val="510"/>
        </w:trPr>
        <w:tc>
          <w:tcPr>
            <w:tcW w:w="660" w:type="dxa"/>
            <w:tcBorders>
              <w:top w:val="nil"/>
              <w:left w:val="nil"/>
              <w:bottom w:val="nil"/>
              <w:right w:val="nil"/>
            </w:tcBorders>
            <w:shd w:val="clear" w:color="000000" w:fill="FFFFFF"/>
            <w:vAlign w:val="center"/>
            <w:hideMark/>
          </w:tcPr>
          <w:p w14:paraId="551BAF28"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3.</w:t>
            </w:r>
          </w:p>
        </w:tc>
        <w:tc>
          <w:tcPr>
            <w:tcW w:w="4240" w:type="dxa"/>
            <w:tcBorders>
              <w:top w:val="nil"/>
              <w:left w:val="nil"/>
              <w:bottom w:val="nil"/>
              <w:right w:val="nil"/>
            </w:tcBorders>
            <w:shd w:val="clear" w:color="000000" w:fill="FFFFFF"/>
            <w:vAlign w:val="center"/>
            <w:hideMark/>
          </w:tcPr>
          <w:p w14:paraId="221B745D"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АД „Електропривреда Србије” Београд</w:t>
            </w:r>
            <w:r w:rsidRPr="00604ED1">
              <w:rPr>
                <w:rFonts w:ascii="Calibri" w:eastAsia="Times New Roman" w:hAnsi="Calibri" w:cs="Calibri"/>
                <w:color w:val="203764"/>
                <w:szCs w:val="20"/>
                <w:lang w:val="sr-Cyrl-RS"/>
              </w:rPr>
              <w:br/>
              <w:t>-Ревитализација Власински ХЕ</w:t>
            </w:r>
          </w:p>
        </w:tc>
        <w:tc>
          <w:tcPr>
            <w:tcW w:w="1600" w:type="dxa"/>
            <w:tcBorders>
              <w:top w:val="nil"/>
              <w:left w:val="nil"/>
              <w:bottom w:val="nil"/>
              <w:right w:val="nil"/>
            </w:tcBorders>
            <w:shd w:val="clear" w:color="000000" w:fill="FFFFFF"/>
            <w:vAlign w:val="center"/>
            <w:hideMark/>
          </w:tcPr>
          <w:p w14:paraId="124BDDAB"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9.129.130.000</w:t>
            </w:r>
          </w:p>
        </w:tc>
        <w:tc>
          <w:tcPr>
            <w:tcW w:w="1360" w:type="dxa"/>
            <w:tcBorders>
              <w:top w:val="nil"/>
              <w:left w:val="nil"/>
              <w:bottom w:val="nil"/>
              <w:right w:val="nil"/>
            </w:tcBorders>
            <w:shd w:val="clear" w:color="000000" w:fill="FFFFFF"/>
            <w:vAlign w:val="center"/>
            <w:hideMark/>
          </w:tcPr>
          <w:p w14:paraId="0383A059"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6BAB24C9"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77.300.000</w:t>
            </w:r>
          </w:p>
        </w:tc>
      </w:tr>
      <w:tr w:rsidR="005967FD" w:rsidRPr="00604ED1" w14:paraId="20F3E756" w14:textId="77777777" w:rsidTr="002A2551">
        <w:trPr>
          <w:trHeight w:val="300"/>
        </w:trPr>
        <w:tc>
          <w:tcPr>
            <w:tcW w:w="660" w:type="dxa"/>
            <w:tcBorders>
              <w:top w:val="nil"/>
              <w:left w:val="nil"/>
              <w:bottom w:val="nil"/>
              <w:right w:val="nil"/>
            </w:tcBorders>
            <w:shd w:val="clear" w:color="000000" w:fill="FFFFFF"/>
            <w:vAlign w:val="center"/>
            <w:hideMark/>
          </w:tcPr>
          <w:p w14:paraId="1D197CCE"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c>
          <w:tcPr>
            <w:tcW w:w="4240" w:type="dxa"/>
            <w:tcBorders>
              <w:top w:val="nil"/>
              <w:left w:val="nil"/>
              <w:bottom w:val="nil"/>
              <w:right w:val="nil"/>
            </w:tcBorders>
            <w:shd w:val="clear" w:color="000000" w:fill="FFFFFF"/>
            <w:vAlign w:val="center"/>
            <w:hideMark/>
          </w:tcPr>
          <w:p w14:paraId="75D5A6ED" w14:textId="77777777" w:rsidR="005967FD" w:rsidRPr="00604ED1" w:rsidRDefault="005967FD" w:rsidP="002A2551">
            <w:pPr>
              <w:spacing w:after="0" w:line="240" w:lineRule="auto"/>
              <w:jc w:val="left"/>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Укупно:</w:t>
            </w:r>
          </w:p>
        </w:tc>
        <w:tc>
          <w:tcPr>
            <w:tcW w:w="1600" w:type="dxa"/>
            <w:tcBorders>
              <w:top w:val="nil"/>
              <w:left w:val="nil"/>
              <w:bottom w:val="nil"/>
              <w:right w:val="nil"/>
            </w:tcBorders>
            <w:shd w:val="clear" w:color="000000" w:fill="FFFFFF"/>
            <w:vAlign w:val="center"/>
            <w:hideMark/>
          </w:tcPr>
          <w:p w14:paraId="2071C5DD"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17.159.930.000</w:t>
            </w:r>
          </w:p>
        </w:tc>
        <w:tc>
          <w:tcPr>
            <w:tcW w:w="1360" w:type="dxa"/>
            <w:tcBorders>
              <w:top w:val="nil"/>
              <w:left w:val="nil"/>
              <w:bottom w:val="nil"/>
              <w:right w:val="nil"/>
            </w:tcBorders>
            <w:shd w:val="clear" w:color="000000" w:fill="FFFFFF"/>
            <w:vAlign w:val="center"/>
            <w:hideMark/>
          </w:tcPr>
          <w:p w14:paraId="47C07B30"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EUR</w:t>
            </w:r>
          </w:p>
        </w:tc>
        <w:tc>
          <w:tcPr>
            <w:tcW w:w="1780" w:type="dxa"/>
            <w:tcBorders>
              <w:top w:val="nil"/>
              <w:left w:val="nil"/>
              <w:bottom w:val="nil"/>
              <w:right w:val="nil"/>
            </w:tcBorders>
            <w:shd w:val="clear" w:color="000000" w:fill="FFFFFF"/>
            <w:vAlign w:val="center"/>
            <w:hideMark/>
          </w:tcPr>
          <w:p w14:paraId="3E42BA5A"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145.300.000</w:t>
            </w:r>
          </w:p>
        </w:tc>
      </w:tr>
      <w:tr w:rsidR="005967FD" w:rsidRPr="00604ED1" w14:paraId="5A750B4D" w14:textId="77777777" w:rsidTr="002A2551">
        <w:trPr>
          <w:trHeight w:val="300"/>
        </w:trPr>
        <w:tc>
          <w:tcPr>
            <w:tcW w:w="660" w:type="dxa"/>
            <w:tcBorders>
              <w:top w:val="nil"/>
              <w:left w:val="nil"/>
              <w:bottom w:val="nil"/>
              <w:right w:val="nil"/>
            </w:tcBorders>
            <w:shd w:val="clear" w:color="000000" w:fill="E7E6E6"/>
            <w:vAlign w:val="center"/>
            <w:hideMark/>
          </w:tcPr>
          <w:p w14:paraId="47FEA383"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II.</w:t>
            </w:r>
          </w:p>
        </w:tc>
        <w:tc>
          <w:tcPr>
            <w:tcW w:w="4240" w:type="dxa"/>
            <w:tcBorders>
              <w:top w:val="nil"/>
              <w:left w:val="nil"/>
              <w:bottom w:val="nil"/>
              <w:right w:val="nil"/>
            </w:tcBorders>
            <w:shd w:val="clear" w:color="000000" w:fill="E7E6E6"/>
            <w:vAlign w:val="center"/>
            <w:hideMark/>
          </w:tcPr>
          <w:p w14:paraId="0ED3A731" w14:textId="77777777" w:rsidR="005967FD" w:rsidRPr="00604ED1" w:rsidRDefault="005967FD" w:rsidP="002A2551">
            <w:pPr>
              <w:spacing w:after="0" w:line="240" w:lineRule="auto"/>
              <w:jc w:val="left"/>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Немачкој развојној банци (KfW)</w:t>
            </w:r>
          </w:p>
        </w:tc>
        <w:tc>
          <w:tcPr>
            <w:tcW w:w="1600" w:type="dxa"/>
            <w:tcBorders>
              <w:top w:val="nil"/>
              <w:left w:val="nil"/>
              <w:bottom w:val="nil"/>
              <w:right w:val="nil"/>
            </w:tcBorders>
            <w:shd w:val="clear" w:color="000000" w:fill="E7E6E6"/>
            <w:vAlign w:val="center"/>
            <w:hideMark/>
          </w:tcPr>
          <w:p w14:paraId="68C1CB08"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 </w:t>
            </w:r>
          </w:p>
        </w:tc>
        <w:tc>
          <w:tcPr>
            <w:tcW w:w="1360" w:type="dxa"/>
            <w:tcBorders>
              <w:top w:val="nil"/>
              <w:left w:val="nil"/>
              <w:bottom w:val="nil"/>
              <w:right w:val="nil"/>
            </w:tcBorders>
            <w:shd w:val="clear" w:color="000000" w:fill="E7E6E6"/>
            <w:vAlign w:val="center"/>
            <w:hideMark/>
          </w:tcPr>
          <w:p w14:paraId="6D96CFA4"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 </w:t>
            </w:r>
          </w:p>
        </w:tc>
        <w:tc>
          <w:tcPr>
            <w:tcW w:w="1780" w:type="dxa"/>
            <w:tcBorders>
              <w:top w:val="nil"/>
              <w:left w:val="nil"/>
              <w:bottom w:val="nil"/>
              <w:right w:val="nil"/>
            </w:tcBorders>
            <w:shd w:val="clear" w:color="000000" w:fill="E7E6E6"/>
            <w:vAlign w:val="center"/>
            <w:hideMark/>
          </w:tcPr>
          <w:p w14:paraId="4DA8A955"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 </w:t>
            </w:r>
          </w:p>
        </w:tc>
      </w:tr>
      <w:tr w:rsidR="005967FD" w:rsidRPr="00604ED1" w14:paraId="75393D57" w14:textId="77777777" w:rsidTr="002A2551">
        <w:trPr>
          <w:trHeight w:val="1020"/>
        </w:trPr>
        <w:tc>
          <w:tcPr>
            <w:tcW w:w="660" w:type="dxa"/>
            <w:tcBorders>
              <w:top w:val="nil"/>
              <w:left w:val="nil"/>
              <w:bottom w:val="nil"/>
              <w:right w:val="nil"/>
            </w:tcBorders>
            <w:shd w:val="clear" w:color="000000" w:fill="FFFFFF"/>
            <w:vAlign w:val="center"/>
            <w:hideMark/>
          </w:tcPr>
          <w:p w14:paraId="573F789D"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w:t>
            </w:r>
          </w:p>
        </w:tc>
        <w:tc>
          <w:tcPr>
            <w:tcW w:w="4240" w:type="dxa"/>
            <w:tcBorders>
              <w:top w:val="nil"/>
              <w:left w:val="nil"/>
              <w:bottom w:val="nil"/>
              <w:right w:val="nil"/>
            </w:tcBorders>
            <w:shd w:val="clear" w:color="000000" w:fill="FFFFFF"/>
            <w:vAlign w:val="center"/>
            <w:hideMark/>
          </w:tcPr>
          <w:p w14:paraId="3903119A"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АД „Електромрежа Србије” - Трансбалкански коридор, секција 4 - 2x400 kV ТС Бајина Башта - државна граница Црне Горе и државна граница БиХ</w:t>
            </w:r>
          </w:p>
        </w:tc>
        <w:tc>
          <w:tcPr>
            <w:tcW w:w="1600" w:type="dxa"/>
            <w:tcBorders>
              <w:top w:val="nil"/>
              <w:left w:val="nil"/>
              <w:bottom w:val="nil"/>
              <w:right w:val="nil"/>
            </w:tcBorders>
            <w:shd w:val="clear" w:color="000000" w:fill="FFFFFF"/>
            <w:vAlign w:val="center"/>
            <w:hideMark/>
          </w:tcPr>
          <w:p w14:paraId="45C7105F"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3.543.000.000</w:t>
            </w:r>
          </w:p>
        </w:tc>
        <w:tc>
          <w:tcPr>
            <w:tcW w:w="1360" w:type="dxa"/>
            <w:tcBorders>
              <w:top w:val="nil"/>
              <w:left w:val="nil"/>
              <w:bottom w:val="nil"/>
              <w:right w:val="nil"/>
            </w:tcBorders>
            <w:shd w:val="clear" w:color="000000" w:fill="FFFFFF"/>
            <w:vAlign w:val="center"/>
            <w:hideMark/>
          </w:tcPr>
          <w:p w14:paraId="00CBD4AC"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26AA7AE4"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30.000.000</w:t>
            </w:r>
          </w:p>
        </w:tc>
      </w:tr>
      <w:tr w:rsidR="005967FD" w:rsidRPr="00604ED1" w14:paraId="6AEA448F" w14:textId="77777777" w:rsidTr="002A2551">
        <w:trPr>
          <w:trHeight w:val="510"/>
        </w:trPr>
        <w:tc>
          <w:tcPr>
            <w:tcW w:w="660" w:type="dxa"/>
            <w:tcBorders>
              <w:top w:val="nil"/>
              <w:left w:val="nil"/>
              <w:bottom w:val="nil"/>
              <w:right w:val="nil"/>
            </w:tcBorders>
            <w:shd w:val="clear" w:color="000000" w:fill="FFFFFF"/>
            <w:vAlign w:val="center"/>
            <w:hideMark/>
          </w:tcPr>
          <w:p w14:paraId="2FF32702"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2.</w:t>
            </w:r>
          </w:p>
        </w:tc>
        <w:tc>
          <w:tcPr>
            <w:tcW w:w="4240" w:type="dxa"/>
            <w:tcBorders>
              <w:top w:val="nil"/>
              <w:left w:val="nil"/>
              <w:bottom w:val="nil"/>
              <w:right w:val="nil"/>
            </w:tcBorders>
            <w:shd w:val="clear" w:color="000000" w:fill="FFFFFF"/>
            <w:vAlign w:val="center"/>
            <w:hideMark/>
          </w:tcPr>
          <w:p w14:paraId="1E2C4548"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АД „Електромрежа Србије” - Енергетска ефикасност у преносним системима </w:t>
            </w:r>
          </w:p>
        </w:tc>
        <w:tc>
          <w:tcPr>
            <w:tcW w:w="1600" w:type="dxa"/>
            <w:tcBorders>
              <w:top w:val="nil"/>
              <w:left w:val="nil"/>
              <w:bottom w:val="nil"/>
              <w:right w:val="nil"/>
            </w:tcBorders>
            <w:shd w:val="clear" w:color="000000" w:fill="FFFFFF"/>
            <w:vAlign w:val="center"/>
            <w:hideMark/>
          </w:tcPr>
          <w:p w14:paraId="236A8E8F"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4.133.500.000</w:t>
            </w:r>
          </w:p>
        </w:tc>
        <w:tc>
          <w:tcPr>
            <w:tcW w:w="1360" w:type="dxa"/>
            <w:tcBorders>
              <w:top w:val="nil"/>
              <w:left w:val="nil"/>
              <w:bottom w:val="nil"/>
              <w:right w:val="nil"/>
            </w:tcBorders>
            <w:shd w:val="clear" w:color="000000" w:fill="FFFFFF"/>
            <w:vAlign w:val="center"/>
            <w:hideMark/>
          </w:tcPr>
          <w:p w14:paraId="49EBCEA7"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7663BA2D"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35.000.000</w:t>
            </w:r>
          </w:p>
        </w:tc>
      </w:tr>
      <w:tr w:rsidR="005967FD" w:rsidRPr="00604ED1" w14:paraId="15777795" w14:textId="77777777" w:rsidTr="002A2551">
        <w:trPr>
          <w:trHeight w:val="510"/>
        </w:trPr>
        <w:tc>
          <w:tcPr>
            <w:tcW w:w="660" w:type="dxa"/>
            <w:tcBorders>
              <w:top w:val="nil"/>
              <w:left w:val="nil"/>
              <w:bottom w:val="nil"/>
              <w:right w:val="nil"/>
            </w:tcBorders>
            <w:shd w:val="clear" w:color="000000" w:fill="FFFFFF"/>
            <w:vAlign w:val="center"/>
            <w:hideMark/>
          </w:tcPr>
          <w:p w14:paraId="385517AA"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3.</w:t>
            </w:r>
          </w:p>
        </w:tc>
        <w:tc>
          <w:tcPr>
            <w:tcW w:w="4240" w:type="dxa"/>
            <w:tcBorders>
              <w:top w:val="nil"/>
              <w:left w:val="nil"/>
              <w:bottom w:val="nil"/>
              <w:right w:val="nil"/>
            </w:tcBorders>
            <w:shd w:val="clear" w:color="000000" w:fill="FFFFFF"/>
            <w:vAlign w:val="center"/>
            <w:hideMark/>
          </w:tcPr>
          <w:p w14:paraId="33799605"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АД „Електропривреда Србије” - Ветропарк Костолац 1</w:t>
            </w:r>
          </w:p>
        </w:tc>
        <w:tc>
          <w:tcPr>
            <w:tcW w:w="1600" w:type="dxa"/>
            <w:tcBorders>
              <w:top w:val="nil"/>
              <w:left w:val="nil"/>
              <w:bottom w:val="nil"/>
              <w:right w:val="nil"/>
            </w:tcBorders>
            <w:shd w:val="clear" w:color="000000" w:fill="FFFFFF"/>
            <w:vAlign w:val="center"/>
            <w:hideMark/>
          </w:tcPr>
          <w:p w14:paraId="5A7D1FAC"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3.543.000.000</w:t>
            </w:r>
          </w:p>
        </w:tc>
        <w:tc>
          <w:tcPr>
            <w:tcW w:w="1360" w:type="dxa"/>
            <w:tcBorders>
              <w:top w:val="nil"/>
              <w:left w:val="nil"/>
              <w:bottom w:val="nil"/>
              <w:right w:val="nil"/>
            </w:tcBorders>
            <w:shd w:val="clear" w:color="000000" w:fill="FFFFFF"/>
            <w:vAlign w:val="center"/>
            <w:hideMark/>
          </w:tcPr>
          <w:p w14:paraId="0D34EBDE"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42496A15"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30.000.000</w:t>
            </w:r>
          </w:p>
        </w:tc>
      </w:tr>
      <w:tr w:rsidR="005967FD" w:rsidRPr="00604ED1" w14:paraId="4A5518BA" w14:textId="77777777" w:rsidTr="002A2551">
        <w:trPr>
          <w:trHeight w:val="300"/>
        </w:trPr>
        <w:tc>
          <w:tcPr>
            <w:tcW w:w="660" w:type="dxa"/>
            <w:tcBorders>
              <w:top w:val="nil"/>
              <w:left w:val="nil"/>
              <w:bottom w:val="nil"/>
              <w:right w:val="nil"/>
            </w:tcBorders>
            <w:shd w:val="clear" w:color="000000" w:fill="FFFFFF"/>
            <w:vAlign w:val="center"/>
            <w:hideMark/>
          </w:tcPr>
          <w:p w14:paraId="23333B57"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c>
          <w:tcPr>
            <w:tcW w:w="4240" w:type="dxa"/>
            <w:tcBorders>
              <w:top w:val="nil"/>
              <w:left w:val="nil"/>
              <w:bottom w:val="nil"/>
              <w:right w:val="nil"/>
            </w:tcBorders>
            <w:shd w:val="clear" w:color="000000" w:fill="FFFFFF"/>
            <w:vAlign w:val="center"/>
            <w:hideMark/>
          </w:tcPr>
          <w:p w14:paraId="7F783286" w14:textId="77777777" w:rsidR="005967FD" w:rsidRPr="00604ED1" w:rsidRDefault="005967FD" w:rsidP="002A2551">
            <w:pPr>
              <w:spacing w:after="0" w:line="240" w:lineRule="auto"/>
              <w:jc w:val="left"/>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Укупно:</w:t>
            </w:r>
          </w:p>
        </w:tc>
        <w:tc>
          <w:tcPr>
            <w:tcW w:w="1600" w:type="dxa"/>
            <w:tcBorders>
              <w:top w:val="nil"/>
              <w:left w:val="nil"/>
              <w:bottom w:val="nil"/>
              <w:right w:val="nil"/>
            </w:tcBorders>
            <w:shd w:val="clear" w:color="000000" w:fill="FFFFFF"/>
            <w:vAlign w:val="center"/>
            <w:hideMark/>
          </w:tcPr>
          <w:p w14:paraId="4137282E"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11.219.500.000</w:t>
            </w:r>
          </w:p>
        </w:tc>
        <w:tc>
          <w:tcPr>
            <w:tcW w:w="1360" w:type="dxa"/>
            <w:tcBorders>
              <w:top w:val="nil"/>
              <w:left w:val="nil"/>
              <w:bottom w:val="nil"/>
              <w:right w:val="nil"/>
            </w:tcBorders>
            <w:shd w:val="clear" w:color="000000" w:fill="FFFFFF"/>
            <w:vAlign w:val="center"/>
            <w:hideMark/>
          </w:tcPr>
          <w:p w14:paraId="7C0D3CF5"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EUR</w:t>
            </w:r>
          </w:p>
        </w:tc>
        <w:tc>
          <w:tcPr>
            <w:tcW w:w="1780" w:type="dxa"/>
            <w:tcBorders>
              <w:top w:val="nil"/>
              <w:left w:val="nil"/>
              <w:bottom w:val="nil"/>
              <w:right w:val="nil"/>
            </w:tcBorders>
            <w:shd w:val="clear" w:color="000000" w:fill="FFFFFF"/>
            <w:vAlign w:val="center"/>
            <w:hideMark/>
          </w:tcPr>
          <w:p w14:paraId="22E87173"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95.000.000</w:t>
            </w:r>
          </w:p>
        </w:tc>
      </w:tr>
      <w:tr w:rsidR="005967FD" w:rsidRPr="004E7112" w14:paraId="07A6B54A" w14:textId="77777777" w:rsidTr="002A2551">
        <w:trPr>
          <w:trHeight w:val="300"/>
        </w:trPr>
        <w:tc>
          <w:tcPr>
            <w:tcW w:w="660" w:type="dxa"/>
            <w:tcBorders>
              <w:top w:val="nil"/>
              <w:left w:val="nil"/>
              <w:bottom w:val="nil"/>
              <w:right w:val="nil"/>
            </w:tcBorders>
            <w:shd w:val="clear" w:color="000000" w:fill="E7E6E6"/>
            <w:vAlign w:val="center"/>
            <w:hideMark/>
          </w:tcPr>
          <w:p w14:paraId="3DA26A24"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III.</w:t>
            </w:r>
          </w:p>
        </w:tc>
        <w:tc>
          <w:tcPr>
            <w:tcW w:w="4240" w:type="dxa"/>
            <w:tcBorders>
              <w:top w:val="nil"/>
              <w:left w:val="nil"/>
              <w:bottom w:val="nil"/>
              <w:right w:val="nil"/>
            </w:tcBorders>
            <w:shd w:val="clear" w:color="000000" w:fill="E7E6E6"/>
            <w:vAlign w:val="center"/>
            <w:hideMark/>
          </w:tcPr>
          <w:p w14:paraId="1ACEC75D" w14:textId="77777777" w:rsidR="005967FD" w:rsidRPr="00604ED1" w:rsidRDefault="005967FD" w:rsidP="002A2551">
            <w:pPr>
              <w:spacing w:after="0" w:line="240" w:lineRule="auto"/>
              <w:jc w:val="left"/>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Домаћим и страним пословним банкама</w:t>
            </w:r>
          </w:p>
        </w:tc>
        <w:tc>
          <w:tcPr>
            <w:tcW w:w="1600" w:type="dxa"/>
            <w:tcBorders>
              <w:top w:val="nil"/>
              <w:left w:val="nil"/>
              <w:bottom w:val="nil"/>
              <w:right w:val="nil"/>
            </w:tcBorders>
            <w:shd w:val="clear" w:color="000000" w:fill="E7E6E6"/>
            <w:vAlign w:val="center"/>
            <w:hideMark/>
          </w:tcPr>
          <w:p w14:paraId="09C2FDED"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c>
          <w:tcPr>
            <w:tcW w:w="1360" w:type="dxa"/>
            <w:tcBorders>
              <w:top w:val="nil"/>
              <w:left w:val="nil"/>
              <w:bottom w:val="nil"/>
              <w:right w:val="nil"/>
            </w:tcBorders>
            <w:shd w:val="clear" w:color="000000" w:fill="E7E6E6"/>
            <w:vAlign w:val="center"/>
            <w:hideMark/>
          </w:tcPr>
          <w:p w14:paraId="189416FC"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c>
          <w:tcPr>
            <w:tcW w:w="1780" w:type="dxa"/>
            <w:tcBorders>
              <w:top w:val="nil"/>
              <w:left w:val="nil"/>
              <w:bottom w:val="nil"/>
              <w:right w:val="nil"/>
            </w:tcBorders>
            <w:shd w:val="clear" w:color="000000" w:fill="E7E6E6"/>
            <w:vAlign w:val="center"/>
            <w:hideMark/>
          </w:tcPr>
          <w:p w14:paraId="044289A2"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r>
      <w:tr w:rsidR="005967FD" w:rsidRPr="00604ED1" w14:paraId="505762C0" w14:textId="77777777" w:rsidTr="002A2551">
        <w:trPr>
          <w:trHeight w:val="510"/>
        </w:trPr>
        <w:tc>
          <w:tcPr>
            <w:tcW w:w="660" w:type="dxa"/>
            <w:tcBorders>
              <w:top w:val="nil"/>
              <w:left w:val="nil"/>
              <w:bottom w:val="nil"/>
              <w:right w:val="nil"/>
            </w:tcBorders>
            <w:shd w:val="clear" w:color="000000" w:fill="FFFFFF"/>
            <w:vAlign w:val="center"/>
            <w:hideMark/>
          </w:tcPr>
          <w:p w14:paraId="21859C85"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1. </w:t>
            </w:r>
          </w:p>
        </w:tc>
        <w:tc>
          <w:tcPr>
            <w:tcW w:w="4240" w:type="dxa"/>
            <w:tcBorders>
              <w:top w:val="nil"/>
              <w:left w:val="nil"/>
              <w:bottom w:val="nil"/>
              <w:right w:val="nil"/>
            </w:tcBorders>
            <w:shd w:val="clear" w:color="000000" w:fill="FFFFFF"/>
            <w:vAlign w:val="center"/>
            <w:hideMark/>
          </w:tcPr>
          <w:p w14:paraId="1DD25C7B"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ЈП „Србијагас” - Jaчање транспортних капацитета гасовода у Републици Србији</w:t>
            </w:r>
          </w:p>
        </w:tc>
        <w:tc>
          <w:tcPr>
            <w:tcW w:w="1600" w:type="dxa"/>
            <w:tcBorders>
              <w:top w:val="nil"/>
              <w:left w:val="nil"/>
              <w:bottom w:val="nil"/>
              <w:right w:val="nil"/>
            </w:tcBorders>
            <w:shd w:val="clear" w:color="000000" w:fill="FFFFFF"/>
            <w:vAlign w:val="center"/>
            <w:hideMark/>
          </w:tcPr>
          <w:p w14:paraId="2A329D12"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16.534.000.000</w:t>
            </w:r>
          </w:p>
        </w:tc>
        <w:tc>
          <w:tcPr>
            <w:tcW w:w="1360" w:type="dxa"/>
            <w:tcBorders>
              <w:top w:val="nil"/>
              <w:left w:val="nil"/>
              <w:bottom w:val="nil"/>
              <w:right w:val="nil"/>
            </w:tcBorders>
            <w:shd w:val="clear" w:color="000000" w:fill="FFFFFF"/>
            <w:vAlign w:val="center"/>
            <w:hideMark/>
          </w:tcPr>
          <w:p w14:paraId="72C092D4"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60CDC04E"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140.000.000</w:t>
            </w:r>
          </w:p>
        </w:tc>
      </w:tr>
      <w:tr w:rsidR="005967FD" w:rsidRPr="00604ED1" w14:paraId="0895094E" w14:textId="77777777" w:rsidTr="002A2551">
        <w:trPr>
          <w:trHeight w:val="510"/>
        </w:trPr>
        <w:tc>
          <w:tcPr>
            <w:tcW w:w="660" w:type="dxa"/>
            <w:tcBorders>
              <w:top w:val="nil"/>
              <w:left w:val="nil"/>
              <w:bottom w:val="nil"/>
              <w:right w:val="nil"/>
            </w:tcBorders>
            <w:shd w:val="clear" w:color="000000" w:fill="FFFFFF"/>
            <w:vAlign w:val="center"/>
            <w:hideMark/>
          </w:tcPr>
          <w:p w14:paraId="4374479A"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2. </w:t>
            </w:r>
          </w:p>
        </w:tc>
        <w:tc>
          <w:tcPr>
            <w:tcW w:w="4240" w:type="dxa"/>
            <w:tcBorders>
              <w:top w:val="nil"/>
              <w:left w:val="nil"/>
              <w:bottom w:val="nil"/>
              <w:right w:val="nil"/>
            </w:tcBorders>
            <w:shd w:val="clear" w:color="000000" w:fill="FFFFFF"/>
            <w:vAlign w:val="center"/>
            <w:hideMark/>
          </w:tcPr>
          <w:p w14:paraId="5EEBAF58"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АД „Електропривреда Србије” - Пројекат изградње хидроелектране Бук Бијела </w:t>
            </w:r>
          </w:p>
        </w:tc>
        <w:tc>
          <w:tcPr>
            <w:tcW w:w="1600" w:type="dxa"/>
            <w:tcBorders>
              <w:top w:val="nil"/>
              <w:left w:val="nil"/>
              <w:bottom w:val="nil"/>
              <w:right w:val="nil"/>
            </w:tcBorders>
            <w:shd w:val="clear" w:color="000000" w:fill="FFFFFF"/>
            <w:vAlign w:val="center"/>
            <w:hideMark/>
          </w:tcPr>
          <w:p w14:paraId="12B298FD"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29.525.000.000</w:t>
            </w:r>
          </w:p>
        </w:tc>
        <w:tc>
          <w:tcPr>
            <w:tcW w:w="1360" w:type="dxa"/>
            <w:tcBorders>
              <w:top w:val="nil"/>
              <w:left w:val="nil"/>
              <w:bottom w:val="nil"/>
              <w:right w:val="nil"/>
            </w:tcBorders>
            <w:shd w:val="clear" w:color="000000" w:fill="FFFFFF"/>
            <w:vAlign w:val="center"/>
            <w:hideMark/>
          </w:tcPr>
          <w:p w14:paraId="68A3E977"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734065F9"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250.000.000</w:t>
            </w:r>
          </w:p>
        </w:tc>
      </w:tr>
      <w:tr w:rsidR="005967FD" w:rsidRPr="00604ED1" w14:paraId="6F371426" w14:textId="77777777" w:rsidTr="002A2551">
        <w:trPr>
          <w:trHeight w:val="765"/>
        </w:trPr>
        <w:tc>
          <w:tcPr>
            <w:tcW w:w="660" w:type="dxa"/>
            <w:tcBorders>
              <w:top w:val="nil"/>
              <w:left w:val="nil"/>
              <w:bottom w:val="nil"/>
              <w:right w:val="nil"/>
            </w:tcBorders>
            <w:shd w:val="clear" w:color="000000" w:fill="FFFFFF"/>
            <w:vAlign w:val="center"/>
            <w:hideMark/>
          </w:tcPr>
          <w:p w14:paraId="5892B4F3"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3. </w:t>
            </w:r>
          </w:p>
        </w:tc>
        <w:tc>
          <w:tcPr>
            <w:tcW w:w="4240" w:type="dxa"/>
            <w:tcBorders>
              <w:top w:val="nil"/>
              <w:left w:val="nil"/>
              <w:bottom w:val="nil"/>
              <w:right w:val="nil"/>
            </w:tcBorders>
            <w:shd w:val="clear" w:color="000000" w:fill="FFFFFF"/>
            <w:vAlign w:val="center"/>
            <w:hideMark/>
          </w:tcPr>
          <w:p w14:paraId="0F34B049" w14:textId="57EE6D02"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„Електродистрибуција Србије</w:t>
            </w:r>
            <w:r w:rsidR="00C9504A" w:rsidRPr="00C9504A">
              <w:rPr>
                <w:rFonts w:ascii="Calibri" w:eastAsia="Times New Roman" w:hAnsi="Calibri" w:cs="Calibri"/>
                <w:color w:val="203764"/>
                <w:szCs w:val="20"/>
                <w:lang w:val="sr-Cyrl-RS"/>
              </w:rPr>
              <w:t>”</w:t>
            </w:r>
            <w:r w:rsidRPr="00604ED1">
              <w:rPr>
                <w:rFonts w:ascii="Calibri" w:eastAsia="Times New Roman" w:hAnsi="Calibri" w:cs="Calibri"/>
                <w:color w:val="203764"/>
                <w:szCs w:val="20"/>
                <w:lang w:val="sr-Cyrl-RS"/>
              </w:rPr>
              <w:t xml:space="preserve"> д.о.о. Београд - Пројекат аутоматизације средњенапонске дистрибутивне мреже</w:t>
            </w:r>
          </w:p>
        </w:tc>
        <w:tc>
          <w:tcPr>
            <w:tcW w:w="1600" w:type="dxa"/>
            <w:tcBorders>
              <w:top w:val="nil"/>
              <w:left w:val="nil"/>
              <w:bottom w:val="nil"/>
              <w:right w:val="nil"/>
            </w:tcBorders>
            <w:shd w:val="clear" w:color="000000" w:fill="FFFFFF"/>
            <w:vAlign w:val="center"/>
            <w:hideMark/>
          </w:tcPr>
          <w:p w14:paraId="735BAA79"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11.473.619.077</w:t>
            </w:r>
          </w:p>
        </w:tc>
        <w:tc>
          <w:tcPr>
            <w:tcW w:w="1360" w:type="dxa"/>
            <w:tcBorders>
              <w:top w:val="nil"/>
              <w:left w:val="nil"/>
              <w:bottom w:val="nil"/>
              <w:right w:val="nil"/>
            </w:tcBorders>
            <w:shd w:val="clear" w:color="000000" w:fill="FFFFFF"/>
            <w:vAlign w:val="center"/>
            <w:hideMark/>
          </w:tcPr>
          <w:p w14:paraId="1EA7C883"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25C41A70"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97.151.728</w:t>
            </w:r>
          </w:p>
        </w:tc>
      </w:tr>
      <w:tr w:rsidR="005967FD" w:rsidRPr="00604ED1" w14:paraId="263DD007" w14:textId="77777777" w:rsidTr="002A2551">
        <w:trPr>
          <w:trHeight w:val="765"/>
        </w:trPr>
        <w:tc>
          <w:tcPr>
            <w:tcW w:w="660" w:type="dxa"/>
            <w:tcBorders>
              <w:top w:val="nil"/>
              <w:left w:val="nil"/>
              <w:bottom w:val="nil"/>
              <w:right w:val="nil"/>
            </w:tcBorders>
            <w:shd w:val="clear" w:color="000000" w:fill="FFFFFF"/>
            <w:vAlign w:val="center"/>
            <w:hideMark/>
          </w:tcPr>
          <w:p w14:paraId="2F0CF15D"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lastRenderedPageBreak/>
              <w:t xml:space="preserve">4. </w:t>
            </w:r>
          </w:p>
        </w:tc>
        <w:tc>
          <w:tcPr>
            <w:tcW w:w="4240" w:type="dxa"/>
            <w:tcBorders>
              <w:top w:val="nil"/>
              <w:left w:val="nil"/>
              <w:bottom w:val="nil"/>
              <w:right w:val="nil"/>
            </w:tcBorders>
            <w:shd w:val="clear" w:color="000000" w:fill="FFFFFF"/>
            <w:vAlign w:val="center"/>
            <w:hideMark/>
          </w:tcPr>
          <w:p w14:paraId="1E94447E"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Акционарско друштво за железнички превоз робе „Србија Карго”, Београд - Програм обнове возних средстава</w:t>
            </w:r>
          </w:p>
        </w:tc>
        <w:tc>
          <w:tcPr>
            <w:tcW w:w="1600" w:type="dxa"/>
            <w:tcBorders>
              <w:top w:val="nil"/>
              <w:left w:val="nil"/>
              <w:bottom w:val="nil"/>
              <w:right w:val="nil"/>
            </w:tcBorders>
            <w:shd w:val="clear" w:color="000000" w:fill="FFFFFF"/>
            <w:vAlign w:val="center"/>
            <w:hideMark/>
          </w:tcPr>
          <w:p w14:paraId="39146918"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1.771.500.000</w:t>
            </w:r>
          </w:p>
        </w:tc>
        <w:tc>
          <w:tcPr>
            <w:tcW w:w="1360" w:type="dxa"/>
            <w:tcBorders>
              <w:top w:val="nil"/>
              <w:left w:val="nil"/>
              <w:bottom w:val="nil"/>
              <w:right w:val="nil"/>
            </w:tcBorders>
            <w:shd w:val="clear" w:color="000000" w:fill="FFFFFF"/>
            <w:vAlign w:val="center"/>
            <w:hideMark/>
          </w:tcPr>
          <w:p w14:paraId="5F1096F5"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1A7C1BA9"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15.000.000</w:t>
            </w:r>
          </w:p>
        </w:tc>
      </w:tr>
      <w:tr w:rsidR="005967FD" w:rsidRPr="00604ED1" w14:paraId="762A8EF9" w14:textId="77777777" w:rsidTr="002A2551">
        <w:trPr>
          <w:trHeight w:val="510"/>
        </w:trPr>
        <w:tc>
          <w:tcPr>
            <w:tcW w:w="660" w:type="dxa"/>
            <w:tcBorders>
              <w:top w:val="nil"/>
              <w:left w:val="nil"/>
              <w:bottom w:val="nil"/>
              <w:right w:val="nil"/>
            </w:tcBorders>
            <w:shd w:val="clear" w:color="000000" w:fill="FFFFFF"/>
            <w:vAlign w:val="center"/>
            <w:hideMark/>
          </w:tcPr>
          <w:p w14:paraId="2C6267C6"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5. </w:t>
            </w:r>
          </w:p>
        </w:tc>
        <w:tc>
          <w:tcPr>
            <w:tcW w:w="4240" w:type="dxa"/>
            <w:tcBorders>
              <w:top w:val="nil"/>
              <w:left w:val="nil"/>
              <w:bottom w:val="nil"/>
              <w:right w:val="nil"/>
            </w:tcBorders>
            <w:shd w:val="clear" w:color="000000" w:fill="FFFFFF"/>
            <w:vAlign w:val="center"/>
            <w:hideMark/>
          </w:tcPr>
          <w:p w14:paraId="5633D87E"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АД „Електропривреда Србије” - Ревитализација хидроелектране „Ђердап 2ˮ</w:t>
            </w:r>
          </w:p>
        </w:tc>
        <w:tc>
          <w:tcPr>
            <w:tcW w:w="1600" w:type="dxa"/>
            <w:tcBorders>
              <w:top w:val="nil"/>
              <w:left w:val="nil"/>
              <w:bottom w:val="nil"/>
              <w:right w:val="nil"/>
            </w:tcBorders>
            <w:shd w:val="clear" w:color="000000" w:fill="FFFFFF"/>
            <w:vAlign w:val="center"/>
            <w:hideMark/>
          </w:tcPr>
          <w:p w14:paraId="1E053124"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25.155.300.000</w:t>
            </w:r>
          </w:p>
        </w:tc>
        <w:tc>
          <w:tcPr>
            <w:tcW w:w="1360" w:type="dxa"/>
            <w:tcBorders>
              <w:top w:val="nil"/>
              <w:left w:val="nil"/>
              <w:bottom w:val="nil"/>
              <w:right w:val="nil"/>
            </w:tcBorders>
            <w:shd w:val="clear" w:color="000000" w:fill="FFFFFF"/>
            <w:vAlign w:val="center"/>
            <w:hideMark/>
          </w:tcPr>
          <w:p w14:paraId="483B03F9"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1B1455C1"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213.000.000</w:t>
            </w:r>
          </w:p>
        </w:tc>
      </w:tr>
      <w:tr w:rsidR="005967FD" w:rsidRPr="00604ED1" w14:paraId="3DB91363" w14:textId="77777777" w:rsidTr="002A2551">
        <w:trPr>
          <w:trHeight w:val="765"/>
        </w:trPr>
        <w:tc>
          <w:tcPr>
            <w:tcW w:w="660" w:type="dxa"/>
            <w:tcBorders>
              <w:top w:val="nil"/>
              <w:left w:val="nil"/>
              <w:bottom w:val="nil"/>
              <w:right w:val="nil"/>
            </w:tcBorders>
            <w:shd w:val="clear" w:color="000000" w:fill="FFFFFF"/>
            <w:vAlign w:val="center"/>
            <w:hideMark/>
          </w:tcPr>
          <w:p w14:paraId="59BBD9B2"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6. </w:t>
            </w:r>
          </w:p>
        </w:tc>
        <w:tc>
          <w:tcPr>
            <w:tcW w:w="4240" w:type="dxa"/>
            <w:tcBorders>
              <w:top w:val="nil"/>
              <w:left w:val="nil"/>
              <w:bottom w:val="nil"/>
              <w:right w:val="nil"/>
            </w:tcBorders>
            <w:shd w:val="clear" w:color="000000" w:fill="FFFFFF"/>
            <w:vAlign w:val="center"/>
            <w:hideMark/>
          </w:tcPr>
          <w:p w14:paraId="169B6998"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АД „Електропривреда Србије” - Постројење за комбиновано ко-сагоревање биомасе/ОИЕ ТЕ Колубара Б</w:t>
            </w:r>
          </w:p>
        </w:tc>
        <w:tc>
          <w:tcPr>
            <w:tcW w:w="1600" w:type="dxa"/>
            <w:tcBorders>
              <w:top w:val="nil"/>
              <w:left w:val="nil"/>
              <w:bottom w:val="nil"/>
              <w:right w:val="nil"/>
            </w:tcBorders>
            <w:shd w:val="clear" w:color="000000" w:fill="FFFFFF"/>
            <w:vAlign w:val="center"/>
            <w:hideMark/>
          </w:tcPr>
          <w:p w14:paraId="632E9D38"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46.709.140.500</w:t>
            </w:r>
          </w:p>
        </w:tc>
        <w:tc>
          <w:tcPr>
            <w:tcW w:w="1360" w:type="dxa"/>
            <w:tcBorders>
              <w:top w:val="nil"/>
              <w:left w:val="nil"/>
              <w:bottom w:val="nil"/>
              <w:right w:val="nil"/>
            </w:tcBorders>
            <w:shd w:val="clear" w:color="000000" w:fill="FFFFFF"/>
            <w:vAlign w:val="center"/>
            <w:hideMark/>
          </w:tcPr>
          <w:p w14:paraId="0E52659B"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0A10B33E"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395.505.000</w:t>
            </w:r>
          </w:p>
        </w:tc>
      </w:tr>
      <w:tr w:rsidR="005967FD" w:rsidRPr="00604ED1" w14:paraId="24540DE9" w14:textId="77777777" w:rsidTr="002A2551">
        <w:trPr>
          <w:trHeight w:val="510"/>
        </w:trPr>
        <w:tc>
          <w:tcPr>
            <w:tcW w:w="660" w:type="dxa"/>
            <w:tcBorders>
              <w:top w:val="nil"/>
              <w:left w:val="nil"/>
              <w:bottom w:val="nil"/>
              <w:right w:val="nil"/>
            </w:tcBorders>
            <w:shd w:val="clear" w:color="000000" w:fill="FFFFFF"/>
            <w:vAlign w:val="center"/>
            <w:hideMark/>
          </w:tcPr>
          <w:p w14:paraId="002989D8"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7. </w:t>
            </w:r>
          </w:p>
        </w:tc>
        <w:tc>
          <w:tcPr>
            <w:tcW w:w="4240" w:type="dxa"/>
            <w:tcBorders>
              <w:top w:val="nil"/>
              <w:left w:val="nil"/>
              <w:bottom w:val="nil"/>
              <w:right w:val="nil"/>
            </w:tcBorders>
            <w:shd w:val="clear" w:color="000000" w:fill="FFFFFF"/>
            <w:vAlign w:val="center"/>
            <w:hideMark/>
          </w:tcPr>
          <w:p w14:paraId="5499E4E1"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АД „Електропривреда Србије” - Замена система за транспорт пепела и шљаке ТЕНТ А</w:t>
            </w:r>
          </w:p>
        </w:tc>
        <w:tc>
          <w:tcPr>
            <w:tcW w:w="1600" w:type="dxa"/>
            <w:tcBorders>
              <w:top w:val="nil"/>
              <w:left w:val="nil"/>
              <w:bottom w:val="nil"/>
              <w:right w:val="nil"/>
            </w:tcBorders>
            <w:shd w:val="clear" w:color="000000" w:fill="FFFFFF"/>
            <w:vAlign w:val="center"/>
            <w:hideMark/>
          </w:tcPr>
          <w:p w14:paraId="2EEE7B89"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14.762.500.000</w:t>
            </w:r>
          </w:p>
        </w:tc>
        <w:tc>
          <w:tcPr>
            <w:tcW w:w="1360" w:type="dxa"/>
            <w:tcBorders>
              <w:top w:val="nil"/>
              <w:left w:val="nil"/>
              <w:bottom w:val="nil"/>
              <w:right w:val="nil"/>
            </w:tcBorders>
            <w:shd w:val="clear" w:color="000000" w:fill="FFFFFF"/>
            <w:vAlign w:val="center"/>
            <w:hideMark/>
          </w:tcPr>
          <w:p w14:paraId="0E05F8EF"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162BAB37"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125.000.000</w:t>
            </w:r>
          </w:p>
        </w:tc>
      </w:tr>
      <w:tr w:rsidR="005967FD" w:rsidRPr="00604ED1" w14:paraId="756F2E6B" w14:textId="77777777" w:rsidTr="002A2551">
        <w:trPr>
          <w:trHeight w:val="510"/>
        </w:trPr>
        <w:tc>
          <w:tcPr>
            <w:tcW w:w="660" w:type="dxa"/>
            <w:tcBorders>
              <w:top w:val="nil"/>
              <w:left w:val="nil"/>
              <w:bottom w:val="nil"/>
              <w:right w:val="nil"/>
            </w:tcBorders>
            <w:shd w:val="clear" w:color="000000" w:fill="FFFFFF"/>
            <w:vAlign w:val="center"/>
            <w:hideMark/>
          </w:tcPr>
          <w:p w14:paraId="47A66E93"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8. </w:t>
            </w:r>
          </w:p>
        </w:tc>
        <w:tc>
          <w:tcPr>
            <w:tcW w:w="4240" w:type="dxa"/>
            <w:tcBorders>
              <w:top w:val="nil"/>
              <w:left w:val="nil"/>
              <w:bottom w:val="nil"/>
              <w:right w:val="nil"/>
            </w:tcBorders>
            <w:shd w:val="clear" w:color="000000" w:fill="FFFFFF"/>
            <w:vAlign w:val="center"/>
            <w:hideMark/>
          </w:tcPr>
          <w:p w14:paraId="56ECC974"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АД „Електропривреда Србије” - Изградња РХЕ Бистрица</w:t>
            </w:r>
          </w:p>
        </w:tc>
        <w:tc>
          <w:tcPr>
            <w:tcW w:w="1600" w:type="dxa"/>
            <w:tcBorders>
              <w:top w:val="nil"/>
              <w:left w:val="nil"/>
              <w:bottom w:val="nil"/>
              <w:right w:val="nil"/>
            </w:tcBorders>
            <w:shd w:val="clear" w:color="000000" w:fill="FFFFFF"/>
            <w:vAlign w:val="center"/>
            <w:hideMark/>
          </w:tcPr>
          <w:p w14:paraId="54F94EFE"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106.290.000.000</w:t>
            </w:r>
          </w:p>
        </w:tc>
        <w:tc>
          <w:tcPr>
            <w:tcW w:w="1360" w:type="dxa"/>
            <w:tcBorders>
              <w:top w:val="nil"/>
              <w:left w:val="nil"/>
              <w:bottom w:val="nil"/>
              <w:right w:val="nil"/>
            </w:tcBorders>
            <w:shd w:val="clear" w:color="000000" w:fill="FFFFFF"/>
            <w:vAlign w:val="center"/>
            <w:hideMark/>
          </w:tcPr>
          <w:p w14:paraId="7B5836AB"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02363A82"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900.000.000</w:t>
            </w:r>
          </w:p>
        </w:tc>
      </w:tr>
      <w:tr w:rsidR="005967FD" w:rsidRPr="00604ED1" w14:paraId="3F8291F0" w14:textId="77777777" w:rsidTr="002A2551">
        <w:trPr>
          <w:trHeight w:val="510"/>
        </w:trPr>
        <w:tc>
          <w:tcPr>
            <w:tcW w:w="660" w:type="dxa"/>
            <w:tcBorders>
              <w:top w:val="nil"/>
              <w:left w:val="nil"/>
              <w:bottom w:val="nil"/>
              <w:right w:val="nil"/>
            </w:tcBorders>
            <w:shd w:val="clear" w:color="000000" w:fill="FFFFFF"/>
            <w:vAlign w:val="center"/>
            <w:hideMark/>
          </w:tcPr>
          <w:p w14:paraId="4554AA9F"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9. </w:t>
            </w:r>
          </w:p>
        </w:tc>
        <w:tc>
          <w:tcPr>
            <w:tcW w:w="4240" w:type="dxa"/>
            <w:tcBorders>
              <w:top w:val="nil"/>
              <w:left w:val="nil"/>
              <w:bottom w:val="nil"/>
              <w:right w:val="nil"/>
            </w:tcBorders>
            <w:shd w:val="clear" w:color="000000" w:fill="FFFFFF"/>
            <w:vAlign w:val="center"/>
            <w:hideMark/>
          </w:tcPr>
          <w:p w14:paraId="5C2267F5"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АД „Електропривреда Србије” - Ревитализација ХЕ Бистрица</w:t>
            </w:r>
          </w:p>
        </w:tc>
        <w:tc>
          <w:tcPr>
            <w:tcW w:w="1600" w:type="dxa"/>
            <w:tcBorders>
              <w:top w:val="nil"/>
              <w:left w:val="nil"/>
              <w:bottom w:val="nil"/>
              <w:right w:val="nil"/>
            </w:tcBorders>
            <w:shd w:val="clear" w:color="000000" w:fill="FFFFFF"/>
            <w:vAlign w:val="center"/>
            <w:hideMark/>
          </w:tcPr>
          <w:p w14:paraId="2EFB05CF"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4.133.500.000</w:t>
            </w:r>
          </w:p>
        </w:tc>
        <w:tc>
          <w:tcPr>
            <w:tcW w:w="1360" w:type="dxa"/>
            <w:tcBorders>
              <w:top w:val="nil"/>
              <w:left w:val="nil"/>
              <w:bottom w:val="nil"/>
              <w:right w:val="nil"/>
            </w:tcBorders>
            <w:shd w:val="clear" w:color="000000" w:fill="FFFFFF"/>
            <w:vAlign w:val="center"/>
            <w:hideMark/>
          </w:tcPr>
          <w:p w14:paraId="6F1AADF0"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6D8FC4EC"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35.000.000</w:t>
            </w:r>
          </w:p>
        </w:tc>
      </w:tr>
      <w:tr w:rsidR="005967FD" w:rsidRPr="00604ED1" w14:paraId="503C8B97" w14:textId="77777777" w:rsidTr="002A2551">
        <w:trPr>
          <w:trHeight w:val="510"/>
        </w:trPr>
        <w:tc>
          <w:tcPr>
            <w:tcW w:w="660" w:type="dxa"/>
            <w:tcBorders>
              <w:top w:val="nil"/>
              <w:left w:val="nil"/>
              <w:bottom w:val="nil"/>
              <w:right w:val="nil"/>
            </w:tcBorders>
            <w:shd w:val="clear" w:color="000000" w:fill="FFFFFF"/>
            <w:vAlign w:val="center"/>
            <w:hideMark/>
          </w:tcPr>
          <w:p w14:paraId="0F2575F0"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10. </w:t>
            </w:r>
          </w:p>
        </w:tc>
        <w:tc>
          <w:tcPr>
            <w:tcW w:w="4240" w:type="dxa"/>
            <w:tcBorders>
              <w:top w:val="nil"/>
              <w:left w:val="nil"/>
              <w:bottom w:val="nil"/>
              <w:right w:val="nil"/>
            </w:tcBorders>
            <w:shd w:val="clear" w:color="000000" w:fill="FFFFFF"/>
            <w:vAlign w:val="center"/>
            <w:hideMark/>
          </w:tcPr>
          <w:p w14:paraId="2B2A322F"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АД „Електропривреда Србије” - Ревитализација ХЕ Потпећ</w:t>
            </w:r>
          </w:p>
        </w:tc>
        <w:tc>
          <w:tcPr>
            <w:tcW w:w="1600" w:type="dxa"/>
            <w:tcBorders>
              <w:top w:val="nil"/>
              <w:left w:val="nil"/>
              <w:bottom w:val="nil"/>
              <w:right w:val="nil"/>
            </w:tcBorders>
            <w:shd w:val="clear" w:color="000000" w:fill="FFFFFF"/>
            <w:vAlign w:val="center"/>
            <w:hideMark/>
          </w:tcPr>
          <w:p w14:paraId="0CD3FF2F"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7.676.500.000</w:t>
            </w:r>
          </w:p>
        </w:tc>
        <w:tc>
          <w:tcPr>
            <w:tcW w:w="1360" w:type="dxa"/>
            <w:tcBorders>
              <w:top w:val="nil"/>
              <w:left w:val="nil"/>
              <w:bottom w:val="nil"/>
              <w:right w:val="nil"/>
            </w:tcBorders>
            <w:shd w:val="clear" w:color="000000" w:fill="FFFFFF"/>
            <w:vAlign w:val="center"/>
            <w:hideMark/>
          </w:tcPr>
          <w:p w14:paraId="3BF153D7"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342A2790"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65.000.000</w:t>
            </w:r>
          </w:p>
        </w:tc>
      </w:tr>
      <w:tr w:rsidR="005967FD" w:rsidRPr="00604ED1" w14:paraId="5DCA90D6" w14:textId="77777777" w:rsidTr="002A2551">
        <w:trPr>
          <w:trHeight w:val="510"/>
        </w:trPr>
        <w:tc>
          <w:tcPr>
            <w:tcW w:w="660" w:type="dxa"/>
            <w:tcBorders>
              <w:top w:val="nil"/>
              <w:left w:val="nil"/>
              <w:bottom w:val="nil"/>
              <w:right w:val="nil"/>
            </w:tcBorders>
            <w:shd w:val="clear" w:color="000000" w:fill="FFFFFF"/>
            <w:vAlign w:val="center"/>
            <w:hideMark/>
          </w:tcPr>
          <w:p w14:paraId="3DC3F640"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11. </w:t>
            </w:r>
          </w:p>
        </w:tc>
        <w:tc>
          <w:tcPr>
            <w:tcW w:w="4240" w:type="dxa"/>
            <w:tcBorders>
              <w:top w:val="nil"/>
              <w:left w:val="nil"/>
              <w:bottom w:val="nil"/>
              <w:right w:val="nil"/>
            </w:tcBorders>
            <w:shd w:val="clear" w:color="000000" w:fill="FFFFFF"/>
            <w:vAlign w:val="center"/>
            <w:hideMark/>
          </w:tcPr>
          <w:p w14:paraId="21CAB949"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„Електродистрибуција Србије” д.о.о. Београд - Унапређење дистрибутивне мреже</w:t>
            </w:r>
          </w:p>
        </w:tc>
        <w:tc>
          <w:tcPr>
            <w:tcW w:w="1600" w:type="dxa"/>
            <w:tcBorders>
              <w:top w:val="nil"/>
              <w:left w:val="nil"/>
              <w:bottom w:val="nil"/>
              <w:right w:val="nil"/>
            </w:tcBorders>
            <w:shd w:val="clear" w:color="000000" w:fill="FFFFFF"/>
            <w:vAlign w:val="center"/>
            <w:hideMark/>
          </w:tcPr>
          <w:p w14:paraId="7932FCA8"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5.905.000.000</w:t>
            </w:r>
          </w:p>
        </w:tc>
        <w:tc>
          <w:tcPr>
            <w:tcW w:w="1360" w:type="dxa"/>
            <w:tcBorders>
              <w:top w:val="nil"/>
              <w:left w:val="nil"/>
              <w:bottom w:val="nil"/>
              <w:right w:val="nil"/>
            </w:tcBorders>
            <w:shd w:val="clear" w:color="000000" w:fill="FFFFFF"/>
            <w:vAlign w:val="center"/>
            <w:hideMark/>
          </w:tcPr>
          <w:p w14:paraId="3413C2C0"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75231431"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50.000.000</w:t>
            </w:r>
          </w:p>
        </w:tc>
      </w:tr>
      <w:tr w:rsidR="005967FD" w:rsidRPr="00604ED1" w14:paraId="399AC338" w14:textId="77777777" w:rsidTr="002A2551">
        <w:trPr>
          <w:trHeight w:val="300"/>
        </w:trPr>
        <w:tc>
          <w:tcPr>
            <w:tcW w:w="660" w:type="dxa"/>
            <w:tcBorders>
              <w:top w:val="nil"/>
              <w:left w:val="nil"/>
              <w:bottom w:val="nil"/>
              <w:right w:val="nil"/>
            </w:tcBorders>
            <w:shd w:val="clear" w:color="000000" w:fill="FFFFFF"/>
            <w:vAlign w:val="center"/>
            <w:hideMark/>
          </w:tcPr>
          <w:p w14:paraId="3F235774"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c>
          <w:tcPr>
            <w:tcW w:w="4240" w:type="dxa"/>
            <w:tcBorders>
              <w:top w:val="nil"/>
              <w:left w:val="nil"/>
              <w:bottom w:val="nil"/>
              <w:right w:val="nil"/>
            </w:tcBorders>
            <w:shd w:val="clear" w:color="000000" w:fill="FFFFFF"/>
            <w:vAlign w:val="center"/>
            <w:hideMark/>
          </w:tcPr>
          <w:p w14:paraId="49DEE4B1" w14:textId="77777777" w:rsidR="005967FD" w:rsidRPr="00604ED1" w:rsidRDefault="005967FD" w:rsidP="002A2551">
            <w:pPr>
              <w:spacing w:after="0" w:line="240" w:lineRule="auto"/>
              <w:jc w:val="left"/>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Укупно:</w:t>
            </w:r>
          </w:p>
        </w:tc>
        <w:tc>
          <w:tcPr>
            <w:tcW w:w="1600" w:type="dxa"/>
            <w:tcBorders>
              <w:top w:val="nil"/>
              <w:left w:val="nil"/>
              <w:bottom w:val="nil"/>
              <w:right w:val="nil"/>
            </w:tcBorders>
            <w:shd w:val="clear" w:color="000000" w:fill="FFFFFF"/>
            <w:vAlign w:val="center"/>
            <w:hideMark/>
          </w:tcPr>
          <w:p w14:paraId="06F83531"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269.936.059.577</w:t>
            </w:r>
          </w:p>
        </w:tc>
        <w:tc>
          <w:tcPr>
            <w:tcW w:w="1360" w:type="dxa"/>
            <w:tcBorders>
              <w:top w:val="nil"/>
              <w:left w:val="nil"/>
              <w:bottom w:val="nil"/>
              <w:right w:val="nil"/>
            </w:tcBorders>
            <w:shd w:val="clear" w:color="000000" w:fill="FFFFFF"/>
            <w:vAlign w:val="center"/>
            <w:hideMark/>
          </w:tcPr>
          <w:p w14:paraId="7B1D58F0"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EUR</w:t>
            </w:r>
          </w:p>
        </w:tc>
        <w:tc>
          <w:tcPr>
            <w:tcW w:w="1780" w:type="dxa"/>
            <w:tcBorders>
              <w:top w:val="nil"/>
              <w:left w:val="nil"/>
              <w:bottom w:val="nil"/>
              <w:right w:val="nil"/>
            </w:tcBorders>
            <w:shd w:val="clear" w:color="000000" w:fill="FFFFFF"/>
            <w:vAlign w:val="center"/>
            <w:hideMark/>
          </w:tcPr>
          <w:p w14:paraId="2FE9DB9C"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2.285.656.728</w:t>
            </w:r>
          </w:p>
        </w:tc>
      </w:tr>
      <w:tr w:rsidR="005967FD" w:rsidRPr="00604ED1" w14:paraId="61239751" w14:textId="77777777" w:rsidTr="002A2551">
        <w:trPr>
          <w:trHeight w:val="300"/>
        </w:trPr>
        <w:tc>
          <w:tcPr>
            <w:tcW w:w="660" w:type="dxa"/>
            <w:tcBorders>
              <w:top w:val="nil"/>
              <w:left w:val="nil"/>
              <w:bottom w:val="nil"/>
              <w:right w:val="nil"/>
            </w:tcBorders>
            <w:shd w:val="clear" w:color="000000" w:fill="E7E6E6"/>
            <w:vAlign w:val="center"/>
            <w:hideMark/>
          </w:tcPr>
          <w:p w14:paraId="01400321"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IV.</w:t>
            </w:r>
          </w:p>
        </w:tc>
        <w:tc>
          <w:tcPr>
            <w:tcW w:w="4240" w:type="dxa"/>
            <w:tcBorders>
              <w:top w:val="nil"/>
              <w:left w:val="nil"/>
              <w:bottom w:val="nil"/>
              <w:right w:val="nil"/>
            </w:tcBorders>
            <w:shd w:val="clear" w:color="000000" w:fill="E7E6E6"/>
            <w:vAlign w:val="center"/>
            <w:hideMark/>
          </w:tcPr>
          <w:p w14:paraId="0FC4BCEB" w14:textId="77777777" w:rsidR="005967FD" w:rsidRPr="00604ED1" w:rsidRDefault="005967FD" w:rsidP="002A2551">
            <w:pPr>
              <w:spacing w:after="0" w:line="240" w:lineRule="auto"/>
              <w:jc w:val="left"/>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Европској инвестиционој банци</w:t>
            </w:r>
          </w:p>
        </w:tc>
        <w:tc>
          <w:tcPr>
            <w:tcW w:w="1600" w:type="dxa"/>
            <w:tcBorders>
              <w:top w:val="nil"/>
              <w:left w:val="nil"/>
              <w:bottom w:val="nil"/>
              <w:right w:val="nil"/>
            </w:tcBorders>
            <w:shd w:val="clear" w:color="000000" w:fill="E7E6E6"/>
            <w:vAlign w:val="center"/>
            <w:hideMark/>
          </w:tcPr>
          <w:p w14:paraId="09903222"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c>
          <w:tcPr>
            <w:tcW w:w="1360" w:type="dxa"/>
            <w:tcBorders>
              <w:top w:val="nil"/>
              <w:left w:val="nil"/>
              <w:bottom w:val="nil"/>
              <w:right w:val="nil"/>
            </w:tcBorders>
            <w:shd w:val="clear" w:color="000000" w:fill="E7E6E6"/>
            <w:vAlign w:val="center"/>
            <w:hideMark/>
          </w:tcPr>
          <w:p w14:paraId="7BDFE826"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c>
          <w:tcPr>
            <w:tcW w:w="1780" w:type="dxa"/>
            <w:tcBorders>
              <w:top w:val="nil"/>
              <w:left w:val="nil"/>
              <w:bottom w:val="nil"/>
              <w:right w:val="nil"/>
            </w:tcBorders>
            <w:shd w:val="clear" w:color="000000" w:fill="E7E6E6"/>
            <w:vAlign w:val="center"/>
            <w:hideMark/>
          </w:tcPr>
          <w:p w14:paraId="57D9FF4A"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r>
      <w:tr w:rsidR="005967FD" w:rsidRPr="00604ED1" w14:paraId="4F53CCBA" w14:textId="77777777" w:rsidTr="002A2551">
        <w:trPr>
          <w:trHeight w:val="510"/>
        </w:trPr>
        <w:tc>
          <w:tcPr>
            <w:tcW w:w="660" w:type="dxa"/>
            <w:tcBorders>
              <w:top w:val="nil"/>
              <w:left w:val="nil"/>
              <w:bottom w:val="nil"/>
              <w:right w:val="nil"/>
            </w:tcBorders>
            <w:shd w:val="clear" w:color="000000" w:fill="FFFFFF"/>
            <w:vAlign w:val="center"/>
            <w:hideMark/>
          </w:tcPr>
          <w:p w14:paraId="2D70EBAC"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w:t>
            </w:r>
          </w:p>
        </w:tc>
        <w:tc>
          <w:tcPr>
            <w:tcW w:w="4240" w:type="dxa"/>
            <w:tcBorders>
              <w:top w:val="nil"/>
              <w:left w:val="nil"/>
              <w:bottom w:val="nil"/>
              <w:right w:val="nil"/>
            </w:tcBorders>
            <w:shd w:val="clear" w:color="000000" w:fill="FFFFFF"/>
            <w:vAlign w:val="center"/>
            <w:hideMark/>
          </w:tcPr>
          <w:p w14:paraId="600DF8E1"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„Електродистрибуција Србије” д.о.о. Београд - Пројекат за паметна бројила</w:t>
            </w:r>
          </w:p>
        </w:tc>
        <w:tc>
          <w:tcPr>
            <w:tcW w:w="1600" w:type="dxa"/>
            <w:tcBorders>
              <w:top w:val="nil"/>
              <w:left w:val="nil"/>
              <w:bottom w:val="nil"/>
              <w:right w:val="nil"/>
            </w:tcBorders>
            <w:shd w:val="clear" w:color="000000" w:fill="FFFFFF"/>
            <w:vAlign w:val="center"/>
            <w:hideMark/>
          </w:tcPr>
          <w:p w14:paraId="1311AFF3"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9.448.000.000</w:t>
            </w:r>
          </w:p>
        </w:tc>
        <w:tc>
          <w:tcPr>
            <w:tcW w:w="1360" w:type="dxa"/>
            <w:tcBorders>
              <w:top w:val="nil"/>
              <w:left w:val="nil"/>
              <w:bottom w:val="nil"/>
              <w:right w:val="nil"/>
            </w:tcBorders>
            <w:shd w:val="clear" w:color="000000" w:fill="FFFFFF"/>
            <w:vAlign w:val="center"/>
            <w:hideMark/>
          </w:tcPr>
          <w:p w14:paraId="2897B972"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5FB21EC8"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80.000.000</w:t>
            </w:r>
          </w:p>
        </w:tc>
      </w:tr>
      <w:tr w:rsidR="005967FD" w:rsidRPr="00604ED1" w14:paraId="4EC4E65A" w14:textId="77777777" w:rsidTr="002A2551">
        <w:trPr>
          <w:trHeight w:val="300"/>
        </w:trPr>
        <w:tc>
          <w:tcPr>
            <w:tcW w:w="660" w:type="dxa"/>
            <w:tcBorders>
              <w:top w:val="nil"/>
              <w:left w:val="nil"/>
              <w:bottom w:val="nil"/>
              <w:right w:val="nil"/>
            </w:tcBorders>
            <w:shd w:val="clear" w:color="000000" w:fill="FFFFFF"/>
            <w:vAlign w:val="center"/>
            <w:hideMark/>
          </w:tcPr>
          <w:p w14:paraId="5CE1CEE4"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c>
          <w:tcPr>
            <w:tcW w:w="4240" w:type="dxa"/>
            <w:tcBorders>
              <w:top w:val="nil"/>
              <w:left w:val="nil"/>
              <w:bottom w:val="nil"/>
              <w:right w:val="nil"/>
            </w:tcBorders>
            <w:shd w:val="clear" w:color="000000" w:fill="FFFFFF"/>
            <w:vAlign w:val="center"/>
            <w:hideMark/>
          </w:tcPr>
          <w:p w14:paraId="5DCADA11" w14:textId="77777777" w:rsidR="005967FD" w:rsidRPr="00604ED1" w:rsidRDefault="005967FD" w:rsidP="002A2551">
            <w:pPr>
              <w:spacing w:after="0" w:line="240" w:lineRule="auto"/>
              <w:jc w:val="left"/>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Укупно:</w:t>
            </w:r>
          </w:p>
        </w:tc>
        <w:tc>
          <w:tcPr>
            <w:tcW w:w="1600" w:type="dxa"/>
            <w:tcBorders>
              <w:top w:val="nil"/>
              <w:left w:val="nil"/>
              <w:bottom w:val="nil"/>
              <w:right w:val="nil"/>
            </w:tcBorders>
            <w:shd w:val="clear" w:color="000000" w:fill="FFFFFF"/>
            <w:vAlign w:val="center"/>
            <w:hideMark/>
          </w:tcPr>
          <w:p w14:paraId="4A1CA4D4"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9.448.000.000</w:t>
            </w:r>
          </w:p>
        </w:tc>
        <w:tc>
          <w:tcPr>
            <w:tcW w:w="1360" w:type="dxa"/>
            <w:tcBorders>
              <w:top w:val="nil"/>
              <w:left w:val="nil"/>
              <w:bottom w:val="nil"/>
              <w:right w:val="nil"/>
            </w:tcBorders>
            <w:shd w:val="clear" w:color="000000" w:fill="FFFFFF"/>
            <w:vAlign w:val="center"/>
            <w:hideMark/>
          </w:tcPr>
          <w:p w14:paraId="47EC2D03"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EUR</w:t>
            </w:r>
          </w:p>
        </w:tc>
        <w:tc>
          <w:tcPr>
            <w:tcW w:w="1780" w:type="dxa"/>
            <w:tcBorders>
              <w:top w:val="nil"/>
              <w:left w:val="nil"/>
              <w:bottom w:val="nil"/>
              <w:right w:val="nil"/>
            </w:tcBorders>
            <w:shd w:val="clear" w:color="000000" w:fill="FFFFFF"/>
            <w:vAlign w:val="center"/>
            <w:hideMark/>
          </w:tcPr>
          <w:p w14:paraId="4A879751"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80.000.000</w:t>
            </w:r>
          </w:p>
        </w:tc>
      </w:tr>
      <w:tr w:rsidR="005967FD" w:rsidRPr="004E7112" w14:paraId="3EA0D421" w14:textId="77777777" w:rsidTr="002A2551">
        <w:trPr>
          <w:trHeight w:val="300"/>
        </w:trPr>
        <w:tc>
          <w:tcPr>
            <w:tcW w:w="660" w:type="dxa"/>
            <w:tcBorders>
              <w:top w:val="nil"/>
              <w:left w:val="nil"/>
              <w:bottom w:val="nil"/>
              <w:right w:val="nil"/>
            </w:tcBorders>
            <w:shd w:val="clear" w:color="000000" w:fill="E7E6E6"/>
            <w:vAlign w:val="center"/>
            <w:hideMark/>
          </w:tcPr>
          <w:p w14:paraId="72C5E20F"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V.</w:t>
            </w:r>
          </w:p>
        </w:tc>
        <w:tc>
          <w:tcPr>
            <w:tcW w:w="4240" w:type="dxa"/>
            <w:tcBorders>
              <w:top w:val="nil"/>
              <w:left w:val="nil"/>
              <w:bottom w:val="nil"/>
              <w:right w:val="nil"/>
            </w:tcBorders>
            <w:shd w:val="clear" w:color="000000" w:fill="E7E6E6"/>
            <w:vAlign w:val="center"/>
            <w:hideMark/>
          </w:tcPr>
          <w:p w14:paraId="2C7E51B6" w14:textId="77777777" w:rsidR="005967FD" w:rsidRPr="00604ED1" w:rsidRDefault="005967FD" w:rsidP="002A2551">
            <w:pPr>
              <w:spacing w:after="0" w:line="240" w:lineRule="auto"/>
              <w:jc w:val="left"/>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Француској агенцији за развој (АФД)</w:t>
            </w:r>
          </w:p>
        </w:tc>
        <w:tc>
          <w:tcPr>
            <w:tcW w:w="1600" w:type="dxa"/>
            <w:tcBorders>
              <w:top w:val="nil"/>
              <w:left w:val="nil"/>
              <w:bottom w:val="nil"/>
              <w:right w:val="nil"/>
            </w:tcBorders>
            <w:shd w:val="clear" w:color="000000" w:fill="E7E6E6"/>
            <w:vAlign w:val="center"/>
            <w:hideMark/>
          </w:tcPr>
          <w:p w14:paraId="05117B21"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c>
          <w:tcPr>
            <w:tcW w:w="1360" w:type="dxa"/>
            <w:tcBorders>
              <w:top w:val="nil"/>
              <w:left w:val="nil"/>
              <w:bottom w:val="nil"/>
              <w:right w:val="nil"/>
            </w:tcBorders>
            <w:shd w:val="clear" w:color="000000" w:fill="E7E6E6"/>
            <w:vAlign w:val="center"/>
            <w:hideMark/>
          </w:tcPr>
          <w:p w14:paraId="0AAD4375"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c>
          <w:tcPr>
            <w:tcW w:w="1780" w:type="dxa"/>
            <w:tcBorders>
              <w:top w:val="nil"/>
              <w:left w:val="nil"/>
              <w:bottom w:val="nil"/>
              <w:right w:val="nil"/>
            </w:tcBorders>
            <w:shd w:val="clear" w:color="000000" w:fill="E7E6E6"/>
            <w:vAlign w:val="center"/>
            <w:hideMark/>
          </w:tcPr>
          <w:p w14:paraId="3401A843"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r>
      <w:tr w:rsidR="005967FD" w:rsidRPr="00604ED1" w14:paraId="105646E7" w14:textId="77777777" w:rsidTr="002A2551">
        <w:trPr>
          <w:trHeight w:val="765"/>
        </w:trPr>
        <w:tc>
          <w:tcPr>
            <w:tcW w:w="660" w:type="dxa"/>
            <w:tcBorders>
              <w:top w:val="nil"/>
              <w:left w:val="nil"/>
              <w:bottom w:val="nil"/>
              <w:right w:val="nil"/>
            </w:tcBorders>
            <w:shd w:val="clear" w:color="000000" w:fill="FFFFFF"/>
            <w:vAlign w:val="center"/>
            <w:hideMark/>
          </w:tcPr>
          <w:p w14:paraId="3AF6BBE6"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w:t>
            </w:r>
          </w:p>
        </w:tc>
        <w:tc>
          <w:tcPr>
            <w:tcW w:w="4240" w:type="dxa"/>
            <w:tcBorders>
              <w:top w:val="nil"/>
              <w:left w:val="nil"/>
              <w:bottom w:val="nil"/>
              <w:right w:val="nil"/>
            </w:tcBorders>
            <w:shd w:val="clear" w:color="000000" w:fill="FFFFFF"/>
            <w:vAlign w:val="center"/>
            <w:hideMark/>
          </w:tcPr>
          <w:p w14:paraId="26932C17"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xml:space="preserve">АД „Електромрежа Србије” - Реконструкција РП 110kV Панчево 1 уз примену савремених дигиталних технологија </w:t>
            </w:r>
          </w:p>
        </w:tc>
        <w:tc>
          <w:tcPr>
            <w:tcW w:w="1600" w:type="dxa"/>
            <w:tcBorders>
              <w:top w:val="nil"/>
              <w:left w:val="nil"/>
              <w:bottom w:val="nil"/>
              <w:right w:val="nil"/>
            </w:tcBorders>
            <w:shd w:val="clear" w:color="000000" w:fill="FFFFFF"/>
            <w:vAlign w:val="center"/>
            <w:hideMark/>
          </w:tcPr>
          <w:p w14:paraId="770F3768"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1.417.200.000</w:t>
            </w:r>
          </w:p>
        </w:tc>
        <w:tc>
          <w:tcPr>
            <w:tcW w:w="1360" w:type="dxa"/>
            <w:tcBorders>
              <w:top w:val="nil"/>
              <w:left w:val="nil"/>
              <w:bottom w:val="nil"/>
              <w:right w:val="nil"/>
            </w:tcBorders>
            <w:shd w:val="clear" w:color="000000" w:fill="FFFFFF"/>
            <w:vAlign w:val="center"/>
            <w:hideMark/>
          </w:tcPr>
          <w:p w14:paraId="1DCD94CF"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72D27EC5"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12.000.000</w:t>
            </w:r>
          </w:p>
        </w:tc>
      </w:tr>
      <w:tr w:rsidR="005967FD" w:rsidRPr="00604ED1" w14:paraId="0BB13A43" w14:textId="77777777" w:rsidTr="002A2551">
        <w:trPr>
          <w:trHeight w:val="300"/>
        </w:trPr>
        <w:tc>
          <w:tcPr>
            <w:tcW w:w="660" w:type="dxa"/>
            <w:tcBorders>
              <w:top w:val="nil"/>
              <w:left w:val="nil"/>
              <w:bottom w:val="nil"/>
              <w:right w:val="nil"/>
            </w:tcBorders>
            <w:shd w:val="clear" w:color="000000" w:fill="FFFFFF"/>
            <w:vAlign w:val="center"/>
            <w:hideMark/>
          </w:tcPr>
          <w:p w14:paraId="58EABECB"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c>
          <w:tcPr>
            <w:tcW w:w="4240" w:type="dxa"/>
            <w:tcBorders>
              <w:top w:val="nil"/>
              <w:left w:val="nil"/>
              <w:bottom w:val="nil"/>
              <w:right w:val="nil"/>
            </w:tcBorders>
            <w:shd w:val="clear" w:color="000000" w:fill="FFFFFF"/>
            <w:vAlign w:val="center"/>
            <w:hideMark/>
          </w:tcPr>
          <w:p w14:paraId="40A65866" w14:textId="77777777" w:rsidR="005967FD" w:rsidRPr="00604ED1" w:rsidRDefault="005967FD" w:rsidP="002A2551">
            <w:pPr>
              <w:spacing w:after="0" w:line="240" w:lineRule="auto"/>
              <w:jc w:val="left"/>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Укупно:</w:t>
            </w:r>
          </w:p>
        </w:tc>
        <w:tc>
          <w:tcPr>
            <w:tcW w:w="1600" w:type="dxa"/>
            <w:tcBorders>
              <w:top w:val="nil"/>
              <w:left w:val="nil"/>
              <w:bottom w:val="nil"/>
              <w:right w:val="nil"/>
            </w:tcBorders>
            <w:shd w:val="clear" w:color="000000" w:fill="FFFFFF"/>
            <w:vAlign w:val="center"/>
            <w:hideMark/>
          </w:tcPr>
          <w:p w14:paraId="489A150D"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1.417.200.000</w:t>
            </w:r>
          </w:p>
        </w:tc>
        <w:tc>
          <w:tcPr>
            <w:tcW w:w="1360" w:type="dxa"/>
            <w:tcBorders>
              <w:top w:val="nil"/>
              <w:left w:val="nil"/>
              <w:bottom w:val="nil"/>
              <w:right w:val="nil"/>
            </w:tcBorders>
            <w:shd w:val="clear" w:color="000000" w:fill="FFFFFF"/>
            <w:vAlign w:val="center"/>
            <w:hideMark/>
          </w:tcPr>
          <w:p w14:paraId="5A265EF3"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EUR</w:t>
            </w:r>
          </w:p>
        </w:tc>
        <w:tc>
          <w:tcPr>
            <w:tcW w:w="1780" w:type="dxa"/>
            <w:tcBorders>
              <w:top w:val="nil"/>
              <w:left w:val="nil"/>
              <w:bottom w:val="nil"/>
              <w:right w:val="nil"/>
            </w:tcBorders>
            <w:shd w:val="clear" w:color="000000" w:fill="FFFFFF"/>
            <w:vAlign w:val="center"/>
            <w:hideMark/>
          </w:tcPr>
          <w:p w14:paraId="0D157835"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12.000.000</w:t>
            </w:r>
          </w:p>
        </w:tc>
      </w:tr>
      <w:tr w:rsidR="005967FD" w:rsidRPr="004E7112" w14:paraId="04F9E128" w14:textId="77777777" w:rsidTr="002A2551">
        <w:trPr>
          <w:trHeight w:val="510"/>
        </w:trPr>
        <w:tc>
          <w:tcPr>
            <w:tcW w:w="660" w:type="dxa"/>
            <w:tcBorders>
              <w:top w:val="nil"/>
              <w:left w:val="nil"/>
              <w:bottom w:val="nil"/>
              <w:right w:val="nil"/>
            </w:tcBorders>
            <w:shd w:val="clear" w:color="000000" w:fill="E7E6E6"/>
            <w:vAlign w:val="center"/>
            <w:hideMark/>
          </w:tcPr>
          <w:p w14:paraId="2914C7E0"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VI.</w:t>
            </w:r>
          </w:p>
        </w:tc>
        <w:tc>
          <w:tcPr>
            <w:tcW w:w="4240" w:type="dxa"/>
            <w:tcBorders>
              <w:top w:val="nil"/>
              <w:left w:val="nil"/>
              <w:bottom w:val="nil"/>
              <w:right w:val="nil"/>
            </w:tcBorders>
            <w:shd w:val="clear" w:color="000000" w:fill="E7E6E6"/>
            <w:vAlign w:val="center"/>
            <w:hideMark/>
          </w:tcPr>
          <w:p w14:paraId="1D44A44F" w14:textId="77777777" w:rsidR="005967FD" w:rsidRPr="00604ED1" w:rsidRDefault="005967FD" w:rsidP="002A2551">
            <w:pPr>
              <w:spacing w:after="0" w:line="240" w:lineRule="auto"/>
              <w:jc w:val="left"/>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Европском друштву за финансирање железничких возних средстава (ЕУРОФИМА)</w:t>
            </w:r>
          </w:p>
        </w:tc>
        <w:tc>
          <w:tcPr>
            <w:tcW w:w="1600" w:type="dxa"/>
            <w:tcBorders>
              <w:top w:val="nil"/>
              <w:left w:val="nil"/>
              <w:bottom w:val="nil"/>
              <w:right w:val="nil"/>
            </w:tcBorders>
            <w:shd w:val="clear" w:color="000000" w:fill="E7E6E6"/>
            <w:vAlign w:val="center"/>
            <w:hideMark/>
          </w:tcPr>
          <w:p w14:paraId="6D602C8F"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c>
          <w:tcPr>
            <w:tcW w:w="1360" w:type="dxa"/>
            <w:tcBorders>
              <w:top w:val="nil"/>
              <w:left w:val="nil"/>
              <w:bottom w:val="nil"/>
              <w:right w:val="nil"/>
            </w:tcBorders>
            <w:shd w:val="clear" w:color="000000" w:fill="E7E6E6"/>
            <w:vAlign w:val="center"/>
            <w:hideMark/>
          </w:tcPr>
          <w:p w14:paraId="1D9A5D31"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c>
          <w:tcPr>
            <w:tcW w:w="1780" w:type="dxa"/>
            <w:tcBorders>
              <w:top w:val="nil"/>
              <w:left w:val="nil"/>
              <w:bottom w:val="nil"/>
              <w:right w:val="nil"/>
            </w:tcBorders>
            <w:shd w:val="clear" w:color="000000" w:fill="E7E6E6"/>
            <w:vAlign w:val="center"/>
            <w:hideMark/>
          </w:tcPr>
          <w:p w14:paraId="45F5E25D"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r>
      <w:tr w:rsidR="005967FD" w:rsidRPr="00604ED1" w14:paraId="5A419AD3" w14:textId="77777777" w:rsidTr="002A2551">
        <w:trPr>
          <w:trHeight w:val="1785"/>
        </w:trPr>
        <w:tc>
          <w:tcPr>
            <w:tcW w:w="660" w:type="dxa"/>
            <w:tcBorders>
              <w:top w:val="nil"/>
              <w:left w:val="nil"/>
              <w:bottom w:val="nil"/>
              <w:right w:val="nil"/>
            </w:tcBorders>
            <w:shd w:val="clear" w:color="000000" w:fill="FFFFFF"/>
            <w:vAlign w:val="center"/>
            <w:hideMark/>
          </w:tcPr>
          <w:p w14:paraId="013F6712"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w:t>
            </w:r>
          </w:p>
        </w:tc>
        <w:tc>
          <w:tcPr>
            <w:tcW w:w="4240" w:type="dxa"/>
            <w:tcBorders>
              <w:top w:val="nil"/>
              <w:left w:val="nil"/>
              <w:bottom w:val="nil"/>
              <w:right w:val="nil"/>
            </w:tcBorders>
            <w:shd w:val="clear" w:color="000000" w:fill="FFFFFF"/>
            <w:vAlign w:val="center"/>
            <w:hideMark/>
          </w:tcPr>
          <w:p w14:paraId="7861BF1B" w14:textId="77777777" w:rsidR="005967FD" w:rsidRPr="00604ED1" w:rsidRDefault="005967FD" w:rsidP="002A2551">
            <w:pPr>
              <w:spacing w:after="0" w:line="240" w:lineRule="auto"/>
              <w:jc w:val="left"/>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Акционарско друштво за железнички превоз путника „Србија Воз”, Београд - Набавка нових возних средстава и модернизација постојећег возног парка (набавка нових локомотива, модернизација постојећих дизел-моторних возова, набавка возних средстава за међународни путнички саобраћај)</w:t>
            </w:r>
          </w:p>
        </w:tc>
        <w:tc>
          <w:tcPr>
            <w:tcW w:w="1600" w:type="dxa"/>
            <w:tcBorders>
              <w:top w:val="nil"/>
              <w:left w:val="nil"/>
              <w:bottom w:val="nil"/>
              <w:right w:val="nil"/>
            </w:tcBorders>
            <w:shd w:val="clear" w:color="000000" w:fill="FFFFFF"/>
            <w:vAlign w:val="center"/>
            <w:hideMark/>
          </w:tcPr>
          <w:p w14:paraId="58ED5709"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10.629.000.000</w:t>
            </w:r>
          </w:p>
        </w:tc>
        <w:tc>
          <w:tcPr>
            <w:tcW w:w="1360" w:type="dxa"/>
            <w:tcBorders>
              <w:top w:val="nil"/>
              <w:left w:val="nil"/>
              <w:bottom w:val="nil"/>
              <w:right w:val="nil"/>
            </w:tcBorders>
            <w:shd w:val="clear" w:color="000000" w:fill="FFFFFF"/>
            <w:vAlign w:val="center"/>
            <w:hideMark/>
          </w:tcPr>
          <w:p w14:paraId="2430CCC3"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EUR</w:t>
            </w:r>
          </w:p>
        </w:tc>
        <w:tc>
          <w:tcPr>
            <w:tcW w:w="1780" w:type="dxa"/>
            <w:tcBorders>
              <w:top w:val="nil"/>
              <w:left w:val="nil"/>
              <w:bottom w:val="nil"/>
              <w:right w:val="nil"/>
            </w:tcBorders>
            <w:shd w:val="clear" w:color="000000" w:fill="FFFFFF"/>
            <w:vAlign w:val="center"/>
            <w:hideMark/>
          </w:tcPr>
          <w:p w14:paraId="7F2C1C2B"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90.000.000</w:t>
            </w:r>
          </w:p>
        </w:tc>
      </w:tr>
      <w:tr w:rsidR="005967FD" w:rsidRPr="00604ED1" w14:paraId="7C3E1E93" w14:textId="77777777" w:rsidTr="002A2551">
        <w:trPr>
          <w:trHeight w:val="315"/>
        </w:trPr>
        <w:tc>
          <w:tcPr>
            <w:tcW w:w="660" w:type="dxa"/>
            <w:tcBorders>
              <w:top w:val="nil"/>
              <w:left w:val="nil"/>
              <w:bottom w:val="nil"/>
              <w:right w:val="nil"/>
            </w:tcBorders>
            <w:shd w:val="clear" w:color="000000" w:fill="FFFFFF"/>
            <w:vAlign w:val="center"/>
            <w:hideMark/>
          </w:tcPr>
          <w:p w14:paraId="21DD7E93" w14:textId="77777777" w:rsidR="005967FD" w:rsidRPr="00604ED1" w:rsidRDefault="005967FD" w:rsidP="002A2551">
            <w:pPr>
              <w:spacing w:after="0" w:line="240" w:lineRule="auto"/>
              <w:jc w:val="center"/>
              <w:rPr>
                <w:rFonts w:ascii="Calibri" w:eastAsia="Times New Roman" w:hAnsi="Calibri" w:cs="Calibri"/>
                <w:color w:val="203764"/>
                <w:szCs w:val="20"/>
                <w:lang w:val="sr-Cyrl-RS"/>
              </w:rPr>
            </w:pPr>
            <w:r w:rsidRPr="00604ED1">
              <w:rPr>
                <w:rFonts w:ascii="Calibri" w:eastAsia="Times New Roman" w:hAnsi="Calibri" w:cs="Calibri"/>
                <w:color w:val="203764"/>
                <w:szCs w:val="20"/>
                <w:lang w:val="sr-Cyrl-RS"/>
              </w:rPr>
              <w:t> </w:t>
            </w:r>
          </w:p>
        </w:tc>
        <w:tc>
          <w:tcPr>
            <w:tcW w:w="4240" w:type="dxa"/>
            <w:tcBorders>
              <w:top w:val="nil"/>
              <w:left w:val="nil"/>
              <w:bottom w:val="nil"/>
              <w:right w:val="nil"/>
            </w:tcBorders>
            <w:shd w:val="clear" w:color="000000" w:fill="FFFFFF"/>
            <w:vAlign w:val="center"/>
            <w:hideMark/>
          </w:tcPr>
          <w:p w14:paraId="494D92C9" w14:textId="77777777" w:rsidR="005967FD" w:rsidRPr="00604ED1" w:rsidRDefault="005967FD" w:rsidP="002A2551">
            <w:pPr>
              <w:spacing w:after="0" w:line="240" w:lineRule="auto"/>
              <w:jc w:val="left"/>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Укупно:</w:t>
            </w:r>
          </w:p>
        </w:tc>
        <w:tc>
          <w:tcPr>
            <w:tcW w:w="1600" w:type="dxa"/>
            <w:tcBorders>
              <w:top w:val="nil"/>
              <w:left w:val="nil"/>
              <w:bottom w:val="nil"/>
              <w:right w:val="nil"/>
            </w:tcBorders>
            <w:shd w:val="clear" w:color="000000" w:fill="FFFFFF"/>
            <w:vAlign w:val="center"/>
            <w:hideMark/>
          </w:tcPr>
          <w:p w14:paraId="40050A80"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10.629.000.000</w:t>
            </w:r>
          </w:p>
        </w:tc>
        <w:tc>
          <w:tcPr>
            <w:tcW w:w="1360" w:type="dxa"/>
            <w:tcBorders>
              <w:top w:val="nil"/>
              <w:left w:val="nil"/>
              <w:bottom w:val="nil"/>
              <w:right w:val="nil"/>
            </w:tcBorders>
            <w:shd w:val="clear" w:color="000000" w:fill="FFFFFF"/>
            <w:vAlign w:val="center"/>
            <w:hideMark/>
          </w:tcPr>
          <w:p w14:paraId="1C70B668"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EUR</w:t>
            </w:r>
          </w:p>
        </w:tc>
        <w:tc>
          <w:tcPr>
            <w:tcW w:w="1780" w:type="dxa"/>
            <w:tcBorders>
              <w:top w:val="nil"/>
              <w:left w:val="nil"/>
              <w:bottom w:val="nil"/>
              <w:right w:val="nil"/>
            </w:tcBorders>
            <w:shd w:val="clear" w:color="000000" w:fill="FFFFFF"/>
            <w:vAlign w:val="center"/>
            <w:hideMark/>
          </w:tcPr>
          <w:p w14:paraId="2B126875"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90.000.000</w:t>
            </w:r>
          </w:p>
        </w:tc>
      </w:tr>
      <w:tr w:rsidR="005967FD" w:rsidRPr="00604ED1" w14:paraId="6C7E640D" w14:textId="77777777" w:rsidTr="002A2551">
        <w:trPr>
          <w:trHeight w:val="315"/>
        </w:trPr>
        <w:tc>
          <w:tcPr>
            <w:tcW w:w="660" w:type="dxa"/>
            <w:tcBorders>
              <w:top w:val="single" w:sz="8" w:space="0" w:color="203764"/>
              <w:left w:val="nil"/>
              <w:bottom w:val="single" w:sz="8" w:space="0" w:color="203764"/>
              <w:right w:val="nil"/>
            </w:tcBorders>
            <w:shd w:val="clear" w:color="000000" w:fill="FFFFFF"/>
            <w:vAlign w:val="center"/>
            <w:hideMark/>
          </w:tcPr>
          <w:p w14:paraId="7627F7F1"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 </w:t>
            </w:r>
          </w:p>
        </w:tc>
        <w:tc>
          <w:tcPr>
            <w:tcW w:w="4240" w:type="dxa"/>
            <w:tcBorders>
              <w:top w:val="single" w:sz="8" w:space="0" w:color="203764"/>
              <w:left w:val="nil"/>
              <w:bottom w:val="single" w:sz="8" w:space="0" w:color="203764"/>
              <w:right w:val="nil"/>
            </w:tcBorders>
            <w:shd w:val="clear" w:color="000000" w:fill="FFFFFF"/>
            <w:vAlign w:val="center"/>
            <w:hideMark/>
          </w:tcPr>
          <w:p w14:paraId="765FD335" w14:textId="77777777" w:rsidR="005967FD" w:rsidRPr="00604ED1" w:rsidRDefault="005967FD" w:rsidP="002A2551">
            <w:pPr>
              <w:spacing w:after="0" w:line="240" w:lineRule="auto"/>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УКУПНО:</w:t>
            </w:r>
          </w:p>
        </w:tc>
        <w:tc>
          <w:tcPr>
            <w:tcW w:w="1600" w:type="dxa"/>
            <w:tcBorders>
              <w:top w:val="single" w:sz="8" w:space="0" w:color="203764"/>
              <w:left w:val="nil"/>
              <w:bottom w:val="single" w:sz="8" w:space="0" w:color="203764"/>
              <w:right w:val="nil"/>
            </w:tcBorders>
            <w:shd w:val="clear" w:color="000000" w:fill="FFFFFF"/>
            <w:vAlign w:val="center"/>
            <w:hideMark/>
          </w:tcPr>
          <w:p w14:paraId="55367F6E"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319.809.689.577</w:t>
            </w:r>
          </w:p>
        </w:tc>
        <w:tc>
          <w:tcPr>
            <w:tcW w:w="1360" w:type="dxa"/>
            <w:tcBorders>
              <w:top w:val="single" w:sz="8" w:space="0" w:color="203764"/>
              <w:left w:val="nil"/>
              <w:bottom w:val="single" w:sz="8" w:space="0" w:color="203764"/>
              <w:right w:val="nil"/>
            </w:tcBorders>
            <w:shd w:val="clear" w:color="000000" w:fill="FFFFFF"/>
            <w:vAlign w:val="center"/>
            <w:hideMark/>
          </w:tcPr>
          <w:p w14:paraId="26C37D73"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EUR</w:t>
            </w:r>
          </w:p>
        </w:tc>
        <w:tc>
          <w:tcPr>
            <w:tcW w:w="1780" w:type="dxa"/>
            <w:tcBorders>
              <w:top w:val="single" w:sz="8" w:space="0" w:color="203764"/>
              <w:left w:val="nil"/>
              <w:bottom w:val="single" w:sz="8" w:space="0" w:color="203764"/>
              <w:right w:val="nil"/>
            </w:tcBorders>
            <w:shd w:val="clear" w:color="000000" w:fill="FFFFFF"/>
            <w:vAlign w:val="center"/>
            <w:hideMark/>
          </w:tcPr>
          <w:p w14:paraId="34B05A21" w14:textId="77777777" w:rsidR="005967FD" w:rsidRPr="00604ED1" w:rsidRDefault="005967FD" w:rsidP="002A2551">
            <w:pPr>
              <w:spacing w:after="0" w:line="240" w:lineRule="auto"/>
              <w:jc w:val="center"/>
              <w:rPr>
                <w:rFonts w:ascii="Calibri" w:eastAsia="Times New Roman" w:hAnsi="Calibri" w:cs="Calibri"/>
                <w:b/>
                <w:bCs/>
                <w:color w:val="203764"/>
                <w:szCs w:val="20"/>
                <w:lang w:val="sr-Cyrl-RS"/>
              </w:rPr>
            </w:pPr>
            <w:r w:rsidRPr="00604ED1">
              <w:rPr>
                <w:rFonts w:ascii="Calibri" w:eastAsia="Times New Roman" w:hAnsi="Calibri" w:cs="Calibri"/>
                <w:b/>
                <w:bCs/>
                <w:color w:val="203764"/>
                <w:szCs w:val="20"/>
                <w:lang w:val="sr-Cyrl-RS"/>
              </w:rPr>
              <w:t>2.707.956.728</w:t>
            </w:r>
          </w:p>
        </w:tc>
      </w:tr>
    </w:tbl>
    <w:p w14:paraId="47D12C2D" w14:textId="77777777" w:rsidR="005967FD" w:rsidRPr="00D26D73" w:rsidRDefault="005967FD" w:rsidP="002A2551">
      <w:pPr>
        <w:spacing w:after="0" w:line="276" w:lineRule="auto"/>
        <w:rPr>
          <w:rFonts w:eastAsia="MS PGothic" w:cstheme="minorHAnsi"/>
          <w:sz w:val="16"/>
          <w:szCs w:val="18"/>
          <w:lang w:val="sr-Cyrl-RS" w:eastAsia="ja-JP"/>
        </w:rPr>
      </w:pPr>
      <w:r w:rsidRPr="00604ED1">
        <w:rPr>
          <w:rFonts w:eastAsia="MS PGothic" w:cstheme="minorHAnsi"/>
          <w:sz w:val="18"/>
          <w:szCs w:val="18"/>
          <w:lang w:val="sr-Cyrl-RS" w:eastAsia="ja-JP"/>
        </w:rPr>
        <w:fldChar w:fldCharType="end"/>
      </w:r>
      <w:r w:rsidRPr="00D26D73">
        <w:rPr>
          <w:rFonts w:eastAsia="MS PGothic" w:cstheme="minorHAnsi"/>
          <w:sz w:val="16"/>
          <w:szCs w:val="18"/>
          <w:lang w:val="sr-Cyrl-RS" w:eastAsia="ja-JP"/>
        </w:rPr>
        <w:t>Извор: Закон о изменама и допунама закона о буџету Републике Србије за 2023. годину, „Службени гласник РС” бр. 75/2023</w:t>
      </w:r>
    </w:p>
    <w:p w14:paraId="3E989217" w14:textId="77777777" w:rsidR="005967FD" w:rsidRPr="00604ED1" w:rsidRDefault="005967FD" w:rsidP="002A2551">
      <w:pPr>
        <w:rPr>
          <w:lang w:val="sr-Cyrl-RS" w:eastAsia="ja-JP"/>
        </w:rPr>
      </w:pPr>
    </w:p>
    <w:p w14:paraId="7E294ABA" w14:textId="77777777" w:rsidR="005967FD" w:rsidRPr="00604ED1" w:rsidRDefault="005967FD" w:rsidP="002A2551">
      <w:pPr>
        <w:rPr>
          <w:lang w:val="sr-Cyrl-RS" w:eastAsia="ja-JP"/>
        </w:rPr>
        <w:sectPr w:rsidR="005967FD" w:rsidRPr="00604ED1" w:rsidSect="002A2551">
          <w:type w:val="continuous"/>
          <w:pgSz w:w="12240" w:h="15840"/>
          <w:pgMar w:top="1440" w:right="1440" w:bottom="1440" w:left="1440" w:header="720" w:footer="720" w:gutter="0"/>
          <w:cols w:space="720"/>
          <w:docGrid w:linePitch="360"/>
          <w15:footnoteColumns w:val="1"/>
        </w:sectPr>
      </w:pPr>
    </w:p>
    <w:p w14:paraId="1124C1A0"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У наредним годинама није планиран значајнији раст ове категорије расхода. Учешће ових расхода у БДП креће се у просеку око 0,3% БДП у средњем року.</w:t>
      </w:r>
    </w:p>
    <w:p w14:paraId="4A24DAEF"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 xml:space="preserve">Структурне реформе јавних и државних предузећа, њихово оспособљавање за тржишну </w:t>
      </w:r>
      <w:r w:rsidRPr="00604ED1">
        <w:rPr>
          <w:rFonts w:eastAsia="MS PGothic" w:cstheme="minorHAnsi"/>
          <w:szCs w:val="20"/>
          <w:lang w:val="sr-Cyrl-RS" w:eastAsia="ja-JP"/>
        </w:rPr>
        <w:t>утакмицу и финансијску одрживост, с једне стране, и ограничено и циљано издавање нових гаранција, с друге стране, допринеће умањењу фискалних ризика по овом основу и одржавању расхода у планираним, тј. пројектованим оквирима у наредном средњорочном периоду.</w:t>
      </w:r>
    </w:p>
    <w:p w14:paraId="02EFEB6E" w14:textId="77777777" w:rsidR="005967FD" w:rsidRPr="00604ED1" w:rsidRDefault="005967FD" w:rsidP="002A2551">
      <w:pPr>
        <w:rPr>
          <w:rFonts w:cstheme="minorHAnsi"/>
          <w:b/>
          <w:bCs/>
          <w:color w:val="2F5496" w:themeColor="accent1" w:themeShade="BF"/>
          <w:sz w:val="24"/>
          <w:szCs w:val="24"/>
          <w:lang w:val="sr-Cyrl-RS"/>
        </w:rPr>
      </w:pPr>
      <w:r w:rsidRPr="00604ED1">
        <w:rPr>
          <w:rFonts w:cstheme="minorHAnsi"/>
          <w:b/>
          <w:bCs/>
          <w:color w:val="2F5496" w:themeColor="accent1" w:themeShade="BF"/>
          <w:sz w:val="24"/>
          <w:szCs w:val="24"/>
          <w:lang w:val="sr-Cyrl-RS"/>
        </w:rPr>
        <w:lastRenderedPageBreak/>
        <w:t>Јавна предузећа</w:t>
      </w:r>
    </w:p>
    <w:p w14:paraId="49277DF4"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Пословање јавних предузећа представља значајан извор фискалних ризика, како на страни буџетских прихода, тако и на страни расхода. Јавна предузећа се у пословању суочавају са бројним проблемима, од наплате потраживања, до редовног измиривања обавеза према повериоцима, држави и запосленима и сл. Држава као оснивач и њихов једини власник је одговорна за пословање и њихово је последње уточиште у случају неликвидности. Постоји неколико канала кроз које се могу материјализовати фискални ризици везани за пословање јавних предузећа. Највећи, али не и једини ризик, су државне гаранције дате за кредите јавних предузећа. Одрживост, ефикасност и профитабилност јавних предузећа утичу на приходе буџета, односно на износ добити коју уплаћују у буџет. Квалитет производа и услуга које обезбеђују јавна предузећа утичу на ефикасност и профитабилност приватног сектора и у крајњој инстанци на ниво пореза које уплаћују у буџет.</w:t>
      </w:r>
    </w:p>
    <w:p w14:paraId="0B17CCD1" w14:textId="790536F9" w:rsidR="005967FD" w:rsidRDefault="005967FD" w:rsidP="002A2551">
      <w:pPr>
        <w:rPr>
          <w:rFonts w:eastAsia="MS PGothic" w:cstheme="minorHAnsi"/>
          <w:szCs w:val="20"/>
          <w:lang w:val="sr-Cyrl-RS" w:eastAsia="ja-JP"/>
        </w:rPr>
      </w:pPr>
      <w:r w:rsidRPr="00604ED1">
        <w:rPr>
          <w:rFonts w:eastAsia="MS PGothic" w:cstheme="minorHAnsi"/>
          <w:szCs w:val="20"/>
          <w:lang w:val="sr-Cyrl-RS" w:eastAsia="ja-JP"/>
        </w:rPr>
        <w:t>Јавна предузећа представљају значајан сегмент српске привреде која запошљавају око 67,5 хиљад</w:t>
      </w:r>
      <w:r w:rsidR="00FE1D12">
        <w:rPr>
          <w:rFonts w:eastAsia="MS PGothic" w:cstheme="minorHAnsi"/>
          <w:szCs w:val="20"/>
          <w:lang w:val="sr-Cyrl-RS" w:eastAsia="ja-JP"/>
        </w:rPr>
        <w:t>а</w:t>
      </w:r>
      <w:r w:rsidRPr="00604ED1">
        <w:rPr>
          <w:rFonts w:eastAsia="MS PGothic" w:cstheme="minorHAnsi"/>
          <w:szCs w:val="20"/>
          <w:lang w:val="sr-Cyrl-RS" w:eastAsia="ja-JP"/>
        </w:rPr>
        <w:t xml:space="preserve"> људи. Јавна предузећа се оснивају као друштва за обављање делатности од општег интереса. Њихов рад уређен је Законом о јавним предузећима, који је усвојен у фебруару 2016. године, Законом о управљању привредним друштвима која су у власништву Републике Србије, а који је усвојен у септембру 2023, као и подсекторским законима који дефинишу специфична подручја која нису обухваћена Законом о јавним предузећима (Закон о енергетици, Закон о привредним друштвима и др).</w:t>
      </w:r>
    </w:p>
    <w:p w14:paraId="2B1929DF" w14:textId="77777777" w:rsidR="005967FD" w:rsidRPr="00604ED1" w:rsidRDefault="005967FD" w:rsidP="002A2551">
      <w:pPr>
        <w:rPr>
          <w:rFonts w:eastAsia="MS PGothic" w:cstheme="minorHAnsi"/>
          <w:szCs w:val="20"/>
          <w:lang w:val="sr-Cyrl-RS" w:eastAsia="ja-JP"/>
        </w:rPr>
      </w:pPr>
    </w:p>
    <w:p w14:paraId="7F680F79" w14:textId="77777777" w:rsidR="005967FD" w:rsidRPr="00604ED1" w:rsidRDefault="005967FD" w:rsidP="002A2551">
      <w:pPr>
        <w:rPr>
          <w:rFonts w:cstheme="minorHAnsi"/>
          <w:b/>
          <w:bCs/>
          <w:color w:val="2F5496" w:themeColor="accent1" w:themeShade="BF"/>
          <w:sz w:val="22"/>
          <w:lang w:val="sr-Cyrl-RS"/>
        </w:rPr>
      </w:pPr>
      <w:r w:rsidRPr="00604ED1">
        <w:rPr>
          <w:rFonts w:cstheme="minorHAnsi"/>
          <w:b/>
          <w:bCs/>
          <w:color w:val="2F5496" w:themeColor="accent1" w:themeShade="BF"/>
          <w:sz w:val="22"/>
          <w:lang w:val="sr-Cyrl-RS"/>
        </w:rPr>
        <w:t>Кључни финансијски показатељи пословања јавних предузећа</w:t>
      </w:r>
    </w:p>
    <w:p w14:paraId="56268F64" w14:textId="77777777" w:rsidR="005967FD" w:rsidRPr="00604ED1" w:rsidRDefault="005967FD" w:rsidP="002A2551">
      <w:pPr>
        <w:jc w:val="left"/>
        <w:rPr>
          <w:b/>
          <w:color w:val="2F5496" w:themeColor="accent1" w:themeShade="BF"/>
          <w:sz w:val="22"/>
          <w:lang w:val="sr-Cyrl-RS"/>
        </w:rPr>
      </w:pPr>
      <w:r w:rsidRPr="00604ED1">
        <w:rPr>
          <w:b/>
          <w:color w:val="2F5496" w:themeColor="accent1" w:themeShade="BF"/>
          <w:sz w:val="22"/>
          <w:lang w:val="sr-Cyrl-RS"/>
        </w:rPr>
        <w:t>Резултати пословања јавних предузећа у 2022. години</w:t>
      </w:r>
    </w:p>
    <w:p w14:paraId="2057C1AD"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Укупна имовина републичких јавних предузећа на крају 2022. године износила је 3.454 млрд динара, док је као крајњи резултат остварен нето губитак у износу од 69 млрд динара.</w:t>
      </w:r>
    </w:p>
    <w:p w14:paraId="61ADD539" w14:textId="77777777" w:rsidR="005967FD" w:rsidRPr="00604ED1" w:rsidRDefault="005967FD" w:rsidP="002A2551">
      <w:pPr>
        <w:jc w:val="center"/>
        <w:rPr>
          <w:rFonts w:eastAsia="MS PGothic" w:cstheme="minorHAnsi"/>
          <w:szCs w:val="20"/>
          <w:lang w:val="sr-Cyrl-RS" w:eastAsia="ja-JP"/>
        </w:rPr>
      </w:pPr>
      <w:r w:rsidRPr="00604ED1">
        <w:rPr>
          <w:rFonts w:eastAsia="MS PGothic" w:cstheme="minorHAnsi"/>
          <w:b/>
          <w:bCs/>
          <w:color w:val="002060"/>
          <w:szCs w:val="20"/>
          <w:lang w:val="sr-Cyrl-RS" w:eastAsia="ja-JP"/>
        </w:rPr>
        <w:t>Табела 15. Главни финансијски показатељи пословања јавних предузећа, млрд дин.</w:t>
      </w:r>
    </w:p>
    <w:tbl>
      <w:tblPr>
        <w:tblW w:w="4312" w:type="dxa"/>
        <w:tblLook w:val="04A0" w:firstRow="1" w:lastRow="0" w:firstColumn="1" w:lastColumn="0" w:noHBand="0" w:noVBand="1"/>
      </w:tblPr>
      <w:tblGrid>
        <w:gridCol w:w="3020"/>
        <w:gridCol w:w="646"/>
        <w:gridCol w:w="646"/>
      </w:tblGrid>
      <w:tr w:rsidR="005967FD" w:rsidRPr="00604ED1" w14:paraId="24A4A32C" w14:textId="77777777" w:rsidTr="002A2551">
        <w:trPr>
          <w:trHeight w:hRule="exact" w:val="304"/>
        </w:trPr>
        <w:tc>
          <w:tcPr>
            <w:tcW w:w="0" w:type="auto"/>
            <w:tcBorders>
              <w:top w:val="single" w:sz="8" w:space="0" w:color="002060"/>
              <w:left w:val="nil"/>
              <w:bottom w:val="single" w:sz="8" w:space="0" w:color="002060"/>
              <w:right w:val="nil"/>
            </w:tcBorders>
            <w:shd w:val="clear" w:color="auto" w:fill="auto"/>
            <w:noWrap/>
            <w:vAlign w:val="center"/>
            <w:hideMark/>
          </w:tcPr>
          <w:p w14:paraId="64D9E191" w14:textId="77777777" w:rsidR="005967FD" w:rsidRPr="00604ED1" w:rsidRDefault="005967FD" w:rsidP="002A2551">
            <w:pPr>
              <w:spacing w:after="120" w:line="276" w:lineRule="auto"/>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Опис</w:t>
            </w:r>
          </w:p>
        </w:tc>
        <w:tc>
          <w:tcPr>
            <w:tcW w:w="0" w:type="auto"/>
            <w:tcBorders>
              <w:top w:val="single" w:sz="8" w:space="0" w:color="002060"/>
              <w:left w:val="nil"/>
              <w:bottom w:val="single" w:sz="8" w:space="0" w:color="002060"/>
              <w:right w:val="nil"/>
            </w:tcBorders>
            <w:shd w:val="clear" w:color="auto" w:fill="auto"/>
            <w:noWrap/>
            <w:vAlign w:val="center"/>
            <w:hideMark/>
          </w:tcPr>
          <w:p w14:paraId="15AF6D2B" w14:textId="77777777" w:rsidR="005967FD" w:rsidRPr="00604ED1" w:rsidRDefault="005967FD" w:rsidP="002A2551">
            <w:pPr>
              <w:spacing w:after="120" w:line="276" w:lineRule="auto"/>
              <w:jc w:val="right"/>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2021</w:t>
            </w:r>
          </w:p>
        </w:tc>
        <w:tc>
          <w:tcPr>
            <w:tcW w:w="0" w:type="auto"/>
            <w:tcBorders>
              <w:top w:val="single" w:sz="8" w:space="0" w:color="002060"/>
              <w:left w:val="nil"/>
              <w:bottom w:val="single" w:sz="8" w:space="0" w:color="002060"/>
              <w:right w:val="nil"/>
            </w:tcBorders>
            <w:shd w:val="clear" w:color="auto" w:fill="auto"/>
            <w:noWrap/>
            <w:vAlign w:val="center"/>
            <w:hideMark/>
          </w:tcPr>
          <w:p w14:paraId="05FBB6E8" w14:textId="77777777" w:rsidR="005967FD" w:rsidRPr="00604ED1" w:rsidRDefault="005967FD" w:rsidP="002A2551">
            <w:pPr>
              <w:spacing w:after="120" w:line="276" w:lineRule="auto"/>
              <w:jc w:val="right"/>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2022</w:t>
            </w:r>
          </w:p>
        </w:tc>
      </w:tr>
      <w:tr w:rsidR="005967FD" w:rsidRPr="00604ED1" w14:paraId="2EAA3722" w14:textId="77777777" w:rsidTr="002A2551">
        <w:trPr>
          <w:trHeight w:hRule="exact" w:val="304"/>
        </w:trPr>
        <w:tc>
          <w:tcPr>
            <w:tcW w:w="0" w:type="auto"/>
            <w:tcBorders>
              <w:top w:val="nil"/>
              <w:left w:val="nil"/>
              <w:bottom w:val="nil"/>
              <w:right w:val="nil"/>
            </w:tcBorders>
            <w:shd w:val="clear" w:color="auto" w:fill="auto"/>
            <w:noWrap/>
            <w:vAlign w:val="center"/>
            <w:hideMark/>
          </w:tcPr>
          <w:p w14:paraId="5B148DFF" w14:textId="77777777" w:rsidR="005967FD" w:rsidRPr="00604ED1" w:rsidRDefault="005967FD" w:rsidP="002A2551">
            <w:pPr>
              <w:spacing w:after="120" w:line="276" w:lineRule="auto"/>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Укупна имовина</w:t>
            </w:r>
          </w:p>
        </w:tc>
        <w:tc>
          <w:tcPr>
            <w:tcW w:w="0" w:type="auto"/>
            <w:tcBorders>
              <w:top w:val="nil"/>
              <w:left w:val="nil"/>
              <w:bottom w:val="nil"/>
              <w:right w:val="nil"/>
            </w:tcBorders>
            <w:shd w:val="clear" w:color="auto" w:fill="auto"/>
            <w:noWrap/>
            <w:vAlign w:val="center"/>
          </w:tcPr>
          <w:p w14:paraId="3E9866A0" w14:textId="77777777" w:rsidR="005967FD" w:rsidRPr="00604ED1" w:rsidRDefault="005967FD" w:rsidP="002A2551">
            <w:pPr>
              <w:spacing w:after="120" w:line="276" w:lineRule="auto"/>
              <w:jc w:val="right"/>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3.217</w:t>
            </w:r>
          </w:p>
        </w:tc>
        <w:tc>
          <w:tcPr>
            <w:tcW w:w="0" w:type="auto"/>
            <w:tcBorders>
              <w:top w:val="nil"/>
              <w:left w:val="nil"/>
              <w:bottom w:val="nil"/>
              <w:right w:val="nil"/>
            </w:tcBorders>
            <w:shd w:val="clear" w:color="000000" w:fill="FFFFFF"/>
            <w:noWrap/>
            <w:vAlign w:val="bottom"/>
          </w:tcPr>
          <w:p w14:paraId="77A5CCAE" w14:textId="77777777" w:rsidR="005967FD" w:rsidRPr="00604ED1" w:rsidRDefault="005967FD" w:rsidP="002A2551">
            <w:pPr>
              <w:jc w:val="right"/>
              <w:rPr>
                <w:rFonts w:ascii="Calibri" w:hAnsi="Calibri" w:cs="Calibri"/>
                <w:color w:val="203764"/>
                <w:sz w:val="18"/>
                <w:szCs w:val="18"/>
                <w:lang w:val="sr-Cyrl-RS"/>
              </w:rPr>
            </w:pPr>
            <w:r w:rsidRPr="00604ED1">
              <w:rPr>
                <w:rFonts w:ascii="Calibri" w:hAnsi="Calibri" w:cs="Calibri"/>
                <w:color w:val="203764"/>
                <w:sz w:val="18"/>
                <w:szCs w:val="18"/>
                <w:lang w:val="sr-Cyrl-RS"/>
              </w:rPr>
              <w:t>3.454</w:t>
            </w:r>
          </w:p>
        </w:tc>
      </w:tr>
      <w:tr w:rsidR="005967FD" w:rsidRPr="00604ED1" w14:paraId="75E7F1B9" w14:textId="77777777" w:rsidTr="002A2551">
        <w:trPr>
          <w:trHeight w:hRule="exact" w:val="304"/>
        </w:trPr>
        <w:tc>
          <w:tcPr>
            <w:tcW w:w="0" w:type="auto"/>
            <w:tcBorders>
              <w:top w:val="nil"/>
              <w:left w:val="nil"/>
              <w:bottom w:val="nil"/>
              <w:right w:val="nil"/>
            </w:tcBorders>
            <w:shd w:val="clear" w:color="auto" w:fill="auto"/>
            <w:noWrap/>
            <w:vAlign w:val="center"/>
            <w:hideMark/>
          </w:tcPr>
          <w:p w14:paraId="5311DA02" w14:textId="77777777" w:rsidR="005967FD" w:rsidRPr="00604ED1" w:rsidRDefault="005967FD" w:rsidP="002A2551">
            <w:pPr>
              <w:spacing w:after="120" w:line="276" w:lineRule="auto"/>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Сопствени капитал</w:t>
            </w:r>
          </w:p>
        </w:tc>
        <w:tc>
          <w:tcPr>
            <w:tcW w:w="0" w:type="auto"/>
            <w:tcBorders>
              <w:top w:val="nil"/>
              <w:left w:val="nil"/>
              <w:bottom w:val="nil"/>
              <w:right w:val="nil"/>
            </w:tcBorders>
            <w:shd w:val="clear" w:color="auto" w:fill="auto"/>
            <w:noWrap/>
            <w:vAlign w:val="center"/>
          </w:tcPr>
          <w:p w14:paraId="6EE56394" w14:textId="77777777" w:rsidR="005967FD" w:rsidRPr="00604ED1" w:rsidRDefault="005967FD" w:rsidP="002A2551">
            <w:pPr>
              <w:spacing w:after="120" w:line="276" w:lineRule="auto"/>
              <w:jc w:val="right"/>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1.140</w:t>
            </w:r>
          </w:p>
        </w:tc>
        <w:tc>
          <w:tcPr>
            <w:tcW w:w="0" w:type="auto"/>
            <w:tcBorders>
              <w:top w:val="nil"/>
              <w:left w:val="nil"/>
              <w:bottom w:val="nil"/>
              <w:right w:val="nil"/>
            </w:tcBorders>
            <w:shd w:val="clear" w:color="000000" w:fill="FFFFFF"/>
            <w:noWrap/>
            <w:vAlign w:val="bottom"/>
          </w:tcPr>
          <w:p w14:paraId="712A1156" w14:textId="77777777" w:rsidR="005967FD" w:rsidRPr="00604ED1" w:rsidRDefault="005967FD" w:rsidP="002A2551">
            <w:pPr>
              <w:jc w:val="right"/>
              <w:rPr>
                <w:rFonts w:ascii="Calibri" w:hAnsi="Calibri" w:cs="Calibri"/>
                <w:color w:val="203764"/>
                <w:sz w:val="18"/>
                <w:szCs w:val="18"/>
                <w:lang w:val="sr-Cyrl-RS"/>
              </w:rPr>
            </w:pPr>
            <w:r w:rsidRPr="00604ED1">
              <w:rPr>
                <w:rFonts w:ascii="Calibri" w:hAnsi="Calibri" w:cs="Calibri"/>
                <w:color w:val="203764"/>
                <w:sz w:val="18"/>
                <w:szCs w:val="18"/>
                <w:lang w:val="sr-Cyrl-RS"/>
              </w:rPr>
              <w:t>1.147</w:t>
            </w:r>
          </w:p>
        </w:tc>
      </w:tr>
      <w:tr w:rsidR="005967FD" w:rsidRPr="00604ED1" w14:paraId="0CA16694" w14:textId="77777777" w:rsidTr="002A2551">
        <w:trPr>
          <w:trHeight w:hRule="exact" w:val="304"/>
        </w:trPr>
        <w:tc>
          <w:tcPr>
            <w:tcW w:w="0" w:type="auto"/>
            <w:tcBorders>
              <w:top w:val="nil"/>
              <w:left w:val="nil"/>
              <w:bottom w:val="nil"/>
              <w:right w:val="nil"/>
            </w:tcBorders>
            <w:shd w:val="clear" w:color="auto" w:fill="auto"/>
            <w:noWrap/>
            <w:vAlign w:val="center"/>
            <w:hideMark/>
          </w:tcPr>
          <w:p w14:paraId="5E312C2F" w14:textId="77777777" w:rsidR="005967FD" w:rsidRPr="00604ED1" w:rsidRDefault="005967FD" w:rsidP="002A2551">
            <w:pPr>
              <w:spacing w:after="120" w:line="276" w:lineRule="auto"/>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Укупни приходи</w:t>
            </w:r>
          </w:p>
        </w:tc>
        <w:tc>
          <w:tcPr>
            <w:tcW w:w="0" w:type="auto"/>
            <w:tcBorders>
              <w:top w:val="nil"/>
              <w:left w:val="nil"/>
              <w:bottom w:val="nil"/>
              <w:right w:val="nil"/>
            </w:tcBorders>
            <w:shd w:val="clear" w:color="auto" w:fill="auto"/>
            <w:noWrap/>
            <w:vAlign w:val="center"/>
          </w:tcPr>
          <w:p w14:paraId="1F78E928" w14:textId="77777777" w:rsidR="005967FD" w:rsidRPr="00604ED1" w:rsidRDefault="005967FD" w:rsidP="002A2551">
            <w:pPr>
              <w:spacing w:after="120" w:line="276" w:lineRule="auto"/>
              <w:jc w:val="right"/>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776</w:t>
            </w:r>
          </w:p>
        </w:tc>
        <w:tc>
          <w:tcPr>
            <w:tcW w:w="0" w:type="auto"/>
            <w:tcBorders>
              <w:top w:val="nil"/>
              <w:left w:val="nil"/>
              <w:bottom w:val="nil"/>
              <w:right w:val="nil"/>
            </w:tcBorders>
            <w:shd w:val="clear" w:color="000000" w:fill="FFFFFF"/>
            <w:noWrap/>
            <w:vAlign w:val="bottom"/>
          </w:tcPr>
          <w:p w14:paraId="7C957473"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937</w:t>
            </w:r>
          </w:p>
        </w:tc>
      </w:tr>
      <w:tr w:rsidR="005967FD" w:rsidRPr="00604ED1" w14:paraId="2D28004B" w14:textId="77777777" w:rsidTr="002A2551">
        <w:trPr>
          <w:trHeight w:hRule="exact" w:val="304"/>
        </w:trPr>
        <w:tc>
          <w:tcPr>
            <w:tcW w:w="0" w:type="auto"/>
            <w:tcBorders>
              <w:top w:val="nil"/>
              <w:left w:val="nil"/>
              <w:bottom w:val="nil"/>
              <w:right w:val="nil"/>
            </w:tcBorders>
            <w:shd w:val="clear" w:color="auto" w:fill="auto"/>
            <w:noWrap/>
            <w:vAlign w:val="center"/>
            <w:hideMark/>
          </w:tcPr>
          <w:p w14:paraId="26E8E68D" w14:textId="77777777" w:rsidR="005967FD" w:rsidRPr="00604ED1" w:rsidRDefault="005967FD" w:rsidP="002A2551">
            <w:pPr>
              <w:spacing w:after="120" w:line="276" w:lineRule="auto"/>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Нето резултат</w:t>
            </w:r>
          </w:p>
        </w:tc>
        <w:tc>
          <w:tcPr>
            <w:tcW w:w="0" w:type="auto"/>
            <w:tcBorders>
              <w:top w:val="nil"/>
              <w:left w:val="nil"/>
              <w:bottom w:val="nil"/>
              <w:right w:val="nil"/>
            </w:tcBorders>
            <w:shd w:val="clear" w:color="auto" w:fill="auto"/>
            <w:noWrap/>
            <w:vAlign w:val="center"/>
          </w:tcPr>
          <w:p w14:paraId="4FE17E32" w14:textId="77777777" w:rsidR="005967FD" w:rsidRPr="00604ED1" w:rsidRDefault="005967FD" w:rsidP="002A2551">
            <w:pPr>
              <w:spacing w:after="120" w:line="276" w:lineRule="auto"/>
              <w:jc w:val="right"/>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-12,7</w:t>
            </w:r>
          </w:p>
        </w:tc>
        <w:tc>
          <w:tcPr>
            <w:tcW w:w="0" w:type="auto"/>
            <w:tcBorders>
              <w:top w:val="nil"/>
              <w:left w:val="nil"/>
              <w:bottom w:val="nil"/>
              <w:right w:val="nil"/>
            </w:tcBorders>
            <w:shd w:val="clear" w:color="000000" w:fill="FFFFFF"/>
            <w:noWrap/>
            <w:vAlign w:val="bottom"/>
          </w:tcPr>
          <w:p w14:paraId="18B32F3D"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-69</w:t>
            </w:r>
          </w:p>
        </w:tc>
      </w:tr>
      <w:tr w:rsidR="005967FD" w:rsidRPr="00604ED1" w14:paraId="76CB543A" w14:textId="77777777" w:rsidTr="002A2551">
        <w:trPr>
          <w:trHeight w:hRule="exact" w:val="304"/>
        </w:trPr>
        <w:tc>
          <w:tcPr>
            <w:tcW w:w="0" w:type="auto"/>
            <w:tcBorders>
              <w:top w:val="nil"/>
              <w:left w:val="nil"/>
              <w:bottom w:val="nil"/>
              <w:right w:val="nil"/>
            </w:tcBorders>
            <w:shd w:val="clear" w:color="auto" w:fill="auto"/>
            <w:noWrap/>
            <w:vAlign w:val="center"/>
            <w:hideMark/>
          </w:tcPr>
          <w:p w14:paraId="729FFB82" w14:textId="77777777" w:rsidR="005967FD" w:rsidRPr="00604ED1" w:rsidRDefault="005967FD" w:rsidP="002A2551">
            <w:pPr>
              <w:spacing w:after="120" w:line="276" w:lineRule="auto"/>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Субвенције</w:t>
            </w:r>
          </w:p>
        </w:tc>
        <w:tc>
          <w:tcPr>
            <w:tcW w:w="0" w:type="auto"/>
            <w:tcBorders>
              <w:top w:val="nil"/>
              <w:left w:val="nil"/>
              <w:bottom w:val="nil"/>
              <w:right w:val="nil"/>
            </w:tcBorders>
            <w:shd w:val="clear" w:color="auto" w:fill="auto"/>
            <w:noWrap/>
            <w:vAlign w:val="center"/>
          </w:tcPr>
          <w:p w14:paraId="7E80A841" w14:textId="77777777" w:rsidR="005967FD" w:rsidRPr="00604ED1" w:rsidRDefault="005967FD" w:rsidP="002A2551">
            <w:pPr>
              <w:spacing w:after="120" w:line="276" w:lineRule="auto"/>
              <w:jc w:val="right"/>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67,3</w:t>
            </w:r>
          </w:p>
        </w:tc>
        <w:tc>
          <w:tcPr>
            <w:tcW w:w="0" w:type="auto"/>
            <w:tcBorders>
              <w:top w:val="nil"/>
              <w:left w:val="nil"/>
              <w:bottom w:val="nil"/>
              <w:right w:val="nil"/>
            </w:tcBorders>
            <w:shd w:val="clear" w:color="000000" w:fill="FFFFFF"/>
            <w:noWrap/>
            <w:vAlign w:val="bottom"/>
          </w:tcPr>
          <w:p w14:paraId="28C3B389" w14:textId="77777777" w:rsidR="005967FD" w:rsidRPr="00604ED1" w:rsidRDefault="005967FD" w:rsidP="002A2551">
            <w:pPr>
              <w:jc w:val="right"/>
              <w:rPr>
                <w:rFonts w:ascii="Calibri" w:hAnsi="Calibri" w:cs="Calibri"/>
                <w:color w:val="203764"/>
                <w:sz w:val="18"/>
                <w:szCs w:val="18"/>
                <w:lang w:val="sr-Cyrl-RS"/>
              </w:rPr>
            </w:pPr>
            <w:r w:rsidRPr="00604ED1">
              <w:rPr>
                <w:rFonts w:ascii="Calibri" w:hAnsi="Calibri" w:cs="Calibri"/>
                <w:color w:val="203764"/>
                <w:sz w:val="18"/>
                <w:szCs w:val="18"/>
                <w:lang w:val="sr-Cyrl-RS"/>
              </w:rPr>
              <w:t>56</w:t>
            </w:r>
          </w:p>
        </w:tc>
      </w:tr>
      <w:tr w:rsidR="005967FD" w:rsidRPr="00604ED1" w14:paraId="46A65958" w14:textId="77777777" w:rsidTr="002A2551">
        <w:trPr>
          <w:trHeight w:hRule="exact" w:val="304"/>
        </w:trPr>
        <w:tc>
          <w:tcPr>
            <w:tcW w:w="0" w:type="auto"/>
            <w:tcBorders>
              <w:top w:val="nil"/>
              <w:left w:val="nil"/>
              <w:bottom w:val="single" w:sz="8" w:space="0" w:color="002060"/>
              <w:right w:val="nil"/>
            </w:tcBorders>
            <w:shd w:val="clear" w:color="auto" w:fill="auto"/>
            <w:noWrap/>
            <w:vAlign w:val="center"/>
            <w:hideMark/>
          </w:tcPr>
          <w:p w14:paraId="716B1D85" w14:textId="77777777" w:rsidR="005967FD" w:rsidRPr="00604ED1" w:rsidRDefault="005967FD" w:rsidP="002A2551">
            <w:pPr>
              <w:spacing w:after="120" w:line="276" w:lineRule="auto"/>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Субвенције, без ЈП „Путеви Србије”</w:t>
            </w:r>
          </w:p>
        </w:tc>
        <w:tc>
          <w:tcPr>
            <w:tcW w:w="0" w:type="auto"/>
            <w:tcBorders>
              <w:top w:val="nil"/>
              <w:left w:val="nil"/>
              <w:bottom w:val="single" w:sz="8" w:space="0" w:color="002060"/>
              <w:right w:val="nil"/>
            </w:tcBorders>
            <w:shd w:val="clear" w:color="auto" w:fill="auto"/>
            <w:noWrap/>
            <w:vAlign w:val="center"/>
          </w:tcPr>
          <w:p w14:paraId="35585940" w14:textId="77777777" w:rsidR="005967FD" w:rsidRPr="00604ED1" w:rsidRDefault="005967FD" w:rsidP="002A2551">
            <w:pPr>
              <w:spacing w:after="120" w:line="276" w:lineRule="auto"/>
              <w:jc w:val="right"/>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38,1</w:t>
            </w:r>
          </w:p>
        </w:tc>
        <w:tc>
          <w:tcPr>
            <w:tcW w:w="0" w:type="auto"/>
            <w:tcBorders>
              <w:top w:val="nil"/>
              <w:left w:val="nil"/>
              <w:bottom w:val="single" w:sz="4" w:space="0" w:color="203764"/>
              <w:right w:val="nil"/>
            </w:tcBorders>
            <w:shd w:val="clear" w:color="000000" w:fill="FFFFFF"/>
            <w:noWrap/>
            <w:vAlign w:val="bottom"/>
          </w:tcPr>
          <w:p w14:paraId="1964AF50" w14:textId="77777777" w:rsidR="005967FD" w:rsidRPr="00604ED1" w:rsidRDefault="005967FD" w:rsidP="002A2551">
            <w:pPr>
              <w:jc w:val="right"/>
              <w:rPr>
                <w:rFonts w:ascii="Calibri" w:hAnsi="Calibri" w:cs="Calibri"/>
                <w:color w:val="203764"/>
                <w:sz w:val="18"/>
                <w:szCs w:val="18"/>
                <w:lang w:val="sr-Cyrl-RS"/>
              </w:rPr>
            </w:pPr>
            <w:r w:rsidRPr="00604ED1">
              <w:rPr>
                <w:rFonts w:ascii="Calibri" w:hAnsi="Calibri" w:cs="Calibri"/>
                <w:color w:val="203764"/>
                <w:sz w:val="18"/>
                <w:szCs w:val="18"/>
                <w:lang w:val="sr-Cyrl-RS"/>
              </w:rPr>
              <w:t>33</w:t>
            </w:r>
          </w:p>
        </w:tc>
      </w:tr>
    </w:tbl>
    <w:p w14:paraId="76BE512B" w14:textId="77777777" w:rsidR="005967FD" w:rsidRPr="0011537D" w:rsidRDefault="005967FD" w:rsidP="002A2551">
      <w:pPr>
        <w:rPr>
          <w:rFonts w:eastAsia="MS PGothic" w:cstheme="minorHAnsi"/>
          <w:sz w:val="16"/>
          <w:szCs w:val="18"/>
          <w:lang w:val="sr-Cyrl-RS" w:eastAsia="ja-JP"/>
        </w:rPr>
      </w:pPr>
      <w:r w:rsidRPr="0011537D">
        <w:rPr>
          <w:rFonts w:eastAsia="MS PGothic" w:cstheme="minorHAnsi"/>
          <w:sz w:val="16"/>
          <w:szCs w:val="18"/>
          <w:lang w:val="sr-Cyrl-RS" w:eastAsia="ja-JP"/>
        </w:rPr>
        <w:t>Извор: Финансијски извештаји за 2021. и 2022. годину</w:t>
      </w:r>
    </w:p>
    <w:p w14:paraId="7E3CD468" w14:textId="092803F5"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 xml:space="preserve">У 2022. години субвенције су, изражене у проценту укупних прихода, на нижем нивоу у односу на претходну годину и чине </w:t>
      </w:r>
      <w:r w:rsidR="003506D1">
        <w:rPr>
          <w:rFonts w:eastAsia="MS PGothic" w:cstheme="minorHAnsi"/>
          <w:szCs w:val="20"/>
          <w:lang w:val="sr-Cyrl-RS" w:eastAsia="ja-JP"/>
        </w:rPr>
        <w:t>око 6</w:t>
      </w:r>
      <w:r w:rsidRPr="00604ED1">
        <w:rPr>
          <w:rFonts w:eastAsia="MS PGothic" w:cstheme="minorHAnsi"/>
          <w:szCs w:val="20"/>
          <w:lang w:val="sr-Cyrl-RS" w:eastAsia="ja-JP"/>
        </w:rPr>
        <w:t>% укупних прихода јавних предузећа. Одређене субвенције имају капитални карактер, као што су субвенције за ЈП „Путеви Србије</w:t>
      </w:r>
      <w:r w:rsidRPr="00604ED1">
        <w:rPr>
          <w:rFonts w:eastAsia="MS PGothic" w:cstheme="minorHAnsi"/>
          <w:bCs/>
          <w:szCs w:val="20"/>
          <w:lang w:val="sr-Cyrl-RS" w:eastAsia="ja-JP"/>
        </w:rPr>
        <w:t>”</w:t>
      </w:r>
      <w:r w:rsidRPr="00604ED1">
        <w:rPr>
          <w:rFonts w:eastAsia="MS PGothic" w:cstheme="minorHAnsi"/>
          <w:szCs w:val="20"/>
          <w:lang w:val="sr-Cyrl-RS" w:eastAsia="ja-JP"/>
        </w:rPr>
        <w:t>, које су намењене реконструкцији путне инфраструктуре.</w:t>
      </w:r>
    </w:p>
    <w:p w14:paraId="7EAD884C" w14:textId="77777777" w:rsidR="005967FD" w:rsidRPr="00604ED1" w:rsidRDefault="005967FD" w:rsidP="002A2551">
      <w:pPr>
        <w:jc w:val="left"/>
        <w:rPr>
          <w:b/>
          <w:color w:val="2F5496" w:themeColor="accent1" w:themeShade="BF"/>
          <w:lang w:val="sr-Cyrl-RS"/>
        </w:rPr>
      </w:pPr>
      <w:r w:rsidRPr="00604ED1">
        <w:rPr>
          <w:b/>
          <w:color w:val="2F5496" w:themeColor="accent1" w:themeShade="BF"/>
          <w:lang w:val="sr-Cyrl-RS"/>
        </w:rPr>
        <w:t>Резултати пословања јавних предузећа у првој половини 2023. године</w:t>
      </w:r>
    </w:p>
    <w:p w14:paraId="6252C8D0" w14:textId="77777777" w:rsidR="005967FD" w:rsidRPr="00604ED1" w:rsidRDefault="005967FD" w:rsidP="002A2551">
      <w:pPr>
        <w:spacing w:after="360"/>
        <w:rPr>
          <w:rFonts w:eastAsia="MS PGothic" w:cstheme="minorHAnsi"/>
          <w:szCs w:val="20"/>
          <w:lang w:val="sr-Cyrl-RS" w:eastAsia="ja-JP"/>
        </w:rPr>
      </w:pPr>
      <w:r w:rsidRPr="00604ED1">
        <w:rPr>
          <w:rFonts w:eastAsia="MS PGothic" w:cstheme="minorHAnsi"/>
          <w:szCs w:val="20"/>
          <w:lang w:val="sr-Cyrl-RS" w:eastAsia="ja-JP"/>
        </w:rPr>
        <w:t>Укупан нето резултат утврђен у првој половини 2023. године је добитак у износу од 57,7 млрд динара. Резултат текуће године је прецењен за трошкове амортизације ЈП „Путеви Србије</w:t>
      </w:r>
      <w:r w:rsidRPr="00604ED1">
        <w:rPr>
          <w:rFonts w:eastAsia="MS PGothic" w:cstheme="minorHAnsi"/>
          <w:bCs/>
          <w:szCs w:val="20"/>
          <w:lang w:val="sr-Cyrl-RS" w:eastAsia="ja-JP"/>
        </w:rPr>
        <w:t>”</w:t>
      </w:r>
      <w:r w:rsidRPr="00604ED1">
        <w:rPr>
          <w:rFonts w:eastAsia="MS PGothic" w:cstheme="minorHAnsi"/>
          <w:szCs w:val="20"/>
          <w:lang w:val="sr-Cyrl-RS" w:eastAsia="ja-JP"/>
        </w:rPr>
        <w:t>, јер предузеће ове трошкове књижи тек на крају године у целокупном износу за дату годину.</w:t>
      </w:r>
    </w:p>
    <w:p w14:paraId="1CEEC17C" w14:textId="77777777" w:rsidR="005967FD" w:rsidRPr="00604ED1" w:rsidRDefault="005967FD" w:rsidP="002A2551">
      <w:pPr>
        <w:spacing w:after="0" w:line="276" w:lineRule="auto"/>
        <w:jc w:val="center"/>
        <w:rPr>
          <w:rFonts w:eastAsia="MS PGothic" w:cstheme="minorHAnsi"/>
          <w:b/>
          <w:bCs/>
          <w:color w:val="002060"/>
          <w:szCs w:val="20"/>
          <w:lang w:val="sr-Cyrl-RS" w:eastAsia="ja-JP"/>
        </w:rPr>
        <w:sectPr w:rsidR="005967FD" w:rsidRPr="00604ED1" w:rsidSect="002A2551">
          <w:type w:val="continuous"/>
          <w:pgSz w:w="12240" w:h="15840"/>
          <w:pgMar w:top="1440" w:right="1440" w:bottom="1440" w:left="1440" w:header="720" w:footer="720" w:gutter="0"/>
          <w:cols w:num="2" w:space="720"/>
          <w:docGrid w:linePitch="360"/>
          <w15:footnoteColumns w:val="1"/>
        </w:sectPr>
      </w:pPr>
    </w:p>
    <w:p w14:paraId="0E81776F" w14:textId="77777777" w:rsidR="005967FD" w:rsidRPr="00604ED1" w:rsidRDefault="005967FD" w:rsidP="002A2551">
      <w:pPr>
        <w:rPr>
          <w:lang w:val="sr-Cyrl-RS" w:eastAsia="ja-JP"/>
        </w:rPr>
      </w:pPr>
      <w:r w:rsidRPr="00604ED1">
        <w:rPr>
          <w:lang w:val="sr-Cyrl-RS" w:eastAsia="ja-JP"/>
        </w:rPr>
        <w:br w:type="page"/>
      </w:r>
    </w:p>
    <w:p w14:paraId="17CF9872" w14:textId="2EC233AF" w:rsidR="005967FD" w:rsidRPr="00604ED1" w:rsidRDefault="005967FD" w:rsidP="002A2551">
      <w:pPr>
        <w:spacing w:after="0" w:line="276" w:lineRule="auto"/>
        <w:jc w:val="center"/>
        <w:rPr>
          <w:rFonts w:eastAsia="MS PGothic" w:cstheme="minorHAnsi"/>
          <w:b/>
          <w:bCs/>
          <w:color w:val="002060"/>
          <w:szCs w:val="20"/>
          <w:lang w:val="sr-Cyrl-RS" w:eastAsia="ja-JP"/>
        </w:rPr>
      </w:pPr>
      <w:r w:rsidRPr="00604ED1">
        <w:rPr>
          <w:rFonts w:eastAsia="MS PGothic" w:cstheme="minorHAnsi"/>
          <w:b/>
          <w:bCs/>
          <w:color w:val="002060"/>
          <w:szCs w:val="20"/>
          <w:lang w:val="sr-Cyrl-RS" w:eastAsia="ja-JP"/>
        </w:rPr>
        <w:lastRenderedPageBreak/>
        <w:t>Табела 16. Основни пок</w:t>
      </w:r>
      <w:r w:rsidR="0068162B">
        <w:rPr>
          <w:rFonts w:eastAsia="MS PGothic" w:cstheme="minorHAnsi"/>
          <w:b/>
          <w:bCs/>
          <w:color w:val="002060"/>
          <w:szCs w:val="20"/>
          <w:lang w:val="sr-Cyrl-RS" w:eastAsia="ja-JP"/>
        </w:rPr>
        <w:t>азатељи пословања ЈП на дан 30.</w:t>
      </w:r>
      <w:r w:rsidRPr="00604ED1">
        <w:rPr>
          <w:rFonts w:eastAsia="MS PGothic" w:cstheme="minorHAnsi"/>
          <w:b/>
          <w:bCs/>
          <w:color w:val="002060"/>
          <w:szCs w:val="20"/>
          <w:lang w:val="sr-Cyrl-RS" w:eastAsia="ja-JP"/>
        </w:rPr>
        <w:t>6.2023. године, у млрд динара</w:t>
      </w:r>
    </w:p>
    <w:tbl>
      <w:tblPr>
        <w:tblW w:w="9239" w:type="dxa"/>
        <w:tblLayout w:type="fixed"/>
        <w:tblLook w:val="04A0" w:firstRow="1" w:lastRow="0" w:firstColumn="1" w:lastColumn="0" w:noHBand="0" w:noVBand="1"/>
      </w:tblPr>
      <w:tblGrid>
        <w:gridCol w:w="3119"/>
        <w:gridCol w:w="2040"/>
        <w:gridCol w:w="2040"/>
        <w:gridCol w:w="2040"/>
      </w:tblGrid>
      <w:tr w:rsidR="005967FD" w:rsidRPr="00604ED1" w14:paraId="27F03740" w14:textId="77777777" w:rsidTr="002A2551">
        <w:trPr>
          <w:trHeight w:hRule="exact" w:val="227"/>
          <w:tblHeader/>
        </w:trPr>
        <w:tc>
          <w:tcPr>
            <w:tcW w:w="3119" w:type="dxa"/>
            <w:tcBorders>
              <w:top w:val="single" w:sz="8" w:space="0" w:color="002060"/>
              <w:left w:val="nil"/>
              <w:bottom w:val="single" w:sz="8" w:space="0" w:color="002060"/>
              <w:right w:val="nil"/>
            </w:tcBorders>
            <w:shd w:val="clear" w:color="auto" w:fill="auto"/>
            <w:noWrap/>
            <w:vAlign w:val="center"/>
            <w:hideMark/>
          </w:tcPr>
          <w:p w14:paraId="12180CF5" w14:textId="77777777" w:rsidR="005967FD" w:rsidRPr="00604ED1" w:rsidRDefault="005967FD" w:rsidP="002A2551">
            <w:pPr>
              <w:spacing w:after="120" w:line="276" w:lineRule="auto"/>
              <w:jc w:val="left"/>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Показатељи пословања</w:t>
            </w:r>
          </w:p>
        </w:tc>
        <w:tc>
          <w:tcPr>
            <w:tcW w:w="2040" w:type="dxa"/>
            <w:tcBorders>
              <w:top w:val="single" w:sz="8" w:space="0" w:color="002060"/>
              <w:left w:val="nil"/>
              <w:bottom w:val="single" w:sz="8" w:space="0" w:color="002060"/>
              <w:right w:val="nil"/>
            </w:tcBorders>
            <w:shd w:val="clear" w:color="auto" w:fill="auto"/>
            <w:noWrap/>
            <w:vAlign w:val="center"/>
            <w:hideMark/>
          </w:tcPr>
          <w:p w14:paraId="3FB5C7AE" w14:textId="77777777" w:rsidR="005967FD" w:rsidRPr="00604ED1" w:rsidRDefault="005967FD" w:rsidP="002A2551">
            <w:pPr>
              <w:spacing w:after="120" w:line="276" w:lineRule="auto"/>
              <w:jc w:val="right"/>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2021</w:t>
            </w:r>
          </w:p>
        </w:tc>
        <w:tc>
          <w:tcPr>
            <w:tcW w:w="2040" w:type="dxa"/>
            <w:tcBorders>
              <w:top w:val="single" w:sz="8" w:space="0" w:color="002060"/>
              <w:left w:val="nil"/>
              <w:bottom w:val="single" w:sz="8" w:space="0" w:color="002060"/>
              <w:right w:val="nil"/>
            </w:tcBorders>
            <w:shd w:val="clear" w:color="auto" w:fill="auto"/>
            <w:noWrap/>
            <w:vAlign w:val="center"/>
            <w:hideMark/>
          </w:tcPr>
          <w:p w14:paraId="3BBA2C49" w14:textId="77777777" w:rsidR="005967FD" w:rsidRPr="00604ED1" w:rsidRDefault="005967FD" w:rsidP="002A2551">
            <w:pPr>
              <w:spacing w:after="120" w:line="276" w:lineRule="auto"/>
              <w:jc w:val="right"/>
              <w:rPr>
                <w:rFonts w:eastAsia="MS PGothic" w:cstheme="minorHAnsi"/>
                <w:b/>
                <w:color w:val="002060"/>
                <w:sz w:val="18"/>
                <w:szCs w:val="18"/>
                <w:lang w:val="sr-Cyrl-RS" w:eastAsia="ja-JP"/>
              </w:rPr>
            </w:pPr>
            <w:r w:rsidRPr="00604ED1">
              <w:rPr>
                <w:rFonts w:eastAsia="MS PGothic" w:cstheme="minorHAnsi"/>
                <w:b/>
                <w:color w:val="002060"/>
                <w:sz w:val="18"/>
                <w:szCs w:val="18"/>
                <w:lang w:val="sr-Cyrl-RS" w:eastAsia="ja-JP"/>
              </w:rPr>
              <w:t>2022</w:t>
            </w:r>
          </w:p>
        </w:tc>
        <w:tc>
          <w:tcPr>
            <w:tcW w:w="2040" w:type="dxa"/>
            <w:tcBorders>
              <w:top w:val="single" w:sz="8" w:space="0" w:color="002060"/>
              <w:left w:val="nil"/>
              <w:bottom w:val="single" w:sz="8" w:space="0" w:color="002060"/>
              <w:right w:val="nil"/>
            </w:tcBorders>
            <w:shd w:val="clear" w:color="auto" w:fill="auto"/>
            <w:noWrap/>
            <w:vAlign w:val="center"/>
            <w:hideMark/>
          </w:tcPr>
          <w:p w14:paraId="7041D0B2" w14:textId="61E40EDC" w:rsidR="005967FD" w:rsidRPr="00604ED1" w:rsidRDefault="0068162B" w:rsidP="002A2551">
            <w:pPr>
              <w:spacing w:after="120" w:line="276" w:lineRule="auto"/>
              <w:jc w:val="right"/>
              <w:rPr>
                <w:rFonts w:eastAsia="MS PGothic" w:cstheme="minorHAnsi"/>
                <w:b/>
                <w:color w:val="002060"/>
                <w:sz w:val="18"/>
                <w:szCs w:val="18"/>
                <w:lang w:val="sr-Cyrl-RS" w:eastAsia="ja-JP"/>
              </w:rPr>
            </w:pPr>
            <w:r>
              <w:rPr>
                <w:rFonts w:eastAsia="MS PGothic" w:cstheme="minorHAnsi"/>
                <w:b/>
                <w:color w:val="002060"/>
                <w:sz w:val="18"/>
                <w:szCs w:val="18"/>
                <w:lang w:val="sr-Cyrl-RS" w:eastAsia="ja-JP"/>
              </w:rPr>
              <w:t>1.1–30.</w:t>
            </w:r>
            <w:r w:rsidR="005967FD" w:rsidRPr="00604ED1">
              <w:rPr>
                <w:rFonts w:eastAsia="MS PGothic" w:cstheme="minorHAnsi"/>
                <w:b/>
                <w:color w:val="002060"/>
                <w:sz w:val="18"/>
                <w:szCs w:val="18"/>
                <w:lang w:val="sr-Cyrl-RS" w:eastAsia="ja-JP"/>
              </w:rPr>
              <w:t>6.2023.</w:t>
            </w:r>
          </w:p>
        </w:tc>
      </w:tr>
      <w:tr w:rsidR="005967FD" w:rsidRPr="00604ED1" w14:paraId="4A689C6A" w14:textId="77777777" w:rsidTr="002A2551">
        <w:trPr>
          <w:trHeight w:hRule="exact" w:val="227"/>
        </w:trPr>
        <w:tc>
          <w:tcPr>
            <w:tcW w:w="3119" w:type="dxa"/>
            <w:tcBorders>
              <w:top w:val="nil"/>
              <w:left w:val="nil"/>
              <w:bottom w:val="nil"/>
              <w:right w:val="nil"/>
            </w:tcBorders>
            <w:shd w:val="clear" w:color="auto" w:fill="auto"/>
            <w:noWrap/>
            <w:vAlign w:val="center"/>
            <w:hideMark/>
          </w:tcPr>
          <w:p w14:paraId="45844C05" w14:textId="77777777" w:rsidR="005967FD" w:rsidRPr="00604ED1" w:rsidRDefault="005967FD" w:rsidP="002A2551">
            <w:pPr>
              <w:spacing w:after="120" w:line="276" w:lineRule="auto"/>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Пословни приходи</w:t>
            </w:r>
          </w:p>
        </w:tc>
        <w:tc>
          <w:tcPr>
            <w:tcW w:w="2040" w:type="dxa"/>
            <w:tcBorders>
              <w:top w:val="nil"/>
              <w:left w:val="nil"/>
              <w:bottom w:val="nil"/>
              <w:right w:val="nil"/>
            </w:tcBorders>
            <w:shd w:val="clear" w:color="auto" w:fill="auto"/>
            <w:noWrap/>
            <w:vAlign w:val="center"/>
          </w:tcPr>
          <w:p w14:paraId="7F653760" w14:textId="77777777" w:rsidR="005967FD" w:rsidRPr="00604ED1" w:rsidRDefault="005967FD" w:rsidP="002A2551">
            <w:pPr>
              <w:spacing w:after="120" w:line="276" w:lineRule="auto"/>
              <w:jc w:val="right"/>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739,7</w:t>
            </w:r>
          </w:p>
        </w:tc>
        <w:tc>
          <w:tcPr>
            <w:tcW w:w="2040" w:type="dxa"/>
            <w:tcBorders>
              <w:top w:val="nil"/>
              <w:left w:val="nil"/>
              <w:bottom w:val="nil"/>
              <w:right w:val="nil"/>
            </w:tcBorders>
            <w:shd w:val="clear" w:color="000000" w:fill="FFFFFF"/>
            <w:noWrap/>
            <w:vAlign w:val="bottom"/>
          </w:tcPr>
          <w:p w14:paraId="690A5CBA" w14:textId="77777777" w:rsidR="005967FD" w:rsidRPr="00604ED1" w:rsidRDefault="005967FD" w:rsidP="002A2551">
            <w:pPr>
              <w:jc w:val="right"/>
              <w:rPr>
                <w:rFonts w:ascii="Calibri" w:hAnsi="Calibri" w:cs="Calibri"/>
                <w:color w:val="203764"/>
                <w:sz w:val="18"/>
                <w:szCs w:val="18"/>
                <w:lang w:val="sr-Cyrl-RS"/>
              </w:rPr>
            </w:pPr>
            <w:r w:rsidRPr="00604ED1">
              <w:rPr>
                <w:rFonts w:ascii="Calibri" w:hAnsi="Calibri" w:cs="Calibri"/>
                <w:color w:val="203764"/>
                <w:sz w:val="18"/>
                <w:szCs w:val="18"/>
                <w:lang w:val="sr-Cyrl-RS"/>
              </w:rPr>
              <w:t>905</w:t>
            </w:r>
          </w:p>
        </w:tc>
        <w:tc>
          <w:tcPr>
            <w:tcW w:w="2040" w:type="dxa"/>
            <w:tcBorders>
              <w:top w:val="nil"/>
              <w:left w:val="nil"/>
              <w:bottom w:val="nil"/>
              <w:right w:val="nil"/>
            </w:tcBorders>
            <w:shd w:val="clear" w:color="000000" w:fill="FFFFFF"/>
            <w:noWrap/>
            <w:vAlign w:val="bottom"/>
          </w:tcPr>
          <w:p w14:paraId="4D943957" w14:textId="77777777" w:rsidR="005967FD" w:rsidRPr="00604ED1" w:rsidRDefault="005967FD" w:rsidP="002A2551">
            <w:pPr>
              <w:jc w:val="right"/>
              <w:rPr>
                <w:rFonts w:ascii="Calibri" w:hAnsi="Calibri" w:cs="Calibri"/>
                <w:color w:val="203764"/>
                <w:sz w:val="18"/>
                <w:szCs w:val="18"/>
                <w:lang w:val="sr-Cyrl-RS"/>
              </w:rPr>
            </w:pPr>
            <w:r w:rsidRPr="00604ED1">
              <w:rPr>
                <w:rFonts w:ascii="Calibri" w:hAnsi="Calibri" w:cs="Calibri"/>
                <w:color w:val="203764"/>
                <w:sz w:val="18"/>
                <w:szCs w:val="18"/>
                <w:lang w:val="sr-Cyrl-RS"/>
              </w:rPr>
              <w:t>515,4</w:t>
            </w:r>
          </w:p>
        </w:tc>
      </w:tr>
      <w:tr w:rsidR="005967FD" w:rsidRPr="00604ED1" w14:paraId="1CCCA896" w14:textId="77777777" w:rsidTr="002A2551">
        <w:trPr>
          <w:trHeight w:hRule="exact" w:val="227"/>
        </w:trPr>
        <w:tc>
          <w:tcPr>
            <w:tcW w:w="3119" w:type="dxa"/>
            <w:tcBorders>
              <w:top w:val="nil"/>
              <w:left w:val="nil"/>
              <w:bottom w:val="nil"/>
              <w:right w:val="nil"/>
            </w:tcBorders>
            <w:shd w:val="clear" w:color="auto" w:fill="auto"/>
            <w:noWrap/>
            <w:vAlign w:val="center"/>
            <w:hideMark/>
          </w:tcPr>
          <w:p w14:paraId="2A45783C" w14:textId="77777777" w:rsidR="005967FD" w:rsidRPr="00604ED1" w:rsidRDefault="005967FD" w:rsidP="002A2551">
            <w:pPr>
              <w:spacing w:after="120" w:line="276" w:lineRule="auto"/>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Пословни расходи</w:t>
            </w:r>
          </w:p>
        </w:tc>
        <w:tc>
          <w:tcPr>
            <w:tcW w:w="2040" w:type="dxa"/>
            <w:tcBorders>
              <w:top w:val="nil"/>
              <w:left w:val="nil"/>
              <w:bottom w:val="nil"/>
              <w:right w:val="nil"/>
            </w:tcBorders>
            <w:shd w:val="clear" w:color="auto" w:fill="auto"/>
            <w:noWrap/>
            <w:vAlign w:val="center"/>
          </w:tcPr>
          <w:p w14:paraId="46225496" w14:textId="77777777" w:rsidR="005967FD" w:rsidRPr="00604ED1" w:rsidRDefault="005967FD" w:rsidP="002A2551">
            <w:pPr>
              <w:spacing w:after="120" w:line="276" w:lineRule="auto"/>
              <w:jc w:val="right"/>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740,6</w:t>
            </w:r>
          </w:p>
        </w:tc>
        <w:tc>
          <w:tcPr>
            <w:tcW w:w="2040" w:type="dxa"/>
            <w:tcBorders>
              <w:top w:val="nil"/>
              <w:left w:val="nil"/>
              <w:bottom w:val="nil"/>
              <w:right w:val="nil"/>
            </w:tcBorders>
            <w:shd w:val="clear" w:color="000000" w:fill="FFFFFF"/>
            <w:noWrap/>
            <w:vAlign w:val="bottom"/>
          </w:tcPr>
          <w:p w14:paraId="2E13E093" w14:textId="77777777" w:rsidR="005967FD" w:rsidRPr="00604ED1" w:rsidRDefault="005967FD" w:rsidP="002A2551">
            <w:pPr>
              <w:jc w:val="right"/>
              <w:rPr>
                <w:rFonts w:ascii="Calibri" w:hAnsi="Calibri" w:cs="Calibri"/>
                <w:color w:val="203764"/>
                <w:sz w:val="18"/>
                <w:szCs w:val="18"/>
                <w:lang w:val="sr-Cyrl-RS"/>
              </w:rPr>
            </w:pPr>
            <w:r w:rsidRPr="00604ED1">
              <w:rPr>
                <w:rFonts w:ascii="Calibri" w:hAnsi="Calibri" w:cs="Calibri"/>
                <w:color w:val="203764"/>
                <w:sz w:val="18"/>
                <w:szCs w:val="18"/>
                <w:lang w:val="sr-Cyrl-RS"/>
              </w:rPr>
              <w:t>951,0</w:t>
            </w:r>
          </w:p>
        </w:tc>
        <w:tc>
          <w:tcPr>
            <w:tcW w:w="2040" w:type="dxa"/>
            <w:tcBorders>
              <w:top w:val="nil"/>
              <w:left w:val="nil"/>
              <w:bottom w:val="nil"/>
              <w:right w:val="nil"/>
            </w:tcBorders>
            <w:shd w:val="clear" w:color="000000" w:fill="FFFFFF"/>
            <w:noWrap/>
            <w:vAlign w:val="bottom"/>
          </w:tcPr>
          <w:p w14:paraId="4B9B3853" w14:textId="77777777" w:rsidR="005967FD" w:rsidRPr="00604ED1" w:rsidRDefault="005967FD" w:rsidP="002A2551">
            <w:pPr>
              <w:jc w:val="right"/>
              <w:rPr>
                <w:rFonts w:ascii="Calibri" w:hAnsi="Calibri" w:cs="Calibri"/>
                <w:color w:val="203764"/>
                <w:sz w:val="18"/>
                <w:szCs w:val="18"/>
                <w:lang w:val="sr-Cyrl-RS"/>
              </w:rPr>
            </w:pPr>
            <w:r w:rsidRPr="00604ED1">
              <w:rPr>
                <w:rFonts w:ascii="Calibri" w:hAnsi="Calibri" w:cs="Calibri"/>
                <w:color w:val="203764"/>
                <w:sz w:val="18"/>
                <w:szCs w:val="18"/>
                <w:lang w:val="sr-Cyrl-RS"/>
              </w:rPr>
              <w:t>430,8</w:t>
            </w:r>
          </w:p>
        </w:tc>
      </w:tr>
      <w:tr w:rsidR="005967FD" w:rsidRPr="00604ED1" w14:paraId="37D5DED0" w14:textId="77777777" w:rsidTr="002A2551">
        <w:trPr>
          <w:trHeight w:hRule="exact" w:val="227"/>
        </w:trPr>
        <w:tc>
          <w:tcPr>
            <w:tcW w:w="3119" w:type="dxa"/>
            <w:tcBorders>
              <w:top w:val="nil"/>
              <w:left w:val="nil"/>
              <w:bottom w:val="nil"/>
              <w:right w:val="nil"/>
            </w:tcBorders>
            <w:shd w:val="clear" w:color="auto" w:fill="auto"/>
            <w:noWrap/>
            <w:vAlign w:val="center"/>
            <w:hideMark/>
          </w:tcPr>
          <w:p w14:paraId="726C5390" w14:textId="77777777" w:rsidR="005967FD" w:rsidRPr="00604ED1" w:rsidRDefault="005967FD" w:rsidP="002A2551">
            <w:pPr>
              <w:spacing w:after="120" w:line="276" w:lineRule="auto"/>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Пословни резултат</w:t>
            </w:r>
          </w:p>
        </w:tc>
        <w:tc>
          <w:tcPr>
            <w:tcW w:w="2040" w:type="dxa"/>
            <w:tcBorders>
              <w:top w:val="nil"/>
              <w:left w:val="nil"/>
              <w:bottom w:val="nil"/>
              <w:right w:val="nil"/>
            </w:tcBorders>
            <w:shd w:val="clear" w:color="auto" w:fill="auto"/>
            <w:noWrap/>
            <w:vAlign w:val="center"/>
          </w:tcPr>
          <w:p w14:paraId="40CEA9AF" w14:textId="77777777" w:rsidR="005967FD" w:rsidRPr="00604ED1" w:rsidRDefault="005967FD" w:rsidP="002A2551">
            <w:pPr>
              <w:spacing w:after="120" w:line="276" w:lineRule="auto"/>
              <w:jc w:val="right"/>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-1,0</w:t>
            </w:r>
          </w:p>
        </w:tc>
        <w:tc>
          <w:tcPr>
            <w:tcW w:w="2040" w:type="dxa"/>
            <w:tcBorders>
              <w:top w:val="nil"/>
              <w:left w:val="nil"/>
              <w:bottom w:val="nil"/>
              <w:right w:val="nil"/>
            </w:tcBorders>
            <w:shd w:val="clear" w:color="000000" w:fill="FFFFFF"/>
            <w:noWrap/>
            <w:vAlign w:val="bottom"/>
          </w:tcPr>
          <w:p w14:paraId="5350677B"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-45,7</w:t>
            </w:r>
          </w:p>
        </w:tc>
        <w:tc>
          <w:tcPr>
            <w:tcW w:w="2040" w:type="dxa"/>
            <w:tcBorders>
              <w:top w:val="nil"/>
              <w:left w:val="nil"/>
              <w:bottom w:val="nil"/>
              <w:right w:val="nil"/>
            </w:tcBorders>
            <w:shd w:val="clear" w:color="000000" w:fill="FFFFFF"/>
            <w:noWrap/>
            <w:vAlign w:val="bottom"/>
          </w:tcPr>
          <w:p w14:paraId="4E9EA968" w14:textId="77777777" w:rsidR="005967FD" w:rsidRPr="00604ED1" w:rsidRDefault="005967FD" w:rsidP="002A2551">
            <w:pPr>
              <w:jc w:val="right"/>
              <w:rPr>
                <w:rFonts w:ascii="Calibri" w:hAnsi="Calibri" w:cs="Calibri"/>
                <w:color w:val="203764"/>
                <w:sz w:val="18"/>
                <w:szCs w:val="18"/>
                <w:lang w:val="sr-Cyrl-RS"/>
              </w:rPr>
            </w:pPr>
            <w:r w:rsidRPr="00604ED1">
              <w:rPr>
                <w:rFonts w:ascii="Calibri" w:hAnsi="Calibri" w:cs="Calibri"/>
                <w:color w:val="203764"/>
                <w:sz w:val="18"/>
                <w:szCs w:val="18"/>
                <w:lang w:val="sr-Cyrl-RS"/>
              </w:rPr>
              <w:t>84,6</w:t>
            </w:r>
          </w:p>
        </w:tc>
      </w:tr>
      <w:tr w:rsidR="005967FD" w:rsidRPr="00604ED1" w14:paraId="6FDC1B8D" w14:textId="77777777" w:rsidTr="002A2551">
        <w:trPr>
          <w:trHeight w:hRule="exact" w:val="227"/>
        </w:trPr>
        <w:tc>
          <w:tcPr>
            <w:tcW w:w="3119" w:type="dxa"/>
            <w:tcBorders>
              <w:top w:val="nil"/>
              <w:left w:val="nil"/>
              <w:bottom w:val="nil"/>
              <w:right w:val="nil"/>
            </w:tcBorders>
            <w:shd w:val="clear" w:color="auto" w:fill="auto"/>
            <w:noWrap/>
            <w:vAlign w:val="center"/>
            <w:hideMark/>
          </w:tcPr>
          <w:p w14:paraId="22D197D9" w14:textId="77777777" w:rsidR="005967FD" w:rsidRPr="00604ED1" w:rsidRDefault="005967FD" w:rsidP="002A2551">
            <w:pPr>
              <w:spacing w:after="120" w:line="276" w:lineRule="auto"/>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Нето резултат</w:t>
            </w:r>
          </w:p>
        </w:tc>
        <w:tc>
          <w:tcPr>
            <w:tcW w:w="2040" w:type="dxa"/>
            <w:tcBorders>
              <w:top w:val="nil"/>
              <w:left w:val="nil"/>
              <w:bottom w:val="nil"/>
              <w:right w:val="nil"/>
            </w:tcBorders>
            <w:shd w:val="clear" w:color="auto" w:fill="auto"/>
            <w:noWrap/>
            <w:vAlign w:val="center"/>
          </w:tcPr>
          <w:p w14:paraId="5DBB21D8" w14:textId="77777777" w:rsidR="005967FD" w:rsidRPr="00604ED1" w:rsidRDefault="005967FD" w:rsidP="002A2551">
            <w:pPr>
              <w:spacing w:after="120" w:line="276" w:lineRule="auto"/>
              <w:jc w:val="right"/>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-12,7</w:t>
            </w:r>
          </w:p>
        </w:tc>
        <w:tc>
          <w:tcPr>
            <w:tcW w:w="2040" w:type="dxa"/>
            <w:tcBorders>
              <w:top w:val="nil"/>
              <w:left w:val="nil"/>
              <w:bottom w:val="nil"/>
              <w:right w:val="nil"/>
            </w:tcBorders>
            <w:shd w:val="clear" w:color="000000" w:fill="FFFFFF"/>
            <w:noWrap/>
            <w:vAlign w:val="bottom"/>
          </w:tcPr>
          <w:p w14:paraId="6F0E3647" w14:textId="77777777" w:rsidR="005967FD" w:rsidRPr="00604ED1" w:rsidRDefault="005967FD" w:rsidP="002A2551">
            <w:pPr>
              <w:jc w:val="right"/>
              <w:rPr>
                <w:rFonts w:ascii="Calibri" w:hAnsi="Calibri" w:cs="Calibri"/>
                <w:color w:val="002060"/>
                <w:sz w:val="18"/>
                <w:szCs w:val="18"/>
                <w:lang w:val="sr-Cyrl-RS"/>
              </w:rPr>
            </w:pPr>
            <w:r w:rsidRPr="00604ED1">
              <w:rPr>
                <w:rFonts w:ascii="Calibri" w:hAnsi="Calibri" w:cs="Calibri"/>
                <w:color w:val="002060"/>
                <w:sz w:val="18"/>
                <w:szCs w:val="18"/>
                <w:lang w:val="sr-Cyrl-RS"/>
              </w:rPr>
              <w:t>-68,8</w:t>
            </w:r>
          </w:p>
        </w:tc>
        <w:tc>
          <w:tcPr>
            <w:tcW w:w="2040" w:type="dxa"/>
            <w:tcBorders>
              <w:top w:val="nil"/>
              <w:left w:val="nil"/>
              <w:bottom w:val="nil"/>
              <w:right w:val="nil"/>
            </w:tcBorders>
            <w:shd w:val="clear" w:color="000000" w:fill="FFFFFF"/>
            <w:noWrap/>
            <w:vAlign w:val="bottom"/>
          </w:tcPr>
          <w:p w14:paraId="0F4547B1" w14:textId="77777777" w:rsidR="005967FD" w:rsidRPr="00604ED1" w:rsidRDefault="005967FD" w:rsidP="002A2551">
            <w:pPr>
              <w:jc w:val="right"/>
              <w:rPr>
                <w:rFonts w:ascii="Calibri" w:hAnsi="Calibri" w:cs="Calibri"/>
                <w:color w:val="203764"/>
                <w:sz w:val="18"/>
                <w:szCs w:val="18"/>
                <w:lang w:val="sr-Cyrl-RS"/>
              </w:rPr>
            </w:pPr>
            <w:r w:rsidRPr="00604ED1">
              <w:rPr>
                <w:rFonts w:ascii="Calibri" w:hAnsi="Calibri" w:cs="Calibri"/>
                <w:color w:val="203764"/>
                <w:sz w:val="18"/>
                <w:szCs w:val="18"/>
                <w:lang w:val="sr-Cyrl-RS"/>
              </w:rPr>
              <w:t>57,7</w:t>
            </w:r>
          </w:p>
        </w:tc>
      </w:tr>
      <w:tr w:rsidR="005967FD" w:rsidRPr="00604ED1" w14:paraId="45D8A791" w14:textId="77777777" w:rsidTr="002A2551">
        <w:trPr>
          <w:trHeight w:hRule="exact" w:val="227"/>
        </w:trPr>
        <w:tc>
          <w:tcPr>
            <w:tcW w:w="3119" w:type="dxa"/>
            <w:tcBorders>
              <w:top w:val="nil"/>
              <w:left w:val="nil"/>
              <w:bottom w:val="nil"/>
              <w:right w:val="nil"/>
            </w:tcBorders>
            <w:shd w:val="clear" w:color="auto" w:fill="auto"/>
            <w:noWrap/>
            <w:vAlign w:val="center"/>
            <w:hideMark/>
          </w:tcPr>
          <w:p w14:paraId="6A19F0A6" w14:textId="77777777" w:rsidR="005967FD" w:rsidRPr="00604ED1" w:rsidRDefault="005967FD" w:rsidP="002A2551">
            <w:pPr>
              <w:spacing w:after="120" w:line="276" w:lineRule="auto"/>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Трошкови зарада*</w:t>
            </w:r>
          </w:p>
        </w:tc>
        <w:tc>
          <w:tcPr>
            <w:tcW w:w="2040" w:type="dxa"/>
            <w:tcBorders>
              <w:top w:val="nil"/>
              <w:left w:val="nil"/>
              <w:bottom w:val="nil"/>
              <w:right w:val="nil"/>
            </w:tcBorders>
            <w:shd w:val="clear" w:color="auto" w:fill="auto"/>
            <w:noWrap/>
            <w:vAlign w:val="center"/>
          </w:tcPr>
          <w:p w14:paraId="0031F709" w14:textId="77777777" w:rsidR="005967FD" w:rsidRPr="00604ED1" w:rsidRDefault="005967FD" w:rsidP="002A2551">
            <w:pPr>
              <w:spacing w:after="120" w:line="276" w:lineRule="auto"/>
              <w:jc w:val="right"/>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115,0</w:t>
            </w:r>
          </w:p>
        </w:tc>
        <w:tc>
          <w:tcPr>
            <w:tcW w:w="2040" w:type="dxa"/>
            <w:tcBorders>
              <w:top w:val="nil"/>
              <w:left w:val="nil"/>
              <w:bottom w:val="nil"/>
              <w:right w:val="nil"/>
            </w:tcBorders>
            <w:shd w:val="clear" w:color="000000" w:fill="FFFFFF"/>
            <w:noWrap/>
            <w:vAlign w:val="bottom"/>
          </w:tcPr>
          <w:p w14:paraId="17DEC8DF" w14:textId="77777777" w:rsidR="005967FD" w:rsidRPr="00604ED1" w:rsidRDefault="005967FD" w:rsidP="002A2551">
            <w:pPr>
              <w:jc w:val="right"/>
              <w:rPr>
                <w:rFonts w:ascii="Calibri" w:hAnsi="Calibri" w:cs="Calibri"/>
                <w:color w:val="203764"/>
                <w:sz w:val="18"/>
                <w:szCs w:val="18"/>
                <w:lang w:val="sr-Cyrl-RS"/>
              </w:rPr>
            </w:pPr>
            <w:r w:rsidRPr="00604ED1">
              <w:rPr>
                <w:rFonts w:ascii="Calibri" w:hAnsi="Calibri" w:cs="Calibri"/>
                <w:color w:val="203764"/>
                <w:sz w:val="18"/>
                <w:szCs w:val="18"/>
                <w:lang w:val="sr-Cyrl-RS"/>
              </w:rPr>
              <w:t>118,6</w:t>
            </w:r>
          </w:p>
        </w:tc>
        <w:tc>
          <w:tcPr>
            <w:tcW w:w="2040" w:type="dxa"/>
            <w:tcBorders>
              <w:top w:val="nil"/>
              <w:left w:val="nil"/>
              <w:bottom w:val="nil"/>
              <w:right w:val="nil"/>
            </w:tcBorders>
            <w:shd w:val="clear" w:color="000000" w:fill="FFFFFF"/>
            <w:noWrap/>
            <w:vAlign w:val="bottom"/>
          </w:tcPr>
          <w:p w14:paraId="58CCDA1E" w14:textId="77777777" w:rsidR="005967FD" w:rsidRPr="00604ED1" w:rsidRDefault="005967FD" w:rsidP="002A2551">
            <w:pPr>
              <w:jc w:val="right"/>
              <w:rPr>
                <w:rFonts w:ascii="Calibri" w:hAnsi="Calibri" w:cs="Calibri"/>
                <w:color w:val="203764"/>
                <w:sz w:val="18"/>
                <w:szCs w:val="18"/>
                <w:lang w:val="sr-Cyrl-RS"/>
              </w:rPr>
            </w:pPr>
            <w:r w:rsidRPr="00604ED1">
              <w:rPr>
                <w:rFonts w:ascii="Calibri" w:hAnsi="Calibri" w:cs="Calibri"/>
                <w:color w:val="203764"/>
                <w:sz w:val="18"/>
                <w:szCs w:val="18"/>
                <w:lang w:val="sr-Cyrl-RS"/>
              </w:rPr>
              <w:t>62,4</w:t>
            </w:r>
          </w:p>
        </w:tc>
      </w:tr>
      <w:tr w:rsidR="005967FD" w:rsidRPr="00604ED1" w14:paraId="278C35D1" w14:textId="77777777" w:rsidTr="002A2551">
        <w:trPr>
          <w:trHeight w:hRule="exact" w:val="229"/>
        </w:trPr>
        <w:tc>
          <w:tcPr>
            <w:tcW w:w="3119" w:type="dxa"/>
            <w:tcBorders>
              <w:top w:val="nil"/>
              <w:left w:val="nil"/>
              <w:bottom w:val="single" w:sz="8" w:space="0" w:color="002060"/>
              <w:right w:val="nil"/>
            </w:tcBorders>
            <w:shd w:val="clear" w:color="auto" w:fill="auto"/>
            <w:noWrap/>
            <w:vAlign w:val="center"/>
            <w:hideMark/>
          </w:tcPr>
          <w:p w14:paraId="23A13C98" w14:textId="77777777" w:rsidR="005967FD" w:rsidRPr="00604ED1" w:rsidRDefault="005967FD" w:rsidP="002A2551">
            <w:pPr>
              <w:spacing w:after="120" w:line="276" w:lineRule="auto"/>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 xml:space="preserve">Број ЈП која су остварила добит </w:t>
            </w:r>
          </w:p>
        </w:tc>
        <w:tc>
          <w:tcPr>
            <w:tcW w:w="2040" w:type="dxa"/>
            <w:tcBorders>
              <w:top w:val="nil"/>
              <w:left w:val="nil"/>
              <w:bottom w:val="single" w:sz="8" w:space="0" w:color="002060"/>
              <w:right w:val="nil"/>
            </w:tcBorders>
            <w:shd w:val="clear" w:color="auto" w:fill="auto"/>
            <w:noWrap/>
            <w:vAlign w:val="center"/>
          </w:tcPr>
          <w:p w14:paraId="7B9E61AA" w14:textId="77777777" w:rsidR="005967FD" w:rsidRPr="00604ED1" w:rsidRDefault="005967FD" w:rsidP="002A2551">
            <w:pPr>
              <w:spacing w:after="120" w:line="276" w:lineRule="auto"/>
              <w:jc w:val="right"/>
              <w:rPr>
                <w:rFonts w:eastAsia="MS PGothic" w:cstheme="minorHAnsi"/>
                <w:color w:val="002060"/>
                <w:sz w:val="18"/>
                <w:szCs w:val="18"/>
                <w:lang w:val="sr-Cyrl-RS" w:eastAsia="ja-JP"/>
              </w:rPr>
            </w:pPr>
            <w:r w:rsidRPr="00604ED1">
              <w:rPr>
                <w:rFonts w:eastAsia="MS PGothic" w:cstheme="minorHAnsi"/>
                <w:color w:val="002060"/>
                <w:sz w:val="18"/>
                <w:szCs w:val="18"/>
                <w:lang w:val="sr-Cyrl-RS" w:eastAsia="ja-JP"/>
              </w:rPr>
              <w:t>26</w:t>
            </w:r>
          </w:p>
        </w:tc>
        <w:tc>
          <w:tcPr>
            <w:tcW w:w="2040" w:type="dxa"/>
            <w:tcBorders>
              <w:top w:val="nil"/>
              <w:left w:val="nil"/>
              <w:bottom w:val="single" w:sz="4" w:space="0" w:color="203764"/>
              <w:right w:val="nil"/>
            </w:tcBorders>
            <w:shd w:val="clear" w:color="000000" w:fill="FFFFFF"/>
            <w:noWrap/>
            <w:vAlign w:val="bottom"/>
          </w:tcPr>
          <w:p w14:paraId="0615BDC8" w14:textId="77777777" w:rsidR="005967FD" w:rsidRPr="00604ED1" w:rsidRDefault="005967FD" w:rsidP="002A2551">
            <w:pPr>
              <w:jc w:val="right"/>
              <w:rPr>
                <w:rFonts w:ascii="Calibri" w:hAnsi="Calibri" w:cs="Calibri"/>
                <w:color w:val="203764"/>
                <w:sz w:val="18"/>
                <w:szCs w:val="18"/>
                <w:lang w:val="sr-Cyrl-RS"/>
              </w:rPr>
            </w:pPr>
            <w:r w:rsidRPr="00604ED1">
              <w:rPr>
                <w:rFonts w:ascii="Calibri" w:hAnsi="Calibri" w:cs="Calibri"/>
                <w:color w:val="203764"/>
                <w:sz w:val="18"/>
                <w:szCs w:val="18"/>
                <w:lang w:val="sr-Cyrl-RS"/>
              </w:rPr>
              <w:t>24</w:t>
            </w:r>
          </w:p>
        </w:tc>
        <w:tc>
          <w:tcPr>
            <w:tcW w:w="2040" w:type="dxa"/>
            <w:tcBorders>
              <w:top w:val="nil"/>
              <w:left w:val="nil"/>
              <w:bottom w:val="single" w:sz="4" w:space="0" w:color="203764"/>
              <w:right w:val="nil"/>
            </w:tcBorders>
            <w:shd w:val="clear" w:color="auto" w:fill="auto"/>
            <w:noWrap/>
            <w:vAlign w:val="bottom"/>
          </w:tcPr>
          <w:p w14:paraId="0B1E616C" w14:textId="77777777" w:rsidR="005967FD" w:rsidRPr="00604ED1" w:rsidRDefault="005967FD" w:rsidP="002A2551">
            <w:pPr>
              <w:jc w:val="right"/>
              <w:rPr>
                <w:rFonts w:ascii="Calibri" w:hAnsi="Calibri" w:cs="Calibri"/>
                <w:color w:val="203764"/>
                <w:sz w:val="18"/>
                <w:szCs w:val="18"/>
                <w:lang w:val="sr-Cyrl-RS"/>
              </w:rPr>
            </w:pPr>
            <w:r w:rsidRPr="00604ED1">
              <w:rPr>
                <w:rFonts w:ascii="Calibri" w:hAnsi="Calibri" w:cs="Calibri"/>
                <w:color w:val="203764"/>
                <w:sz w:val="18"/>
                <w:szCs w:val="18"/>
                <w:lang w:val="sr-Cyrl-RS"/>
              </w:rPr>
              <w:t>25</w:t>
            </w:r>
          </w:p>
        </w:tc>
      </w:tr>
    </w:tbl>
    <w:p w14:paraId="48F954A3" w14:textId="77777777" w:rsidR="005967FD" w:rsidRPr="00534C13" w:rsidRDefault="005967FD" w:rsidP="002A2551">
      <w:pPr>
        <w:spacing w:before="40" w:after="0" w:line="276" w:lineRule="auto"/>
        <w:rPr>
          <w:rFonts w:eastAsia="MS PGothic" w:cstheme="minorHAnsi"/>
          <w:sz w:val="16"/>
          <w:szCs w:val="16"/>
          <w:lang w:val="sr-Cyrl-RS" w:eastAsia="ja-JP"/>
        </w:rPr>
      </w:pPr>
      <w:r w:rsidRPr="00534C13">
        <w:rPr>
          <w:rFonts w:eastAsia="MS PGothic" w:cstheme="minorHAnsi"/>
          <w:sz w:val="16"/>
          <w:szCs w:val="16"/>
          <w:lang w:val="sr-Cyrl-RS" w:eastAsia="ja-JP"/>
        </w:rPr>
        <w:t>* Трошкови зарада, накнада зарада и остали лични расходи</w:t>
      </w:r>
    </w:p>
    <w:p w14:paraId="2030D685" w14:textId="77777777" w:rsidR="005967FD" w:rsidRDefault="005967FD" w:rsidP="002A2551">
      <w:pPr>
        <w:spacing w:line="276" w:lineRule="auto"/>
        <w:rPr>
          <w:rFonts w:eastAsia="MS PGothic" w:cstheme="minorHAnsi"/>
          <w:sz w:val="16"/>
          <w:szCs w:val="16"/>
          <w:lang w:val="sr-Cyrl-RS" w:eastAsia="ja-JP"/>
        </w:rPr>
      </w:pPr>
      <w:r w:rsidRPr="00534C13">
        <w:rPr>
          <w:rFonts w:eastAsia="MS PGothic" w:cstheme="minorHAnsi"/>
          <w:sz w:val="16"/>
          <w:szCs w:val="16"/>
          <w:lang w:val="sr-Cyrl-RS" w:eastAsia="ja-JP"/>
        </w:rPr>
        <w:t>Извор: Финансијски извештаји за 2021. и 2022. годину и квартални извештаји Министарства привреде за 2023. годину</w:t>
      </w:r>
    </w:p>
    <w:p w14:paraId="0CA275F9" w14:textId="77777777" w:rsidR="005967FD" w:rsidRPr="00534C13" w:rsidRDefault="005967FD" w:rsidP="002A2551">
      <w:pPr>
        <w:spacing w:line="276" w:lineRule="auto"/>
        <w:rPr>
          <w:rFonts w:eastAsia="MS PGothic" w:cstheme="minorHAnsi"/>
          <w:sz w:val="16"/>
          <w:szCs w:val="16"/>
          <w:lang w:val="sr-Cyrl-RS" w:eastAsia="ja-JP"/>
        </w:rPr>
        <w:sectPr w:rsidR="005967FD" w:rsidRPr="00534C13" w:rsidSect="002A2551">
          <w:type w:val="continuous"/>
          <w:pgSz w:w="12240" w:h="15840"/>
          <w:pgMar w:top="1440" w:right="1440" w:bottom="1440" w:left="1440" w:header="720" w:footer="720" w:gutter="0"/>
          <w:cols w:space="720"/>
          <w:docGrid w:linePitch="360"/>
          <w15:footnoteColumns w:val="1"/>
        </w:sectPr>
      </w:pPr>
    </w:p>
    <w:p w14:paraId="4F949A23" w14:textId="1DFDCE85" w:rsidR="005967FD" w:rsidRPr="00604ED1" w:rsidRDefault="005967FD" w:rsidP="002A2551">
      <w:pPr>
        <w:spacing w:after="360"/>
        <w:rPr>
          <w:rFonts w:eastAsia="MS PGothic" w:cstheme="minorHAnsi"/>
          <w:szCs w:val="20"/>
          <w:lang w:val="sr-Cyrl-RS" w:eastAsia="ja-JP"/>
        </w:rPr>
      </w:pPr>
      <w:r w:rsidRPr="00604ED1">
        <w:rPr>
          <w:rFonts w:eastAsia="MS PGothic" w:cstheme="minorHAnsi"/>
          <w:szCs w:val="20"/>
          <w:lang w:val="sr-Cyrl-RS" w:eastAsia="ja-JP"/>
        </w:rPr>
        <w:t xml:space="preserve">У првој половини текуће године добит је остварило 25 предузећа у укупном износу од 74,3 млрд динара, </w:t>
      </w:r>
      <w:r w:rsidR="0068162B">
        <w:rPr>
          <w:rFonts w:eastAsia="MS PGothic" w:cstheme="minorHAnsi"/>
          <w:szCs w:val="20"/>
          <w:lang w:val="sr-Cyrl-RS" w:eastAsia="ja-JP"/>
        </w:rPr>
        <w:t>што</w:t>
      </w:r>
      <w:r w:rsidRPr="00604ED1">
        <w:rPr>
          <w:rFonts w:eastAsia="MS PGothic" w:cstheme="minorHAnsi"/>
          <w:szCs w:val="20"/>
          <w:lang w:val="sr-Cyrl-RS" w:eastAsia="ja-JP"/>
        </w:rPr>
        <w:t xml:space="preserve"> је више у односу на планиран</w:t>
      </w:r>
      <w:r w:rsidR="0068162B">
        <w:rPr>
          <w:rFonts w:eastAsia="MS PGothic" w:cstheme="minorHAnsi"/>
          <w:szCs w:val="20"/>
          <w:lang w:val="sr-Cyrl-RS" w:eastAsia="ja-JP"/>
        </w:rPr>
        <w:t>у добит од 33,1 млрд динара</w:t>
      </w:r>
      <w:r w:rsidRPr="00604ED1">
        <w:rPr>
          <w:rFonts w:eastAsia="MS PGothic" w:cstheme="minorHAnsi"/>
          <w:szCs w:val="20"/>
          <w:lang w:val="sr-Cyrl-RS" w:eastAsia="ja-JP"/>
        </w:rPr>
        <w:t>.</w:t>
      </w:r>
    </w:p>
    <w:p w14:paraId="12EA11E6" w14:textId="77777777" w:rsidR="005967FD" w:rsidRPr="00604ED1" w:rsidRDefault="005967FD" w:rsidP="002A2551">
      <w:pPr>
        <w:spacing w:after="360"/>
        <w:rPr>
          <w:rFonts w:eastAsia="MS PGothic" w:cstheme="minorHAnsi"/>
          <w:szCs w:val="20"/>
          <w:lang w:val="sr-Cyrl-RS" w:eastAsia="ja-JP"/>
        </w:rPr>
      </w:pPr>
      <w:r w:rsidRPr="00604ED1">
        <w:rPr>
          <w:rFonts w:eastAsia="MS PGothic" w:cstheme="minorHAnsi"/>
          <w:szCs w:val="20"/>
          <w:lang w:val="sr-Cyrl-RS" w:eastAsia="ja-JP"/>
        </w:rPr>
        <w:t>Највећи утицај на позитиван нето резултат у посматраном периоду има „Електропривреда Србије” а.д. која је остварила нето добит у износу од 61,9 млрд динара.</w:t>
      </w:r>
    </w:p>
    <w:p w14:paraId="38BD6E96" w14:textId="77777777" w:rsidR="005967FD" w:rsidRPr="00604ED1" w:rsidRDefault="005967FD" w:rsidP="002A2551">
      <w:pPr>
        <w:spacing w:after="0"/>
        <w:rPr>
          <w:rFonts w:eastAsia="MS PGothic" w:cstheme="minorHAnsi"/>
          <w:b/>
          <w:bCs/>
          <w:color w:val="002060"/>
          <w:szCs w:val="20"/>
          <w:lang w:val="sr-Cyrl-RS" w:eastAsia="ja-JP"/>
        </w:rPr>
        <w:sectPr w:rsidR="005967FD" w:rsidRPr="00604ED1" w:rsidSect="002A2551">
          <w:type w:val="continuous"/>
          <w:pgSz w:w="12240" w:h="15840"/>
          <w:pgMar w:top="1440" w:right="1440" w:bottom="1440" w:left="1440" w:header="720" w:footer="720" w:gutter="0"/>
          <w:cols w:num="2" w:space="720"/>
          <w:docGrid w:linePitch="360"/>
          <w15:footnoteColumns w:val="1"/>
        </w:sectPr>
      </w:pPr>
    </w:p>
    <w:p w14:paraId="564835A6" w14:textId="18D9EBBC" w:rsidR="005967FD" w:rsidRDefault="005967FD" w:rsidP="002A2551">
      <w:pPr>
        <w:spacing w:after="0"/>
        <w:jc w:val="center"/>
        <w:rPr>
          <w:rFonts w:eastAsia="MS PGothic" w:cstheme="minorHAnsi"/>
          <w:b/>
          <w:bCs/>
          <w:color w:val="002060"/>
          <w:szCs w:val="20"/>
          <w:lang w:val="sr-Cyrl-RS" w:eastAsia="ja-JP"/>
        </w:rPr>
      </w:pPr>
      <w:r w:rsidRPr="00604ED1">
        <w:rPr>
          <w:rFonts w:eastAsia="MS PGothic" w:cstheme="minorHAnsi"/>
          <w:b/>
          <w:bCs/>
          <w:color w:val="002060"/>
          <w:szCs w:val="20"/>
          <w:lang w:val="sr-Cyrl-RS" w:eastAsia="ja-JP"/>
        </w:rPr>
        <w:t xml:space="preserve">Табела 17. Јавна предузећа која су остварила нето добит у периоду </w:t>
      </w:r>
      <w:r w:rsidRPr="00604ED1">
        <w:rPr>
          <w:rFonts w:eastAsia="MS PGothic" w:cstheme="minorHAnsi"/>
          <w:b/>
          <w:bCs/>
          <w:color w:val="002060"/>
          <w:szCs w:val="20"/>
          <w:lang w:val="sr-Cyrl-RS" w:eastAsia="ja-JP"/>
        </w:rPr>
        <w:br w:type="textWrapping" w:clear="all"/>
      </w:r>
      <w:r w:rsidR="0068162B">
        <w:rPr>
          <w:rFonts w:eastAsia="MS PGothic" w:cstheme="minorHAnsi"/>
          <w:b/>
          <w:bCs/>
          <w:color w:val="002060"/>
          <w:szCs w:val="20"/>
          <w:lang w:val="sr-Cyrl-RS" w:eastAsia="ja-JP"/>
        </w:rPr>
        <w:t>1.1–30.</w:t>
      </w:r>
      <w:r w:rsidRPr="00604ED1">
        <w:rPr>
          <w:rFonts w:eastAsia="MS PGothic" w:cstheme="minorHAnsi"/>
          <w:b/>
          <w:bCs/>
          <w:color w:val="002060"/>
          <w:szCs w:val="20"/>
          <w:lang w:val="sr-Cyrl-RS" w:eastAsia="ja-JP"/>
        </w:rPr>
        <w:t xml:space="preserve">6.2023. године, у хиљ. </w:t>
      </w:r>
      <w:r>
        <w:rPr>
          <w:rFonts w:eastAsia="MS PGothic" w:cstheme="minorHAnsi"/>
          <w:b/>
          <w:bCs/>
          <w:color w:val="002060"/>
          <w:szCs w:val="20"/>
          <w:lang w:val="sr-Cyrl-RS" w:eastAsia="ja-JP"/>
        </w:rPr>
        <w:t>динара</w:t>
      </w:r>
    </w:p>
    <w:tbl>
      <w:tblPr>
        <w:tblpPr w:leftFromText="180" w:rightFromText="180" w:vertAnchor="text" w:horzAnchor="margin" w:tblpXSpec="center" w:tblpY="109"/>
        <w:tblW w:w="9137" w:type="dxa"/>
        <w:tblLook w:val="04A0" w:firstRow="1" w:lastRow="0" w:firstColumn="1" w:lastColumn="0" w:noHBand="0" w:noVBand="1"/>
      </w:tblPr>
      <w:tblGrid>
        <w:gridCol w:w="4093"/>
        <w:gridCol w:w="1466"/>
        <w:gridCol w:w="1812"/>
        <w:gridCol w:w="1766"/>
      </w:tblGrid>
      <w:tr w:rsidR="005967FD" w:rsidRPr="00604ED1" w14:paraId="61650F84" w14:textId="77777777" w:rsidTr="002A2551">
        <w:trPr>
          <w:trHeight w:val="220"/>
        </w:trPr>
        <w:tc>
          <w:tcPr>
            <w:tcW w:w="4093" w:type="dxa"/>
            <w:tcBorders>
              <w:top w:val="single" w:sz="8" w:space="0" w:color="002060"/>
              <w:left w:val="nil"/>
              <w:bottom w:val="single" w:sz="8" w:space="0" w:color="002060"/>
              <w:right w:val="nil"/>
            </w:tcBorders>
            <w:shd w:val="clear" w:color="auto" w:fill="auto"/>
            <w:noWrap/>
            <w:vAlign w:val="center"/>
            <w:hideMark/>
          </w:tcPr>
          <w:p w14:paraId="2B3F143F" w14:textId="77777777" w:rsidR="005967FD" w:rsidRPr="00604ED1" w:rsidRDefault="005967FD" w:rsidP="002A2551">
            <w:pPr>
              <w:spacing w:after="0" w:line="240" w:lineRule="auto"/>
              <w:jc w:val="center"/>
              <w:rPr>
                <w:rFonts w:ascii="Calibri" w:eastAsia="Times New Roman" w:hAnsi="Calibri" w:cs="Calibri"/>
                <w:b/>
                <w:bCs/>
                <w:color w:val="002060"/>
                <w:sz w:val="18"/>
                <w:szCs w:val="18"/>
                <w:lang w:val="sr-Cyrl-RS" w:eastAsia="en-GB"/>
              </w:rPr>
            </w:pPr>
            <w:r w:rsidRPr="00604ED1">
              <w:rPr>
                <w:rFonts w:ascii="Calibri" w:eastAsia="Times New Roman" w:hAnsi="Calibri" w:cs="Calibri"/>
                <w:b/>
                <w:bCs/>
                <w:color w:val="002060"/>
                <w:sz w:val="18"/>
                <w:szCs w:val="18"/>
                <w:lang w:val="sr-Cyrl-RS" w:eastAsia="en-GB"/>
              </w:rPr>
              <w:t>Предузеће</w:t>
            </w:r>
          </w:p>
        </w:tc>
        <w:tc>
          <w:tcPr>
            <w:tcW w:w="1466" w:type="dxa"/>
            <w:tcBorders>
              <w:top w:val="single" w:sz="8" w:space="0" w:color="002060"/>
              <w:left w:val="nil"/>
              <w:bottom w:val="single" w:sz="8" w:space="0" w:color="002060"/>
              <w:right w:val="nil"/>
            </w:tcBorders>
            <w:shd w:val="clear" w:color="auto" w:fill="auto"/>
            <w:vAlign w:val="center"/>
            <w:hideMark/>
          </w:tcPr>
          <w:p w14:paraId="2DF880CA" w14:textId="77777777" w:rsidR="005967FD" w:rsidRPr="00604ED1" w:rsidRDefault="005967FD" w:rsidP="002A2551">
            <w:pPr>
              <w:spacing w:after="0" w:line="240" w:lineRule="auto"/>
              <w:jc w:val="center"/>
              <w:rPr>
                <w:rFonts w:ascii="Calibri" w:eastAsia="Times New Roman" w:hAnsi="Calibri" w:cs="Calibri"/>
                <w:b/>
                <w:bCs/>
                <w:color w:val="002060"/>
                <w:sz w:val="18"/>
                <w:szCs w:val="18"/>
                <w:lang w:val="sr-Cyrl-RS" w:eastAsia="en-GB"/>
              </w:rPr>
            </w:pPr>
            <w:r w:rsidRPr="00604ED1">
              <w:rPr>
                <w:rFonts w:ascii="Calibri" w:eastAsia="Times New Roman" w:hAnsi="Calibri" w:cs="Calibri"/>
                <w:b/>
                <w:bCs/>
                <w:color w:val="002060"/>
                <w:sz w:val="18"/>
                <w:szCs w:val="18"/>
                <w:lang w:val="sr-Cyrl-RS" w:eastAsia="en-GB"/>
              </w:rPr>
              <w:t>Реализација 2022</w:t>
            </w:r>
          </w:p>
        </w:tc>
        <w:tc>
          <w:tcPr>
            <w:tcW w:w="1812" w:type="dxa"/>
            <w:tcBorders>
              <w:top w:val="single" w:sz="8" w:space="0" w:color="002060"/>
              <w:left w:val="nil"/>
              <w:bottom w:val="single" w:sz="8" w:space="0" w:color="002060"/>
              <w:right w:val="nil"/>
            </w:tcBorders>
            <w:shd w:val="clear" w:color="auto" w:fill="auto"/>
            <w:vAlign w:val="center"/>
            <w:hideMark/>
          </w:tcPr>
          <w:p w14:paraId="31719F4C" w14:textId="0C5C2973" w:rsidR="005967FD" w:rsidRPr="00604ED1" w:rsidRDefault="005967FD" w:rsidP="002A2551">
            <w:pPr>
              <w:spacing w:after="0" w:line="240" w:lineRule="auto"/>
              <w:jc w:val="center"/>
              <w:rPr>
                <w:rFonts w:ascii="Calibri" w:eastAsia="Times New Roman" w:hAnsi="Calibri" w:cs="Calibri"/>
                <w:b/>
                <w:bCs/>
                <w:color w:val="002060"/>
                <w:sz w:val="18"/>
                <w:szCs w:val="18"/>
                <w:lang w:val="sr-Cyrl-RS" w:eastAsia="en-GB"/>
              </w:rPr>
            </w:pPr>
            <w:r w:rsidRPr="00604ED1">
              <w:rPr>
                <w:rFonts w:ascii="Calibri" w:eastAsia="Times New Roman" w:hAnsi="Calibri" w:cs="Calibri"/>
                <w:b/>
                <w:bCs/>
                <w:color w:val="002060"/>
                <w:sz w:val="18"/>
                <w:szCs w:val="18"/>
                <w:lang w:val="sr-Cyrl-RS" w:eastAsia="en-GB"/>
              </w:rPr>
              <w:t xml:space="preserve">План </w:t>
            </w:r>
            <w:r w:rsidRPr="00604ED1">
              <w:rPr>
                <w:rFonts w:ascii="Calibri" w:eastAsia="Times New Roman" w:hAnsi="Calibri" w:cs="Calibri"/>
                <w:b/>
                <w:bCs/>
                <w:color w:val="002060"/>
                <w:sz w:val="18"/>
                <w:szCs w:val="18"/>
                <w:lang w:val="sr-Cyrl-RS" w:eastAsia="en-GB"/>
              </w:rPr>
              <w:br w:type="textWrapping" w:clear="all"/>
            </w:r>
            <w:r w:rsidR="0068162B">
              <w:rPr>
                <w:rFonts w:ascii="Calibri" w:eastAsia="Times New Roman" w:hAnsi="Calibri" w:cs="Calibri"/>
                <w:b/>
                <w:bCs/>
                <w:color w:val="002060"/>
                <w:sz w:val="18"/>
                <w:szCs w:val="18"/>
                <w:lang w:val="sr-Cyrl-RS" w:eastAsia="en-GB"/>
              </w:rPr>
              <w:t>1.1–30.</w:t>
            </w:r>
            <w:r w:rsidRPr="00604ED1">
              <w:rPr>
                <w:rFonts w:ascii="Calibri" w:eastAsia="Times New Roman" w:hAnsi="Calibri" w:cs="Calibri"/>
                <w:b/>
                <w:bCs/>
                <w:color w:val="002060"/>
                <w:sz w:val="18"/>
                <w:szCs w:val="18"/>
                <w:lang w:val="sr-Cyrl-RS" w:eastAsia="en-GB"/>
              </w:rPr>
              <w:t>6.2023.</w:t>
            </w:r>
          </w:p>
        </w:tc>
        <w:tc>
          <w:tcPr>
            <w:tcW w:w="1766" w:type="dxa"/>
            <w:tcBorders>
              <w:top w:val="single" w:sz="8" w:space="0" w:color="002060"/>
              <w:left w:val="nil"/>
              <w:bottom w:val="single" w:sz="8" w:space="0" w:color="002060"/>
              <w:right w:val="nil"/>
            </w:tcBorders>
            <w:shd w:val="clear" w:color="auto" w:fill="auto"/>
            <w:vAlign w:val="center"/>
            <w:hideMark/>
          </w:tcPr>
          <w:p w14:paraId="6EF8FF3F" w14:textId="65252FCE" w:rsidR="005967FD" w:rsidRPr="00604ED1" w:rsidRDefault="005967FD" w:rsidP="002A2551">
            <w:pPr>
              <w:spacing w:after="0" w:line="240" w:lineRule="auto"/>
              <w:jc w:val="center"/>
              <w:rPr>
                <w:rFonts w:ascii="Calibri" w:eastAsia="Times New Roman" w:hAnsi="Calibri" w:cs="Calibri"/>
                <w:b/>
                <w:bCs/>
                <w:color w:val="002060"/>
                <w:sz w:val="18"/>
                <w:szCs w:val="18"/>
                <w:lang w:val="sr-Cyrl-RS" w:eastAsia="en-GB"/>
              </w:rPr>
            </w:pPr>
            <w:r w:rsidRPr="00604ED1">
              <w:rPr>
                <w:rFonts w:ascii="Calibri" w:eastAsia="Times New Roman" w:hAnsi="Calibri" w:cs="Calibri"/>
                <w:b/>
                <w:bCs/>
                <w:color w:val="002060"/>
                <w:sz w:val="18"/>
                <w:szCs w:val="18"/>
                <w:lang w:val="sr-Cyrl-RS" w:eastAsia="en-GB"/>
              </w:rPr>
              <w:t xml:space="preserve">Реализација </w:t>
            </w:r>
            <w:r w:rsidRPr="00604ED1">
              <w:rPr>
                <w:rFonts w:ascii="Calibri" w:eastAsia="Times New Roman" w:hAnsi="Calibri" w:cs="Calibri"/>
                <w:b/>
                <w:bCs/>
                <w:color w:val="002060"/>
                <w:sz w:val="18"/>
                <w:szCs w:val="18"/>
                <w:lang w:val="sr-Cyrl-RS" w:eastAsia="en-GB"/>
              </w:rPr>
              <w:br w:type="textWrapping" w:clear="all"/>
            </w:r>
            <w:r w:rsidR="0068162B">
              <w:rPr>
                <w:rFonts w:ascii="Calibri" w:eastAsia="Times New Roman" w:hAnsi="Calibri" w:cs="Calibri"/>
                <w:b/>
                <w:bCs/>
                <w:color w:val="002060"/>
                <w:sz w:val="18"/>
                <w:szCs w:val="18"/>
                <w:lang w:val="sr-Cyrl-RS" w:eastAsia="en-GB"/>
              </w:rPr>
              <w:t>1.1–30.</w:t>
            </w:r>
            <w:r w:rsidRPr="00604ED1">
              <w:rPr>
                <w:rFonts w:ascii="Calibri" w:eastAsia="Times New Roman" w:hAnsi="Calibri" w:cs="Calibri"/>
                <w:b/>
                <w:bCs/>
                <w:color w:val="002060"/>
                <w:sz w:val="18"/>
                <w:szCs w:val="18"/>
                <w:lang w:val="sr-Cyrl-RS" w:eastAsia="en-GB"/>
              </w:rPr>
              <w:t>6.2023.</w:t>
            </w:r>
          </w:p>
        </w:tc>
      </w:tr>
      <w:tr w:rsidR="005967FD" w:rsidRPr="00604ED1" w14:paraId="6AC303AC" w14:textId="77777777" w:rsidTr="002A2551">
        <w:trPr>
          <w:trHeight w:val="170"/>
        </w:trPr>
        <w:tc>
          <w:tcPr>
            <w:tcW w:w="4093" w:type="dxa"/>
            <w:tcBorders>
              <w:top w:val="nil"/>
              <w:left w:val="nil"/>
              <w:bottom w:val="nil"/>
              <w:right w:val="nil"/>
            </w:tcBorders>
            <w:shd w:val="clear" w:color="000000" w:fill="FFFFFF"/>
            <w:noWrap/>
            <w:vAlign w:val="center"/>
          </w:tcPr>
          <w:p w14:paraId="7D113010"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„Електропривреда Србије” а.д.</w:t>
            </w:r>
          </w:p>
        </w:tc>
        <w:tc>
          <w:tcPr>
            <w:tcW w:w="1466" w:type="dxa"/>
            <w:tcBorders>
              <w:top w:val="nil"/>
              <w:left w:val="nil"/>
              <w:bottom w:val="nil"/>
              <w:right w:val="nil"/>
            </w:tcBorders>
            <w:shd w:val="clear" w:color="000000" w:fill="FFFFFF"/>
            <w:noWrap/>
            <w:vAlign w:val="bottom"/>
          </w:tcPr>
          <w:p w14:paraId="176DD259"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-72.615.858</w:t>
            </w:r>
          </w:p>
        </w:tc>
        <w:tc>
          <w:tcPr>
            <w:tcW w:w="1812" w:type="dxa"/>
            <w:tcBorders>
              <w:top w:val="nil"/>
              <w:left w:val="nil"/>
              <w:bottom w:val="nil"/>
              <w:right w:val="nil"/>
            </w:tcBorders>
            <w:shd w:val="clear" w:color="000000" w:fill="FFFFFF"/>
            <w:noWrap/>
            <w:vAlign w:val="bottom"/>
          </w:tcPr>
          <w:p w14:paraId="6B2B4F9C"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22.196.144</w:t>
            </w:r>
          </w:p>
        </w:tc>
        <w:tc>
          <w:tcPr>
            <w:tcW w:w="1766" w:type="dxa"/>
            <w:tcBorders>
              <w:top w:val="nil"/>
              <w:left w:val="nil"/>
              <w:bottom w:val="nil"/>
              <w:right w:val="nil"/>
            </w:tcBorders>
            <w:shd w:val="clear" w:color="000000" w:fill="FFFFFF"/>
            <w:noWrap/>
            <w:vAlign w:val="bottom"/>
          </w:tcPr>
          <w:p w14:paraId="779A051C"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61.850.004</w:t>
            </w:r>
          </w:p>
        </w:tc>
      </w:tr>
      <w:tr w:rsidR="005967FD" w:rsidRPr="00604ED1" w14:paraId="3DDA77E0" w14:textId="77777777" w:rsidTr="002A2551">
        <w:trPr>
          <w:trHeight w:val="170"/>
        </w:trPr>
        <w:tc>
          <w:tcPr>
            <w:tcW w:w="4093" w:type="dxa"/>
            <w:tcBorders>
              <w:top w:val="nil"/>
              <w:left w:val="nil"/>
              <w:bottom w:val="nil"/>
              <w:right w:val="nil"/>
            </w:tcBorders>
            <w:shd w:val="clear" w:color="000000" w:fill="FFFFFF"/>
            <w:noWrap/>
            <w:vAlign w:val="center"/>
          </w:tcPr>
          <w:p w14:paraId="5670CB1A"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ЈП „Србијагас”</w:t>
            </w:r>
          </w:p>
        </w:tc>
        <w:tc>
          <w:tcPr>
            <w:tcW w:w="1466" w:type="dxa"/>
            <w:tcBorders>
              <w:top w:val="nil"/>
              <w:left w:val="nil"/>
              <w:bottom w:val="nil"/>
              <w:right w:val="nil"/>
            </w:tcBorders>
            <w:shd w:val="clear" w:color="000000" w:fill="FFFFFF"/>
            <w:noWrap/>
            <w:vAlign w:val="bottom"/>
          </w:tcPr>
          <w:p w14:paraId="402C9AAF"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5.488.727</w:t>
            </w:r>
          </w:p>
        </w:tc>
        <w:tc>
          <w:tcPr>
            <w:tcW w:w="1812" w:type="dxa"/>
            <w:tcBorders>
              <w:top w:val="nil"/>
              <w:left w:val="nil"/>
              <w:bottom w:val="nil"/>
              <w:right w:val="nil"/>
            </w:tcBorders>
            <w:shd w:val="clear" w:color="000000" w:fill="FFFFFF"/>
            <w:noWrap/>
            <w:vAlign w:val="bottom"/>
          </w:tcPr>
          <w:p w14:paraId="0A36F72E"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5.780.748</w:t>
            </w:r>
          </w:p>
        </w:tc>
        <w:tc>
          <w:tcPr>
            <w:tcW w:w="1766" w:type="dxa"/>
            <w:tcBorders>
              <w:top w:val="nil"/>
              <w:left w:val="nil"/>
              <w:bottom w:val="nil"/>
              <w:right w:val="nil"/>
            </w:tcBorders>
            <w:shd w:val="clear" w:color="000000" w:fill="FFFFFF"/>
            <w:noWrap/>
            <w:vAlign w:val="bottom"/>
          </w:tcPr>
          <w:p w14:paraId="79B55DC0"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6.618.455</w:t>
            </w:r>
          </w:p>
        </w:tc>
      </w:tr>
      <w:tr w:rsidR="005967FD" w:rsidRPr="00604ED1" w14:paraId="2CD6FA3D" w14:textId="77777777" w:rsidTr="002A2551">
        <w:trPr>
          <w:trHeight w:val="170"/>
        </w:trPr>
        <w:tc>
          <w:tcPr>
            <w:tcW w:w="4093" w:type="dxa"/>
            <w:tcBorders>
              <w:top w:val="nil"/>
              <w:left w:val="nil"/>
              <w:bottom w:val="nil"/>
              <w:right w:val="nil"/>
            </w:tcBorders>
            <w:shd w:val="clear" w:color="000000" w:fill="FFFFFF"/>
            <w:noWrap/>
            <w:vAlign w:val="center"/>
          </w:tcPr>
          <w:p w14:paraId="0135A039"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ЈП „Пошта Србије”</w:t>
            </w:r>
          </w:p>
        </w:tc>
        <w:tc>
          <w:tcPr>
            <w:tcW w:w="1466" w:type="dxa"/>
            <w:tcBorders>
              <w:top w:val="nil"/>
              <w:left w:val="nil"/>
              <w:bottom w:val="nil"/>
              <w:right w:val="nil"/>
            </w:tcBorders>
            <w:shd w:val="clear" w:color="000000" w:fill="FFFFFF"/>
            <w:noWrap/>
            <w:vAlign w:val="bottom"/>
          </w:tcPr>
          <w:p w14:paraId="01506801"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2.967.425</w:t>
            </w:r>
          </w:p>
        </w:tc>
        <w:tc>
          <w:tcPr>
            <w:tcW w:w="1812" w:type="dxa"/>
            <w:tcBorders>
              <w:top w:val="nil"/>
              <w:left w:val="nil"/>
              <w:bottom w:val="nil"/>
              <w:right w:val="nil"/>
            </w:tcBorders>
            <w:shd w:val="clear" w:color="000000" w:fill="FFFFFF"/>
            <w:noWrap/>
            <w:vAlign w:val="bottom"/>
          </w:tcPr>
          <w:p w14:paraId="04B291CF"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269.620</w:t>
            </w:r>
          </w:p>
        </w:tc>
        <w:tc>
          <w:tcPr>
            <w:tcW w:w="1766" w:type="dxa"/>
            <w:tcBorders>
              <w:top w:val="nil"/>
              <w:left w:val="nil"/>
              <w:bottom w:val="nil"/>
              <w:right w:val="nil"/>
            </w:tcBorders>
            <w:shd w:val="clear" w:color="000000" w:fill="FFFFFF"/>
            <w:noWrap/>
            <w:vAlign w:val="bottom"/>
          </w:tcPr>
          <w:p w14:paraId="51906DF4"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2.004.807</w:t>
            </w:r>
          </w:p>
        </w:tc>
      </w:tr>
      <w:tr w:rsidR="005967FD" w:rsidRPr="00604ED1" w14:paraId="3A75E860" w14:textId="77777777" w:rsidTr="002A2551">
        <w:trPr>
          <w:trHeight w:val="170"/>
        </w:trPr>
        <w:tc>
          <w:tcPr>
            <w:tcW w:w="4093" w:type="dxa"/>
            <w:tcBorders>
              <w:top w:val="nil"/>
              <w:left w:val="nil"/>
              <w:bottom w:val="nil"/>
              <w:right w:val="nil"/>
            </w:tcBorders>
            <w:shd w:val="clear" w:color="000000" w:fill="FFFFFF"/>
            <w:noWrap/>
            <w:vAlign w:val="center"/>
          </w:tcPr>
          <w:p w14:paraId="4E4AB34D"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„Електромрежа Србије” а.д.</w:t>
            </w:r>
          </w:p>
        </w:tc>
        <w:tc>
          <w:tcPr>
            <w:tcW w:w="1466" w:type="dxa"/>
            <w:tcBorders>
              <w:top w:val="nil"/>
              <w:left w:val="nil"/>
              <w:bottom w:val="nil"/>
              <w:right w:val="nil"/>
            </w:tcBorders>
            <w:shd w:val="clear" w:color="000000" w:fill="FFFFFF"/>
            <w:noWrap/>
            <w:vAlign w:val="bottom"/>
          </w:tcPr>
          <w:p w14:paraId="22CD7335"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8.145.638</w:t>
            </w:r>
          </w:p>
        </w:tc>
        <w:tc>
          <w:tcPr>
            <w:tcW w:w="1812" w:type="dxa"/>
            <w:tcBorders>
              <w:top w:val="nil"/>
              <w:left w:val="nil"/>
              <w:bottom w:val="nil"/>
              <w:right w:val="nil"/>
            </w:tcBorders>
            <w:shd w:val="clear" w:color="000000" w:fill="FFFFFF"/>
            <w:noWrap/>
            <w:vAlign w:val="bottom"/>
          </w:tcPr>
          <w:p w14:paraId="3EC970C0"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-1.570.705</w:t>
            </w:r>
          </w:p>
        </w:tc>
        <w:tc>
          <w:tcPr>
            <w:tcW w:w="1766" w:type="dxa"/>
            <w:tcBorders>
              <w:top w:val="nil"/>
              <w:left w:val="nil"/>
              <w:bottom w:val="nil"/>
              <w:right w:val="nil"/>
            </w:tcBorders>
            <w:shd w:val="clear" w:color="000000" w:fill="FFFFFF"/>
            <w:noWrap/>
            <w:vAlign w:val="bottom"/>
          </w:tcPr>
          <w:p w14:paraId="50F74DF1"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1.238.400</w:t>
            </w:r>
          </w:p>
        </w:tc>
      </w:tr>
      <w:tr w:rsidR="005967FD" w:rsidRPr="00604ED1" w14:paraId="1E4EFA99" w14:textId="77777777" w:rsidTr="002A2551">
        <w:trPr>
          <w:trHeight w:val="170"/>
        </w:trPr>
        <w:tc>
          <w:tcPr>
            <w:tcW w:w="4093" w:type="dxa"/>
            <w:tcBorders>
              <w:top w:val="nil"/>
              <w:left w:val="nil"/>
              <w:bottom w:val="nil"/>
              <w:right w:val="nil"/>
            </w:tcBorders>
            <w:shd w:val="clear" w:color="000000" w:fill="FFFFFF"/>
            <w:noWrap/>
            <w:vAlign w:val="center"/>
          </w:tcPr>
          <w:p w14:paraId="58606BD6"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„Србија Воз” а.д.</w:t>
            </w:r>
          </w:p>
        </w:tc>
        <w:tc>
          <w:tcPr>
            <w:tcW w:w="1466" w:type="dxa"/>
            <w:tcBorders>
              <w:top w:val="nil"/>
              <w:left w:val="nil"/>
              <w:bottom w:val="nil"/>
              <w:right w:val="nil"/>
            </w:tcBorders>
            <w:shd w:val="clear" w:color="000000" w:fill="FFFFFF"/>
            <w:noWrap/>
            <w:vAlign w:val="bottom"/>
          </w:tcPr>
          <w:p w14:paraId="0615DD18"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-344.195</w:t>
            </w:r>
          </w:p>
        </w:tc>
        <w:tc>
          <w:tcPr>
            <w:tcW w:w="1812" w:type="dxa"/>
            <w:tcBorders>
              <w:top w:val="nil"/>
              <w:left w:val="nil"/>
              <w:bottom w:val="nil"/>
              <w:right w:val="nil"/>
            </w:tcBorders>
            <w:shd w:val="clear" w:color="000000" w:fill="FFFFFF"/>
            <w:noWrap/>
            <w:vAlign w:val="bottom"/>
          </w:tcPr>
          <w:p w14:paraId="0FCF87DC"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-13.393</w:t>
            </w:r>
          </w:p>
        </w:tc>
        <w:tc>
          <w:tcPr>
            <w:tcW w:w="1766" w:type="dxa"/>
            <w:tcBorders>
              <w:top w:val="nil"/>
              <w:left w:val="nil"/>
              <w:bottom w:val="nil"/>
              <w:right w:val="nil"/>
            </w:tcBorders>
            <w:shd w:val="clear" w:color="000000" w:fill="FFFFFF"/>
            <w:noWrap/>
            <w:vAlign w:val="bottom"/>
          </w:tcPr>
          <w:p w14:paraId="279BC7DC"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785.372</w:t>
            </w:r>
          </w:p>
        </w:tc>
      </w:tr>
      <w:tr w:rsidR="005967FD" w:rsidRPr="00604ED1" w14:paraId="1F1B9C33" w14:textId="77777777" w:rsidTr="002A2551">
        <w:trPr>
          <w:trHeight w:val="170"/>
        </w:trPr>
        <w:tc>
          <w:tcPr>
            <w:tcW w:w="4093" w:type="dxa"/>
            <w:tcBorders>
              <w:top w:val="nil"/>
              <w:left w:val="nil"/>
              <w:bottom w:val="nil"/>
              <w:right w:val="nil"/>
            </w:tcBorders>
            <w:shd w:val="clear" w:color="000000" w:fill="FFFFFF"/>
            <w:noWrap/>
            <w:vAlign w:val="center"/>
          </w:tcPr>
          <w:p w14:paraId="56F0717C"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ЈП „Путеви Србије”</w:t>
            </w:r>
          </w:p>
        </w:tc>
        <w:tc>
          <w:tcPr>
            <w:tcW w:w="1466" w:type="dxa"/>
            <w:tcBorders>
              <w:top w:val="nil"/>
              <w:left w:val="nil"/>
              <w:bottom w:val="nil"/>
              <w:right w:val="nil"/>
            </w:tcBorders>
            <w:shd w:val="clear" w:color="000000" w:fill="FFFFFF"/>
            <w:noWrap/>
            <w:vAlign w:val="bottom"/>
          </w:tcPr>
          <w:p w14:paraId="613E7AD6"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-5.121.833</w:t>
            </w:r>
          </w:p>
        </w:tc>
        <w:tc>
          <w:tcPr>
            <w:tcW w:w="1812" w:type="dxa"/>
            <w:tcBorders>
              <w:top w:val="nil"/>
              <w:left w:val="nil"/>
              <w:bottom w:val="nil"/>
              <w:right w:val="nil"/>
            </w:tcBorders>
            <w:shd w:val="clear" w:color="000000" w:fill="FFFFFF"/>
            <w:noWrap/>
            <w:vAlign w:val="bottom"/>
          </w:tcPr>
          <w:p w14:paraId="34FB46F3"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5.590.046</w:t>
            </w:r>
          </w:p>
        </w:tc>
        <w:tc>
          <w:tcPr>
            <w:tcW w:w="1766" w:type="dxa"/>
            <w:tcBorders>
              <w:top w:val="nil"/>
              <w:left w:val="nil"/>
              <w:bottom w:val="nil"/>
              <w:right w:val="nil"/>
            </w:tcBorders>
            <w:shd w:val="clear" w:color="000000" w:fill="FFFFFF"/>
            <w:noWrap/>
            <w:vAlign w:val="bottom"/>
          </w:tcPr>
          <w:p w14:paraId="26DD9EA3"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475.382</w:t>
            </w:r>
          </w:p>
        </w:tc>
      </w:tr>
      <w:tr w:rsidR="005967FD" w:rsidRPr="00604ED1" w14:paraId="0A6DE135" w14:textId="77777777" w:rsidTr="002A2551">
        <w:trPr>
          <w:trHeight w:val="170"/>
        </w:trPr>
        <w:tc>
          <w:tcPr>
            <w:tcW w:w="4093" w:type="dxa"/>
            <w:tcBorders>
              <w:top w:val="nil"/>
              <w:left w:val="nil"/>
              <w:bottom w:val="nil"/>
              <w:right w:val="nil"/>
            </w:tcBorders>
            <w:shd w:val="clear" w:color="000000" w:fill="FFFFFF"/>
            <w:noWrap/>
            <w:vAlign w:val="center"/>
          </w:tcPr>
          <w:p w14:paraId="014400DC"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ЈП „Скијалишта Србије”</w:t>
            </w:r>
          </w:p>
        </w:tc>
        <w:tc>
          <w:tcPr>
            <w:tcW w:w="1466" w:type="dxa"/>
            <w:tcBorders>
              <w:top w:val="nil"/>
              <w:left w:val="nil"/>
              <w:bottom w:val="nil"/>
              <w:right w:val="nil"/>
            </w:tcBorders>
            <w:shd w:val="clear" w:color="000000" w:fill="FFFFFF"/>
            <w:noWrap/>
            <w:vAlign w:val="bottom"/>
          </w:tcPr>
          <w:p w14:paraId="28E1B178"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242.251</w:t>
            </w:r>
          </w:p>
        </w:tc>
        <w:tc>
          <w:tcPr>
            <w:tcW w:w="1812" w:type="dxa"/>
            <w:tcBorders>
              <w:top w:val="nil"/>
              <w:left w:val="nil"/>
              <w:bottom w:val="nil"/>
              <w:right w:val="nil"/>
            </w:tcBorders>
            <w:shd w:val="clear" w:color="000000" w:fill="FFFFFF"/>
            <w:noWrap/>
            <w:vAlign w:val="bottom"/>
          </w:tcPr>
          <w:p w14:paraId="75620F40"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481.574</w:t>
            </w:r>
          </w:p>
        </w:tc>
        <w:tc>
          <w:tcPr>
            <w:tcW w:w="1766" w:type="dxa"/>
            <w:tcBorders>
              <w:top w:val="nil"/>
              <w:left w:val="nil"/>
              <w:bottom w:val="nil"/>
              <w:right w:val="nil"/>
            </w:tcBorders>
            <w:shd w:val="clear" w:color="000000" w:fill="FFFFFF"/>
            <w:noWrap/>
            <w:vAlign w:val="bottom"/>
          </w:tcPr>
          <w:p w14:paraId="4DEFFA9B"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429.384</w:t>
            </w:r>
          </w:p>
        </w:tc>
      </w:tr>
      <w:tr w:rsidR="005967FD" w:rsidRPr="00604ED1" w14:paraId="2394AE5C" w14:textId="77777777" w:rsidTr="002A2551">
        <w:trPr>
          <w:trHeight w:val="170"/>
        </w:trPr>
        <w:tc>
          <w:tcPr>
            <w:tcW w:w="4093" w:type="dxa"/>
            <w:tcBorders>
              <w:top w:val="nil"/>
              <w:left w:val="nil"/>
              <w:bottom w:val="nil"/>
              <w:right w:val="nil"/>
            </w:tcBorders>
            <w:shd w:val="clear" w:color="000000" w:fill="FFFFFF"/>
            <w:noWrap/>
            <w:vAlign w:val="center"/>
          </w:tcPr>
          <w:p w14:paraId="34655A03"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ЈП „Србијашуме”</w:t>
            </w:r>
          </w:p>
        </w:tc>
        <w:tc>
          <w:tcPr>
            <w:tcW w:w="1466" w:type="dxa"/>
            <w:tcBorders>
              <w:top w:val="nil"/>
              <w:left w:val="nil"/>
              <w:bottom w:val="nil"/>
              <w:right w:val="nil"/>
            </w:tcBorders>
            <w:shd w:val="clear" w:color="000000" w:fill="FFFFFF"/>
            <w:noWrap/>
            <w:vAlign w:val="bottom"/>
          </w:tcPr>
          <w:p w14:paraId="2F3B01ED"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737.878</w:t>
            </w:r>
          </w:p>
        </w:tc>
        <w:tc>
          <w:tcPr>
            <w:tcW w:w="1812" w:type="dxa"/>
            <w:tcBorders>
              <w:top w:val="nil"/>
              <w:left w:val="nil"/>
              <w:bottom w:val="nil"/>
              <w:right w:val="nil"/>
            </w:tcBorders>
            <w:shd w:val="clear" w:color="000000" w:fill="FFFFFF"/>
            <w:noWrap/>
            <w:vAlign w:val="bottom"/>
          </w:tcPr>
          <w:p w14:paraId="05C5BCF7"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74.484</w:t>
            </w:r>
          </w:p>
        </w:tc>
        <w:tc>
          <w:tcPr>
            <w:tcW w:w="1766" w:type="dxa"/>
            <w:tcBorders>
              <w:top w:val="nil"/>
              <w:left w:val="nil"/>
              <w:bottom w:val="nil"/>
              <w:right w:val="nil"/>
            </w:tcBorders>
            <w:shd w:val="clear" w:color="000000" w:fill="FFFFFF"/>
            <w:noWrap/>
            <w:vAlign w:val="bottom"/>
          </w:tcPr>
          <w:p w14:paraId="0DEEF75F"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237.485</w:t>
            </w:r>
          </w:p>
        </w:tc>
      </w:tr>
      <w:tr w:rsidR="005967FD" w:rsidRPr="00604ED1" w14:paraId="2A82AFE4" w14:textId="77777777" w:rsidTr="002A2551">
        <w:trPr>
          <w:trHeight w:val="170"/>
        </w:trPr>
        <w:tc>
          <w:tcPr>
            <w:tcW w:w="4093" w:type="dxa"/>
            <w:tcBorders>
              <w:top w:val="nil"/>
              <w:left w:val="nil"/>
              <w:bottom w:val="nil"/>
              <w:right w:val="nil"/>
            </w:tcBorders>
            <w:shd w:val="clear" w:color="000000" w:fill="FFFFFF"/>
            <w:noWrap/>
            <w:vAlign w:val="center"/>
          </w:tcPr>
          <w:p w14:paraId="19F1D7C4"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„Државна лутрија Србије” д.о.о.</w:t>
            </w:r>
          </w:p>
        </w:tc>
        <w:tc>
          <w:tcPr>
            <w:tcW w:w="1466" w:type="dxa"/>
            <w:tcBorders>
              <w:top w:val="nil"/>
              <w:left w:val="nil"/>
              <w:bottom w:val="nil"/>
              <w:right w:val="nil"/>
            </w:tcBorders>
            <w:shd w:val="clear" w:color="000000" w:fill="FFFFFF"/>
            <w:noWrap/>
            <w:vAlign w:val="bottom"/>
          </w:tcPr>
          <w:p w14:paraId="6DEF3399"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292.508</w:t>
            </w:r>
          </w:p>
        </w:tc>
        <w:tc>
          <w:tcPr>
            <w:tcW w:w="1812" w:type="dxa"/>
            <w:tcBorders>
              <w:top w:val="nil"/>
              <w:left w:val="nil"/>
              <w:bottom w:val="nil"/>
              <w:right w:val="nil"/>
            </w:tcBorders>
            <w:shd w:val="clear" w:color="000000" w:fill="FFFFFF"/>
            <w:noWrap/>
            <w:vAlign w:val="bottom"/>
          </w:tcPr>
          <w:p w14:paraId="0C9B53AB"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29.976</w:t>
            </w:r>
          </w:p>
        </w:tc>
        <w:tc>
          <w:tcPr>
            <w:tcW w:w="1766" w:type="dxa"/>
            <w:tcBorders>
              <w:top w:val="nil"/>
              <w:left w:val="nil"/>
              <w:bottom w:val="nil"/>
              <w:right w:val="nil"/>
            </w:tcBorders>
            <w:shd w:val="clear" w:color="000000" w:fill="FFFFFF"/>
            <w:noWrap/>
            <w:vAlign w:val="bottom"/>
          </w:tcPr>
          <w:p w14:paraId="3DE58DEE"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159.666</w:t>
            </w:r>
          </w:p>
        </w:tc>
      </w:tr>
      <w:tr w:rsidR="005967FD" w:rsidRPr="00604ED1" w14:paraId="2FCBCCD2" w14:textId="77777777" w:rsidTr="002A2551">
        <w:trPr>
          <w:trHeight w:val="170"/>
        </w:trPr>
        <w:tc>
          <w:tcPr>
            <w:tcW w:w="4093" w:type="dxa"/>
            <w:tcBorders>
              <w:top w:val="nil"/>
              <w:left w:val="nil"/>
              <w:bottom w:val="nil"/>
              <w:right w:val="nil"/>
            </w:tcBorders>
            <w:shd w:val="clear" w:color="000000" w:fill="FFFFFF"/>
            <w:noWrap/>
            <w:vAlign w:val="center"/>
          </w:tcPr>
          <w:p w14:paraId="72A27BCB"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„Коридори Србије” д.о.о.</w:t>
            </w:r>
          </w:p>
        </w:tc>
        <w:tc>
          <w:tcPr>
            <w:tcW w:w="1466" w:type="dxa"/>
            <w:tcBorders>
              <w:top w:val="nil"/>
              <w:left w:val="nil"/>
              <w:bottom w:val="nil"/>
              <w:right w:val="nil"/>
            </w:tcBorders>
            <w:shd w:val="clear" w:color="000000" w:fill="FFFFFF"/>
            <w:noWrap/>
            <w:vAlign w:val="bottom"/>
          </w:tcPr>
          <w:p w14:paraId="5E73FCE7"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0</w:t>
            </w:r>
          </w:p>
        </w:tc>
        <w:tc>
          <w:tcPr>
            <w:tcW w:w="1812" w:type="dxa"/>
            <w:tcBorders>
              <w:top w:val="nil"/>
              <w:left w:val="nil"/>
              <w:bottom w:val="nil"/>
              <w:right w:val="nil"/>
            </w:tcBorders>
            <w:shd w:val="clear" w:color="000000" w:fill="FFFFFF"/>
            <w:noWrap/>
            <w:vAlign w:val="bottom"/>
          </w:tcPr>
          <w:p w14:paraId="22BA01F6"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0</w:t>
            </w:r>
          </w:p>
        </w:tc>
        <w:tc>
          <w:tcPr>
            <w:tcW w:w="1766" w:type="dxa"/>
            <w:tcBorders>
              <w:top w:val="nil"/>
              <w:left w:val="nil"/>
              <w:bottom w:val="nil"/>
              <w:right w:val="nil"/>
            </w:tcBorders>
            <w:shd w:val="clear" w:color="000000" w:fill="FFFFFF"/>
            <w:noWrap/>
            <w:vAlign w:val="bottom"/>
          </w:tcPr>
          <w:p w14:paraId="54E9FE40"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154.914</w:t>
            </w:r>
          </w:p>
        </w:tc>
      </w:tr>
      <w:tr w:rsidR="005967FD" w:rsidRPr="00604ED1" w14:paraId="03E3242B" w14:textId="77777777" w:rsidTr="002A2551">
        <w:trPr>
          <w:trHeight w:val="170"/>
        </w:trPr>
        <w:tc>
          <w:tcPr>
            <w:tcW w:w="4093" w:type="dxa"/>
            <w:tcBorders>
              <w:top w:val="nil"/>
              <w:left w:val="nil"/>
              <w:bottom w:val="nil"/>
              <w:right w:val="nil"/>
            </w:tcBorders>
            <w:shd w:val="clear" w:color="000000" w:fill="FFFFFF"/>
            <w:noWrap/>
            <w:vAlign w:val="center"/>
          </w:tcPr>
          <w:p w14:paraId="387D5986"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„Дипос” д.о.о.</w:t>
            </w:r>
          </w:p>
        </w:tc>
        <w:tc>
          <w:tcPr>
            <w:tcW w:w="1466" w:type="dxa"/>
            <w:tcBorders>
              <w:top w:val="nil"/>
              <w:left w:val="nil"/>
              <w:bottom w:val="nil"/>
              <w:right w:val="nil"/>
            </w:tcBorders>
            <w:shd w:val="clear" w:color="000000" w:fill="FFFFFF"/>
            <w:noWrap/>
            <w:vAlign w:val="bottom"/>
          </w:tcPr>
          <w:p w14:paraId="3BE03D3A"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143.152</w:t>
            </w:r>
          </w:p>
        </w:tc>
        <w:tc>
          <w:tcPr>
            <w:tcW w:w="1812" w:type="dxa"/>
            <w:tcBorders>
              <w:top w:val="nil"/>
              <w:left w:val="nil"/>
              <w:bottom w:val="nil"/>
              <w:right w:val="nil"/>
            </w:tcBorders>
            <w:shd w:val="clear" w:color="000000" w:fill="FFFFFF"/>
            <w:noWrap/>
            <w:vAlign w:val="bottom"/>
          </w:tcPr>
          <w:p w14:paraId="2499A1DB"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65.568</w:t>
            </w:r>
          </w:p>
        </w:tc>
        <w:tc>
          <w:tcPr>
            <w:tcW w:w="1766" w:type="dxa"/>
            <w:tcBorders>
              <w:top w:val="nil"/>
              <w:left w:val="nil"/>
              <w:bottom w:val="nil"/>
              <w:right w:val="nil"/>
            </w:tcBorders>
            <w:shd w:val="clear" w:color="000000" w:fill="FFFFFF"/>
            <w:noWrap/>
            <w:vAlign w:val="bottom"/>
          </w:tcPr>
          <w:p w14:paraId="34E3027C"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153.757</w:t>
            </w:r>
          </w:p>
        </w:tc>
      </w:tr>
      <w:tr w:rsidR="005967FD" w:rsidRPr="00604ED1" w14:paraId="64CF0C0D" w14:textId="77777777" w:rsidTr="002A2551">
        <w:trPr>
          <w:trHeight w:val="170"/>
        </w:trPr>
        <w:tc>
          <w:tcPr>
            <w:tcW w:w="4093" w:type="dxa"/>
            <w:tcBorders>
              <w:top w:val="nil"/>
              <w:left w:val="nil"/>
              <w:bottom w:val="nil"/>
              <w:right w:val="nil"/>
            </w:tcBorders>
            <w:shd w:val="clear" w:color="000000" w:fill="FFFFFF"/>
            <w:noWrap/>
            <w:vAlign w:val="center"/>
          </w:tcPr>
          <w:p w14:paraId="3BEF4649"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„Железнице Србије” а.д.</w:t>
            </w:r>
          </w:p>
        </w:tc>
        <w:tc>
          <w:tcPr>
            <w:tcW w:w="1466" w:type="dxa"/>
            <w:tcBorders>
              <w:top w:val="nil"/>
              <w:left w:val="nil"/>
              <w:bottom w:val="nil"/>
              <w:right w:val="nil"/>
            </w:tcBorders>
            <w:shd w:val="clear" w:color="000000" w:fill="FFFFFF"/>
            <w:noWrap/>
            <w:vAlign w:val="bottom"/>
          </w:tcPr>
          <w:p w14:paraId="65682EFE"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-1.237.843</w:t>
            </w:r>
          </w:p>
        </w:tc>
        <w:tc>
          <w:tcPr>
            <w:tcW w:w="1812" w:type="dxa"/>
            <w:tcBorders>
              <w:top w:val="nil"/>
              <w:left w:val="nil"/>
              <w:bottom w:val="nil"/>
              <w:right w:val="nil"/>
            </w:tcBorders>
            <w:shd w:val="clear" w:color="000000" w:fill="FFFFFF"/>
            <w:noWrap/>
            <w:vAlign w:val="bottom"/>
          </w:tcPr>
          <w:p w14:paraId="68DFA342"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23.453</w:t>
            </w:r>
          </w:p>
        </w:tc>
        <w:tc>
          <w:tcPr>
            <w:tcW w:w="1766" w:type="dxa"/>
            <w:tcBorders>
              <w:top w:val="nil"/>
              <w:left w:val="nil"/>
              <w:bottom w:val="nil"/>
              <w:right w:val="nil"/>
            </w:tcBorders>
            <w:shd w:val="clear" w:color="000000" w:fill="FFFFFF"/>
            <w:noWrap/>
            <w:vAlign w:val="bottom"/>
          </w:tcPr>
          <w:p w14:paraId="668704C6"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62.007</w:t>
            </w:r>
          </w:p>
        </w:tc>
      </w:tr>
      <w:tr w:rsidR="005967FD" w:rsidRPr="00604ED1" w14:paraId="690A0B72" w14:textId="77777777" w:rsidTr="002A2551">
        <w:trPr>
          <w:trHeight w:val="170"/>
        </w:trPr>
        <w:tc>
          <w:tcPr>
            <w:tcW w:w="4093" w:type="dxa"/>
            <w:tcBorders>
              <w:top w:val="nil"/>
              <w:left w:val="nil"/>
              <w:bottom w:val="nil"/>
              <w:right w:val="nil"/>
            </w:tcBorders>
            <w:shd w:val="clear" w:color="000000" w:fill="FFFFFF"/>
            <w:noWrap/>
            <w:vAlign w:val="center"/>
          </w:tcPr>
          <w:p w14:paraId="760E2CAE"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ЈП „Национални парк Копаоник”</w:t>
            </w:r>
          </w:p>
        </w:tc>
        <w:tc>
          <w:tcPr>
            <w:tcW w:w="1466" w:type="dxa"/>
            <w:tcBorders>
              <w:top w:val="nil"/>
              <w:left w:val="nil"/>
              <w:bottom w:val="nil"/>
              <w:right w:val="nil"/>
            </w:tcBorders>
            <w:shd w:val="clear" w:color="000000" w:fill="FFFFFF"/>
            <w:noWrap/>
            <w:vAlign w:val="bottom"/>
          </w:tcPr>
          <w:p w14:paraId="18D506E0"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11.083</w:t>
            </w:r>
          </w:p>
        </w:tc>
        <w:tc>
          <w:tcPr>
            <w:tcW w:w="1812" w:type="dxa"/>
            <w:tcBorders>
              <w:top w:val="nil"/>
              <w:left w:val="nil"/>
              <w:bottom w:val="nil"/>
              <w:right w:val="nil"/>
            </w:tcBorders>
            <w:shd w:val="clear" w:color="000000" w:fill="FFFFFF"/>
            <w:noWrap/>
            <w:vAlign w:val="bottom"/>
          </w:tcPr>
          <w:p w14:paraId="3F757600"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40.225</w:t>
            </w:r>
          </w:p>
        </w:tc>
        <w:tc>
          <w:tcPr>
            <w:tcW w:w="1766" w:type="dxa"/>
            <w:tcBorders>
              <w:top w:val="nil"/>
              <w:left w:val="nil"/>
              <w:bottom w:val="nil"/>
              <w:right w:val="nil"/>
            </w:tcBorders>
            <w:shd w:val="clear" w:color="000000" w:fill="FFFFFF"/>
            <w:noWrap/>
            <w:vAlign w:val="bottom"/>
          </w:tcPr>
          <w:p w14:paraId="183CA170"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44.288</w:t>
            </w:r>
          </w:p>
        </w:tc>
      </w:tr>
      <w:tr w:rsidR="005967FD" w:rsidRPr="00604ED1" w14:paraId="74963E0E" w14:textId="77777777" w:rsidTr="002A2551">
        <w:trPr>
          <w:trHeight w:val="170"/>
        </w:trPr>
        <w:tc>
          <w:tcPr>
            <w:tcW w:w="4093" w:type="dxa"/>
            <w:tcBorders>
              <w:top w:val="nil"/>
              <w:left w:val="nil"/>
              <w:bottom w:val="nil"/>
              <w:right w:val="nil"/>
            </w:tcBorders>
            <w:shd w:val="clear" w:color="000000" w:fill="FFFFFF"/>
            <w:noWrap/>
            <w:vAlign w:val="center"/>
          </w:tcPr>
          <w:p w14:paraId="4165F260"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„Транснафта” а.д.</w:t>
            </w:r>
          </w:p>
        </w:tc>
        <w:tc>
          <w:tcPr>
            <w:tcW w:w="1466" w:type="dxa"/>
            <w:tcBorders>
              <w:top w:val="nil"/>
              <w:left w:val="nil"/>
              <w:bottom w:val="nil"/>
              <w:right w:val="nil"/>
            </w:tcBorders>
            <w:shd w:val="clear" w:color="000000" w:fill="FFFFFF"/>
            <w:noWrap/>
            <w:vAlign w:val="bottom"/>
          </w:tcPr>
          <w:p w14:paraId="7F101E2B"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344.385</w:t>
            </w:r>
          </w:p>
        </w:tc>
        <w:tc>
          <w:tcPr>
            <w:tcW w:w="1812" w:type="dxa"/>
            <w:tcBorders>
              <w:top w:val="nil"/>
              <w:left w:val="nil"/>
              <w:bottom w:val="nil"/>
              <w:right w:val="nil"/>
            </w:tcBorders>
            <w:shd w:val="clear" w:color="000000" w:fill="FFFFFF"/>
            <w:noWrap/>
            <w:vAlign w:val="bottom"/>
          </w:tcPr>
          <w:p w14:paraId="28625AE6"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22.600</w:t>
            </w:r>
          </w:p>
        </w:tc>
        <w:tc>
          <w:tcPr>
            <w:tcW w:w="1766" w:type="dxa"/>
            <w:tcBorders>
              <w:top w:val="nil"/>
              <w:left w:val="nil"/>
              <w:bottom w:val="nil"/>
              <w:right w:val="nil"/>
            </w:tcBorders>
            <w:shd w:val="clear" w:color="000000" w:fill="FFFFFF"/>
            <w:noWrap/>
            <w:vAlign w:val="bottom"/>
          </w:tcPr>
          <w:p w14:paraId="6045E605"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35.014</w:t>
            </w:r>
          </w:p>
        </w:tc>
      </w:tr>
      <w:tr w:rsidR="005967FD" w:rsidRPr="00604ED1" w14:paraId="406A80C4" w14:textId="77777777" w:rsidTr="002A2551">
        <w:trPr>
          <w:trHeight w:val="170"/>
        </w:trPr>
        <w:tc>
          <w:tcPr>
            <w:tcW w:w="4093" w:type="dxa"/>
            <w:tcBorders>
              <w:top w:val="nil"/>
              <w:left w:val="nil"/>
              <w:bottom w:val="nil"/>
              <w:right w:val="nil"/>
            </w:tcBorders>
            <w:shd w:val="clear" w:color="000000" w:fill="FFFFFF"/>
            <w:noWrap/>
            <w:vAlign w:val="center"/>
          </w:tcPr>
          <w:p w14:paraId="42D7A309"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„Просветни преглед” д.о.о.</w:t>
            </w:r>
          </w:p>
        </w:tc>
        <w:tc>
          <w:tcPr>
            <w:tcW w:w="1466" w:type="dxa"/>
            <w:tcBorders>
              <w:top w:val="nil"/>
              <w:left w:val="nil"/>
              <w:bottom w:val="nil"/>
              <w:right w:val="nil"/>
            </w:tcBorders>
            <w:shd w:val="clear" w:color="000000" w:fill="FFFFFF"/>
            <w:noWrap/>
            <w:vAlign w:val="bottom"/>
          </w:tcPr>
          <w:p w14:paraId="65966529"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23.885</w:t>
            </w:r>
          </w:p>
        </w:tc>
        <w:tc>
          <w:tcPr>
            <w:tcW w:w="1812" w:type="dxa"/>
            <w:tcBorders>
              <w:top w:val="nil"/>
              <w:left w:val="nil"/>
              <w:bottom w:val="nil"/>
              <w:right w:val="nil"/>
            </w:tcBorders>
            <w:shd w:val="clear" w:color="000000" w:fill="FFFFFF"/>
            <w:noWrap/>
            <w:vAlign w:val="bottom"/>
          </w:tcPr>
          <w:p w14:paraId="55B3CE61"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19.088</w:t>
            </w:r>
          </w:p>
        </w:tc>
        <w:tc>
          <w:tcPr>
            <w:tcW w:w="1766" w:type="dxa"/>
            <w:tcBorders>
              <w:top w:val="nil"/>
              <w:left w:val="nil"/>
              <w:bottom w:val="nil"/>
              <w:right w:val="nil"/>
            </w:tcBorders>
            <w:shd w:val="clear" w:color="000000" w:fill="FFFFFF"/>
            <w:noWrap/>
            <w:vAlign w:val="bottom"/>
          </w:tcPr>
          <w:p w14:paraId="6E013C12"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27.054</w:t>
            </w:r>
          </w:p>
        </w:tc>
      </w:tr>
      <w:tr w:rsidR="005967FD" w:rsidRPr="00604ED1" w14:paraId="48386FFC" w14:textId="77777777" w:rsidTr="002A2551">
        <w:trPr>
          <w:trHeight w:val="170"/>
        </w:trPr>
        <w:tc>
          <w:tcPr>
            <w:tcW w:w="4093" w:type="dxa"/>
            <w:tcBorders>
              <w:top w:val="nil"/>
              <w:left w:val="nil"/>
              <w:bottom w:val="nil"/>
              <w:right w:val="nil"/>
            </w:tcBorders>
            <w:shd w:val="clear" w:color="000000" w:fill="FFFFFF"/>
            <w:noWrap/>
            <w:vAlign w:val="center"/>
          </w:tcPr>
          <w:p w14:paraId="50DAAD5A"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ЈП „Национални парк Ђердап”</w:t>
            </w:r>
          </w:p>
        </w:tc>
        <w:tc>
          <w:tcPr>
            <w:tcW w:w="1466" w:type="dxa"/>
            <w:tcBorders>
              <w:top w:val="nil"/>
              <w:left w:val="nil"/>
              <w:bottom w:val="nil"/>
              <w:right w:val="nil"/>
            </w:tcBorders>
            <w:shd w:val="clear" w:color="000000" w:fill="FFFFFF"/>
            <w:noWrap/>
            <w:vAlign w:val="bottom"/>
          </w:tcPr>
          <w:p w14:paraId="703940D7"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13.646</w:t>
            </w:r>
          </w:p>
        </w:tc>
        <w:tc>
          <w:tcPr>
            <w:tcW w:w="1812" w:type="dxa"/>
            <w:tcBorders>
              <w:top w:val="nil"/>
              <w:left w:val="nil"/>
              <w:bottom w:val="nil"/>
              <w:right w:val="nil"/>
            </w:tcBorders>
            <w:shd w:val="clear" w:color="000000" w:fill="FFFFFF"/>
            <w:noWrap/>
            <w:vAlign w:val="bottom"/>
          </w:tcPr>
          <w:p w14:paraId="5F796E91"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8.760</w:t>
            </w:r>
          </w:p>
        </w:tc>
        <w:tc>
          <w:tcPr>
            <w:tcW w:w="1766" w:type="dxa"/>
            <w:tcBorders>
              <w:top w:val="nil"/>
              <w:left w:val="nil"/>
              <w:bottom w:val="nil"/>
              <w:right w:val="nil"/>
            </w:tcBorders>
            <w:shd w:val="clear" w:color="000000" w:fill="FFFFFF"/>
            <w:noWrap/>
            <w:vAlign w:val="bottom"/>
          </w:tcPr>
          <w:p w14:paraId="50939142"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22.138</w:t>
            </w:r>
          </w:p>
        </w:tc>
      </w:tr>
      <w:tr w:rsidR="005967FD" w:rsidRPr="00604ED1" w14:paraId="56A65D09" w14:textId="77777777" w:rsidTr="002A2551">
        <w:trPr>
          <w:trHeight w:val="170"/>
        </w:trPr>
        <w:tc>
          <w:tcPr>
            <w:tcW w:w="4093" w:type="dxa"/>
            <w:tcBorders>
              <w:top w:val="nil"/>
              <w:left w:val="nil"/>
              <w:bottom w:val="nil"/>
              <w:right w:val="nil"/>
            </w:tcBorders>
            <w:shd w:val="clear" w:color="000000" w:fill="FFFFFF"/>
            <w:noWrap/>
            <w:vAlign w:val="center"/>
          </w:tcPr>
          <w:p w14:paraId="382CFCAD"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ЈП „Нуклеарни објекти Србије” Винча</w:t>
            </w:r>
          </w:p>
        </w:tc>
        <w:tc>
          <w:tcPr>
            <w:tcW w:w="1466" w:type="dxa"/>
            <w:tcBorders>
              <w:top w:val="nil"/>
              <w:left w:val="nil"/>
              <w:bottom w:val="nil"/>
              <w:right w:val="nil"/>
            </w:tcBorders>
            <w:shd w:val="clear" w:color="000000" w:fill="FFFFFF"/>
            <w:noWrap/>
            <w:vAlign w:val="bottom"/>
          </w:tcPr>
          <w:p w14:paraId="30E6426E"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15.009</w:t>
            </w:r>
          </w:p>
        </w:tc>
        <w:tc>
          <w:tcPr>
            <w:tcW w:w="1812" w:type="dxa"/>
            <w:tcBorders>
              <w:top w:val="nil"/>
              <w:left w:val="nil"/>
              <w:bottom w:val="nil"/>
              <w:right w:val="nil"/>
            </w:tcBorders>
            <w:shd w:val="clear" w:color="000000" w:fill="FFFFFF"/>
            <w:noWrap/>
            <w:vAlign w:val="bottom"/>
          </w:tcPr>
          <w:p w14:paraId="0C8F37AD"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1.482</w:t>
            </w:r>
          </w:p>
        </w:tc>
        <w:tc>
          <w:tcPr>
            <w:tcW w:w="1766" w:type="dxa"/>
            <w:tcBorders>
              <w:top w:val="nil"/>
              <w:left w:val="nil"/>
              <w:bottom w:val="nil"/>
              <w:right w:val="nil"/>
            </w:tcBorders>
            <w:shd w:val="clear" w:color="000000" w:fill="FFFFFF"/>
            <w:noWrap/>
            <w:vAlign w:val="bottom"/>
          </w:tcPr>
          <w:p w14:paraId="6D57A6C9"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10.628</w:t>
            </w:r>
          </w:p>
        </w:tc>
      </w:tr>
      <w:tr w:rsidR="005967FD" w:rsidRPr="00604ED1" w14:paraId="73BB5259" w14:textId="77777777" w:rsidTr="002A2551">
        <w:trPr>
          <w:trHeight w:val="170"/>
        </w:trPr>
        <w:tc>
          <w:tcPr>
            <w:tcW w:w="4093" w:type="dxa"/>
            <w:tcBorders>
              <w:top w:val="nil"/>
              <w:left w:val="nil"/>
              <w:bottom w:val="nil"/>
              <w:right w:val="nil"/>
            </w:tcBorders>
            <w:shd w:val="clear" w:color="000000" w:fill="FFFFFF"/>
            <w:noWrap/>
            <w:vAlign w:val="center"/>
          </w:tcPr>
          <w:p w14:paraId="474C1163"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Парк природе „Мокра гора” д.о.о.</w:t>
            </w:r>
          </w:p>
        </w:tc>
        <w:tc>
          <w:tcPr>
            <w:tcW w:w="1466" w:type="dxa"/>
            <w:tcBorders>
              <w:top w:val="nil"/>
              <w:left w:val="nil"/>
              <w:bottom w:val="nil"/>
              <w:right w:val="nil"/>
            </w:tcBorders>
            <w:shd w:val="clear" w:color="000000" w:fill="FFFFFF"/>
            <w:noWrap/>
            <w:vAlign w:val="bottom"/>
          </w:tcPr>
          <w:p w14:paraId="4C43EB1D"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12</w:t>
            </w:r>
          </w:p>
        </w:tc>
        <w:tc>
          <w:tcPr>
            <w:tcW w:w="1812" w:type="dxa"/>
            <w:tcBorders>
              <w:top w:val="nil"/>
              <w:left w:val="nil"/>
              <w:bottom w:val="nil"/>
              <w:right w:val="nil"/>
            </w:tcBorders>
            <w:shd w:val="clear" w:color="000000" w:fill="FFFFFF"/>
            <w:noWrap/>
            <w:vAlign w:val="bottom"/>
          </w:tcPr>
          <w:p w14:paraId="649FA3CE"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14.889</w:t>
            </w:r>
          </w:p>
        </w:tc>
        <w:tc>
          <w:tcPr>
            <w:tcW w:w="1766" w:type="dxa"/>
            <w:tcBorders>
              <w:top w:val="nil"/>
              <w:left w:val="nil"/>
              <w:bottom w:val="nil"/>
              <w:right w:val="nil"/>
            </w:tcBorders>
            <w:shd w:val="clear" w:color="000000" w:fill="FFFFFF"/>
            <w:noWrap/>
            <w:vAlign w:val="bottom"/>
          </w:tcPr>
          <w:p w14:paraId="5B5C01BB"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9.492</w:t>
            </w:r>
          </w:p>
        </w:tc>
      </w:tr>
      <w:tr w:rsidR="005967FD" w:rsidRPr="00604ED1" w14:paraId="7ED2EFCF" w14:textId="77777777" w:rsidTr="002A2551">
        <w:trPr>
          <w:trHeight w:val="170"/>
        </w:trPr>
        <w:tc>
          <w:tcPr>
            <w:tcW w:w="4093" w:type="dxa"/>
            <w:tcBorders>
              <w:top w:val="nil"/>
              <w:left w:val="nil"/>
              <w:bottom w:val="nil"/>
              <w:right w:val="nil"/>
            </w:tcBorders>
            <w:shd w:val="clear" w:color="000000" w:fill="FFFFFF"/>
            <w:noWrap/>
            <w:vAlign w:val="center"/>
          </w:tcPr>
          <w:p w14:paraId="7453245A"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ЈП „Мрежа-мост”</w:t>
            </w:r>
          </w:p>
        </w:tc>
        <w:tc>
          <w:tcPr>
            <w:tcW w:w="1466" w:type="dxa"/>
            <w:tcBorders>
              <w:top w:val="nil"/>
              <w:left w:val="nil"/>
              <w:bottom w:val="nil"/>
              <w:right w:val="nil"/>
            </w:tcBorders>
            <w:shd w:val="clear" w:color="000000" w:fill="FFFFFF"/>
            <w:noWrap/>
            <w:vAlign w:val="bottom"/>
          </w:tcPr>
          <w:p w14:paraId="34A692FF"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3.404</w:t>
            </w:r>
          </w:p>
        </w:tc>
        <w:tc>
          <w:tcPr>
            <w:tcW w:w="1812" w:type="dxa"/>
            <w:tcBorders>
              <w:top w:val="nil"/>
              <w:left w:val="nil"/>
              <w:bottom w:val="nil"/>
              <w:right w:val="nil"/>
            </w:tcBorders>
            <w:shd w:val="clear" w:color="000000" w:fill="FFFFFF"/>
            <w:noWrap/>
            <w:vAlign w:val="bottom"/>
          </w:tcPr>
          <w:p w14:paraId="756215AD"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0</w:t>
            </w:r>
          </w:p>
        </w:tc>
        <w:tc>
          <w:tcPr>
            <w:tcW w:w="1766" w:type="dxa"/>
            <w:tcBorders>
              <w:top w:val="nil"/>
              <w:left w:val="nil"/>
              <w:bottom w:val="nil"/>
              <w:right w:val="nil"/>
            </w:tcBorders>
            <w:shd w:val="clear" w:color="000000" w:fill="FFFFFF"/>
            <w:noWrap/>
            <w:vAlign w:val="bottom"/>
          </w:tcPr>
          <w:p w14:paraId="4EE69445"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6.600</w:t>
            </w:r>
          </w:p>
        </w:tc>
      </w:tr>
      <w:tr w:rsidR="005967FD" w:rsidRPr="00604ED1" w14:paraId="49E85498" w14:textId="77777777" w:rsidTr="002A2551">
        <w:trPr>
          <w:trHeight w:val="170"/>
        </w:trPr>
        <w:tc>
          <w:tcPr>
            <w:tcW w:w="4093" w:type="dxa"/>
            <w:tcBorders>
              <w:top w:val="nil"/>
              <w:left w:val="nil"/>
              <w:bottom w:val="nil"/>
              <w:right w:val="nil"/>
            </w:tcBorders>
            <w:shd w:val="clear" w:color="000000" w:fill="FFFFFF"/>
            <w:noWrap/>
            <w:vAlign w:val="center"/>
          </w:tcPr>
          <w:p w14:paraId="7D46C2BE"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„Метохија” д.о.о.</w:t>
            </w:r>
          </w:p>
        </w:tc>
        <w:tc>
          <w:tcPr>
            <w:tcW w:w="1466" w:type="dxa"/>
            <w:tcBorders>
              <w:top w:val="nil"/>
              <w:left w:val="nil"/>
              <w:bottom w:val="nil"/>
              <w:right w:val="nil"/>
            </w:tcBorders>
            <w:shd w:val="clear" w:color="000000" w:fill="FFFFFF"/>
            <w:noWrap/>
            <w:vAlign w:val="bottom"/>
          </w:tcPr>
          <w:p w14:paraId="1EA9FE9E"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1.510</w:t>
            </w:r>
          </w:p>
        </w:tc>
        <w:tc>
          <w:tcPr>
            <w:tcW w:w="1812" w:type="dxa"/>
            <w:tcBorders>
              <w:top w:val="nil"/>
              <w:left w:val="nil"/>
              <w:bottom w:val="nil"/>
              <w:right w:val="nil"/>
            </w:tcBorders>
            <w:shd w:val="clear" w:color="000000" w:fill="FFFFFF"/>
            <w:noWrap/>
            <w:vAlign w:val="bottom"/>
          </w:tcPr>
          <w:p w14:paraId="7A99B628"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3.675</w:t>
            </w:r>
          </w:p>
        </w:tc>
        <w:tc>
          <w:tcPr>
            <w:tcW w:w="1766" w:type="dxa"/>
            <w:tcBorders>
              <w:top w:val="nil"/>
              <w:left w:val="nil"/>
              <w:bottom w:val="nil"/>
              <w:right w:val="nil"/>
            </w:tcBorders>
            <w:shd w:val="clear" w:color="000000" w:fill="FFFFFF"/>
            <w:noWrap/>
            <w:vAlign w:val="bottom"/>
          </w:tcPr>
          <w:p w14:paraId="75EE16A9"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6.396</w:t>
            </w:r>
          </w:p>
        </w:tc>
      </w:tr>
      <w:tr w:rsidR="005967FD" w:rsidRPr="00604ED1" w14:paraId="6784DAED" w14:textId="77777777" w:rsidTr="002A2551">
        <w:trPr>
          <w:trHeight w:val="170"/>
        </w:trPr>
        <w:tc>
          <w:tcPr>
            <w:tcW w:w="4093" w:type="dxa"/>
            <w:tcBorders>
              <w:top w:val="nil"/>
              <w:left w:val="nil"/>
              <w:bottom w:val="nil"/>
              <w:right w:val="nil"/>
            </w:tcBorders>
            <w:shd w:val="clear" w:color="000000" w:fill="FFFFFF"/>
            <w:noWrap/>
            <w:vAlign w:val="center"/>
          </w:tcPr>
          <w:p w14:paraId="71022727"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„Парк Палић” д.о.о.</w:t>
            </w:r>
          </w:p>
        </w:tc>
        <w:tc>
          <w:tcPr>
            <w:tcW w:w="1466" w:type="dxa"/>
            <w:tcBorders>
              <w:top w:val="nil"/>
              <w:left w:val="nil"/>
              <w:bottom w:val="nil"/>
              <w:right w:val="nil"/>
            </w:tcBorders>
            <w:shd w:val="clear" w:color="000000" w:fill="FFFFFF"/>
            <w:noWrap/>
            <w:vAlign w:val="bottom"/>
          </w:tcPr>
          <w:p w14:paraId="7AA4FE7F"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2.175</w:t>
            </w:r>
          </w:p>
        </w:tc>
        <w:tc>
          <w:tcPr>
            <w:tcW w:w="1812" w:type="dxa"/>
            <w:tcBorders>
              <w:top w:val="nil"/>
              <w:left w:val="nil"/>
              <w:bottom w:val="nil"/>
              <w:right w:val="nil"/>
            </w:tcBorders>
            <w:shd w:val="clear" w:color="000000" w:fill="FFFFFF"/>
            <w:noWrap/>
            <w:vAlign w:val="bottom"/>
          </w:tcPr>
          <w:p w14:paraId="26C44DBE"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201</w:t>
            </w:r>
          </w:p>
        </w:tc>
        <w:tc>
          <w:tcPr>
            <w:tcW w:w="1766" w:type="dxa"/>
            <w:tcBorders>
              <w:top w:val="nil"/>
              <w:left w:val="nil"/>
              <w:bottom w:val="nil"/>
              <w:right w:val="nil"/>
            </w:tcBorders>
            <w:shd w:val="clear" w:color="000000" w:fill="FFFFFF"/>
            <w:noWrap/>
            <w:vAlign w:val="bottom"/>
          </w:tcPr>
          <w:p w14:paraId="53E73263"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3.728</w:t>
            </w:r>
          </w:p>
        </w:tc>
      </w:tr>
      <w:tr w:rsidR="005967FD" w:rsidRPr="00604ED1" w14:paraId="594ECC50" w14:textId="77777777" w:rsidTr="002A2551">
        <w:trPr>
          <w:trHeight w:val="170"/>
        </w:trPr>
        <w:tc>
          <w:tcPr>
            <w:tcW w:w="4093" w:type="dxa"/>
            <w:tcBorders>
              <w:top w:val="nil"/>
              <w:left w:val="nil"/>
              <w:bottom w:val="nil"/>
              <w:right w:val="nil"/>
            </w:tcBorders>
            <w:shd w:val="clear" w:color="000000" w:fill="FFFFFF"/>
            <w:noWrap/>
            <w:vAlign w:val="bottom"/>
          </w:tcPr>
          <w:p w14:paraId="6ECFA391" w14:textId="77777777" w:rsidR="005967FD" w:rsidRPr="00604ED1" w:rsidRDefault="005967FD" w:rsidP="002A2551">
            <w:pPr>
              <w:spacing w:after="0"/>
              <w:jc w:val="lef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„Резерват Увац” д.о.о.</w:t>
            </w:r>
          </w:p>
        </w:tc>
        <w:tc>
          <w:tcPr>
            <w:tcW w:w="1466" w:type="dxa"/>
            <w:tcBorders>
              <w:top w:val="nil"/>
              <w:left w:val="nil"/>
              <w:bottom w:val="nil"/>
              <w:right w:val="nil"/>
            </w:tcBorders>
            <w:shd w:val="clear" w:color="000000" w:fill="FFFFFF"/>
            <w:noWrap/>
            <w:vAlign w:val="bottom"/>
          </w:tcPr>
          <w:p w14:paraId="2EC2D9FA"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-114</w:t>
            </w:r>
          </w:p>
        </w:tc>
        <w:tc>
          <w:tcPr>
            <w:tcW w:w="1812" w:type="dxa"/>
            <w:tcBorders>
              <w:top w:val="nil"/>
              <w:left w:val="nil"/>
              <w:bottom w:val="nil"/>
              <w:right w:val="nil"/>
            </w:tcBorders>
            <w:shd w:val="clear" w:color="000000" w:fill="FFFFFF"/>
            <w:noWrap/>
            <w:vAlign w:val="bottom"/>
          </w:tcPr>
          <w:p w14:paraId="04311FAB"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w:t>
            </w:r>
          </w:p>
        </w:tc>
        <w:tc>
          <w:tcPr>
            <w:tcW w:w="1766" w:type="dxa"/>
            <w:tcBorders>
              <w:top w:val="nil"/>
              <w:left w:val="nil"/>
              <w:bottom w:val="nil"/>
              <w:right w:val="nil"/>
            </w:tcBorders>
            <w:shd w:val="clear" w:color="000000" w:fill="FFFFFF"/>
            <w:noWrap/>
            <w:vAlign w:val="bottom"/>
          </w:tcPr>
          <w:p w14:paraId="6B98A069"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2.280</w:t>
            </w:r>
          </w:p>
        </w:tc>
      </w:tr>
      <w:tr w:rsidR="005967FD" w:rsidRPr="00604ED1" w14:paraId="53D238CA" w14:textId="77777777" w:rsidTr="002A2551">
        <w:trPr>
          <w:trHeight w:val="170"/>
        </w:trPr>
        <w:tc>
          <w:tcPr>
            <w:tcW w:w="4093" w:type="dxa"/>
            <w:tcBorders>
              <w:top w:val="nil"/>
              <w:left w:val="nil"/>
              <w:bottom w:val="nil"/>
              <w:right w:val="nil"/>
            </w:tcBorders>
            <w:shd w:val="clear" w:color="000000" w:fill="FFFFFF"/>
            <w:noWrap/>
            <w:vAlign w:val="center"/>
          </w:tcPr>
          <w:p w14:paraId="3F00EFC1" w14:textId="77777777" w:rsidR="005967FD" w:rsidRPr="00604ED1" w:rsidRDefault="005967FD" w:rsidP="002A2551">
            <w:pPr>
              <w:spacing w:after="0"/>
              <w:jc w:val="lef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ЈП „Национални парк Тара”</w:t>
            </w:r>
          </w:p>
        </w:tc>
        <w:tc>
          <w:tcPr>
            <w:tcW w:w="1466" w:type="dxa"/>
            <w:tcBorders>
              <w:top w:val="nil"/>
              <w:left w:val="nil"/>
              <w:bottom w:val="nil"/>
              <w:right w:val="nil"/>
            </w:tcBorders>
            <w:shd w:val="clear" w:color="000000" w:fill="FFFFFF"/>
            <w:noWrap/>
            <w:vAlign w:val="bottom"/>
          </w:tcPr>
          <w:p w14:paraId="21FA9F06"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6.911</w:t>
            </w:r>
          </w:p>
        </w:tc>
        <w:tc>
          <w:tcPr>
            <w:tcW w:w="1812" w:type="dxa"/>
            <w:tcBorders>
              <w:top w:val="nil"/>
              <w:left w:val="nil"/>
              <w:bottom w:val="nil"/>
              <w:right w:val="nil"/>
            </w:tcBorders>
            <w:shd w:val="clear" w:color="000000" w:fill="FFFFFF"/>
            <w:noWrap/>
            <w:vAlign w:val="bottom"/>
          </w:tcPr>
          <w:p w14:paraId="26B36FD7"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2.140</w:t>
            </w:r>
          </w:p>
        </w:tc>
        <w:tc>
          <w:tcPr>
            <w:tcW w:w="1766" w:type="dxa"/>
            <w:tcBorders>
              <w:top w:val="nil"/>
              <w:left w:val="nil"/>
              <w:bottom w:val="nil"/>
              <w:right w:val="nil"/>
            </w:tcBorders>
            <w:shd w:val="clear" w:color="000000" w:fill="FFFFFF"/>
            <w:noWrap/>
            <w:vAlign w:val="bottom"/>
          </w:tcPr>
          <w:p w14:paraId="4CD64998"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1.920</w:t>
            </w:r>
          </w:p>
        </w:tc>
      </w:tr>
      <w:tr w:rsidR="005967FD" w:rsidRPr="00604ED1" w14:paraId="2BEB8B94" w14:textId="77777777" w:rsidTr="002A2551">
        <w:trPr>
          <w:trHeight w:val="170"/>
        </w:trPr>
        <w:tc>
          <w:tcPr>
            <w:tcW w:w="4093" w:type="dxa"/>
            <w:tcBorders>
              <w:top w:val="nil"/>
              <w:left w:val="nil"/>
              <w:bottom w:val="nil"/>
              <w:right w:val="nil"/>
            </w:tcBorders>
            <w:shd w:val="clear" w:color="000000" w:fill="FFFFFF"/>
            <w:noWrap/>
            <w:vAlign w:val="center"/>
          </w:tcPr>
          <w:p w14:paraId="42D97ECA" w14:textId="77777777" w:rsidR="005967FD" w:rsidRPr="00604ED1" w:rsidRDefault="005967FD" w:rsidP="002A2551">
            <w:pPr>
              <w:spacing w:after="0"/>
              <w:jc w:val="lef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ЈП „Стара планина”</w:t>
            </w:r>
          </w:p>
        </w:tc>
        <w:tc>
          <w:tcPr>
            <w:tcW w:w="1466" w:type="dxa"/>
            <w:tcBorders>
              <w:top w:val="nil"/>
              <w:left w:val="nil"/>
              <w:bottom w:val="nil"/>
              <w:right w:val="nil"/>
            </w:tcBorders>
            <w:shd w:val="clear" w:color="000000" w:fill="FFFFFF"/>
            <w:noWrap/>
            <w:vAlign w:val="bottom"/>
          </w:tcPr>
          <w:p w14:paraId="2CE1EA52"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3.048</w:t>
            </w:r>
          </w:p>
        </w:tc>
        <w:tc>
          <w:tcPr>
            <w:tcW w:w="1812" w:type="dxa"/>
            <w:tcBorders>
              <w:top w:val="nil"/>
              <w:left w:val="nil"/>
              <w:bottom w:val="nil"/>
              <w:right w:val="nil"/>
            </w:tcBorders>
            <w:shd w:val="clear" w:color="000000" w:fill="FFFFFF"/>
            <w:noWrap/>
            <w:vAlign w:val="bottom"/>
          </w:tcPr>
          <w:p w14:paraId="71E70495"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18.130</w:t>
            </w:r>
          </w:p>
        </w:tc>
        <w:tc>
          <w:tcPr>
            <w:tcW w:w="1766" w:type="dxa"/>
            <w:tcBorders>
              <w:top w:val="nil"/>
              <w:left w:val="nil"/>
              <w:bottom w:val="nil"/>
              <w:right w:val="nil"/>
            </w:tcBorders>
            <w:shd w:val="clear" w:color="000000" w:fill="FFFFFF"/>
            <w:noWrap/>
            <w:vAlign w:val="bottom"/>
          </w:tcPr>
          <w:p w14:paraId="46A7BC31"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700</w:t>
            </w:r>
          </w:p>
        </w:tc>
      </w:tr>
      <w:tr w:rsidR="005967FD" w:rsidRPr="00604ED1" w14:paraId="1A68526F" w14:textId="77777777" w:rsidTr="002A2551">
        <w:trPr>
          <w:trHeight w:val="170"/>
        </w:trPr>
        <w:tc>
          <w:tcPr>
            <w:tcW w:w="4093" w:type="dxa"/>
            <w:tcBorders>
              <w:top w:val="nil"/>
              <w:left w:val="nil"/>
              <w:bottom w:val="nil"/>
              <w:right w:val="nil"/>
            </w:tcBorders>
            <w:shd w:val="clear" w:color="000000" w:fill="FFFFFF"/>
            <w:noWrap/>
            <w:vAlign w:val="bottom"/>
          </w:tcPr>
          <w:p w14:paraId="06567633" w14:textId="77777777" w:rsidR="005967FD" w:rsidRPr="00604ED1" w:rsidRDefault="005967FD" w:rsidP="002A2551">
            <w:pPr>
              <w:spacing w:after="0"/>
              <w:jc w:val="lef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„Тврђава Голубачки град” д.о.о.</w:t>
            </w:r>
          </w:p>
        </w:tc>
        <w:tc>
          <w:tcPr>
            <w:tcW w:w="1466" w:type="dxa"/>
            <w:tcBorders>
              <w:top w:val="nil"/>
              <w:left w:val="nil"/>
              <w:bottom w:val="nil"/>
              <w:right w:val="nil"/>
            </w:tcBorders>
            <w:shd w:val="clear" w:color="000000" w:fill="FFFFFF"/>
            <w:noWrap/>
            <w:vAlign w:val="bottom"/>
          </w:tcPr>
          <w:p w14:paraId="3E01364E"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-5.634</w:t>
            </w:r>
          </w:p>
        </w:tc>
        <w:tc>
          <w:tcPr>
            <w:tcW w:w="1812" w:type="dxa"/>
            <w:tcBorders>
              <w:top w:val="nil"/>
              <w:left w:val="nil"/>
              <w:bottom w:val="nil"/>
              <w:right w:val="nil"/>
            </w:tcBorders>
            <w:shd w:val="clear" w:color="000000" w:fill="FFFFFF"/>
            <w:noWrap/>
            <w:vAlign w:val="bottom"/>
          </w:tcPr>
          <w:p w14:paraId="4F8D1584"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-5.450</w:t>
            </w:r>
          </w:p>
        </w:tc>
        <w:tc>
          <w:tcPr>
            <w:tcW w:w="1766" w:type="dxa"/>
            <w:tcBorders>
              <w:top w:val="nil"/>
              <w:left w:val="nil"/>
              <w:bottom w:val="nil"/>
              <w:right w:val="nil"/>
            </w:tcBorders>
            <w:shd w:val="clear" w:color="000000" w:fill="FFFFFF"/>
            <w:noWrap/>
            <w:vAlign w:val="bottom"/>
          </w:tcPr>
          <w:p w14:paraId="727F5838"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662</w:t>
            </w:r>
          </w:p>
        </w:tc>
      </w:tr>
      <w:tr w:rsidR="005967FD" w:rsidRPr="00604ED1" w14:paraId="392B2A3F" w14:textId="77777777" w:rsidTr="002A2551">
        <w:trPr>
          <w:trHeight w:val="170"/>
        </w:trPr>
        <w:tc>
          <w:tcPr>
            <w:tcW w:w="4093" w:type="dxa"/>
            <w:tcBorders>
              <w:top w:val="single" w:sz="4" w:space="0" w:color="203764"/>
              <w:left w:val="nil"/>
              <w:bottom w:val="single" w:sz="4" w:space="0" w:color="203764"/>
              <w:right w:val="nil"/>
            </w:tcBorders>
            <w:shd w:val="clear" w:color="auto" w:fill="auto"/>
            <w:noWrap/>
            <w:vAlign w:val="center"/>
          </w:tcPr>
          <w:p w14:paraId="2F2F29FE"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203764"/>
                <w:sz w:val="18"/>
                <w:szCs w:val="18"/>
                <w:lang w:val="sr-Cyrl-RS"/>
              </w:rPr>
              <w:t>Укупно:</w:t>
            </w:r>
          </w:p>
        </w:tc>
        <w:tc>
          <w:tcPr>
            <w:tcW w:w="1466" w:type="dxa"/>
            <w:tcBorders>
              <w:top w:val="single" w:sz="4" w:space="0" w:color="203764"/>
              <w:left w:val="nil"/>
              <w:bottom w:val="single" w:sz="4" w:space="0" w:color="203764"/>
              <w:right w:val="nil"/>
            </w:tcBorders>
            <w:shd w:val="clear" w:color="auto" w:fill="auto"/>
            <w:noWrap/>
            <w:vAlign w:val="bottom"/>
          </w:tcPr>
          <w:p w14:paraId="3F6ABB8E" w14:textId="77777777" w:rsidR="005967FD" w:rsidRPr="00604ED1" w:rsidRDefault="005967FD" w:rsidP="002A2551">
            <w:pPr>
              <w:spacing w:after="0"/>
              <w:jc w:val="righ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-60.882.830</w:t>
            </w:r>
          </w:p>
        </w:tc>
        <w:tc>
          <w:tcPr>
            <w:tcW w:w="1812" w:type="dxa"/>
            <w:tcBorders>
              <w:top w:val="single" w:sz="4" w:space="0" w:color="203764"/>
              <w:left w:val="nil"/>
              <w:bottom w:val="single" w:sz="4" w:space="0" w:color="203764"/>
              <w:right w:val="nil"/>
            </w:tcBorders>
            <w:shd w:val="clear" w:color="auto" w:fill="auto"/>
            <w:noWrap/>
            <w:vAlign w:val="bottom"/>
          </w:tcPr>
          <w:p w14:paraId="7CAA1EF5" w14:textId="77777777" w:rsidR="005967FD" w:rsidRPr="00604ED1" w:rsidRDefault="005967FD" w:rsidP="002A2551">
            <w:pPr>
              <w:spacing w:after="0"/>
              <w:jc w:val="righ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33.053.255</w:t>
            </w:r>
          </w:p>
        </w:tc>
        <w:tc>
          <w:tcPr>
            <w:tcW w:w="1766" w:type="dxa"/>
            <w:tcBorders>
              <w:top w:val="single" w:sz="4" w:space="0" w:color="203764"/>
              <w:left w:val="nil"/>
              <w:bottom w:val="single" w:sz="4" w:space="0" w:color="203764"/>
              <w:right w:val="nil"/>
            </w:tcBorders>
            <w:shd w:val="clear" w:color="auto" w:fill="auto"/>
            <w:noWrap/>
            <w:vAlign w:val="bottom"/>
          </w:tcPr>
          <w:p w14:paraId="25729E2F" w14:textId="77777777" w:rsidR="005967FD" w:rsidRPr="00604ED1" w:rsidRDefault="005967FD" w:rsidP="002A2551">
            <w:pPr>
              <w:spacing w:after="0"/>
              <w:jc w:val="righ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74.340.533</w:t>
            </w:r>
          </w:p>
        </w:tc>
      </w:tr>
      <w:tr w:rsidR="005967FD" w:rsidRPr="004E7112" w14:paraId="5F71E9C3" w14:textId="77777777" w:rsidTr="002A2551">
        <w:trPr>
          <w:trHeight w:val="403"/>
        </w:trPr>
        <w:tc>
          <w:tcPr>
            <w:tcW w:w="9137" w:type="dxa"/>
            <w:gridSpan w:val="4"/>
            <w:tcBorders>
              <w:top w:val="single" w:sz="8" w:space="0" w:color="002060"/>
              <w:left w:val="nil"/>
              <w:right w:val="nil"/>
            </w:tcBorders>
            <w:shd w:val="clear" w:color="auto" w:fill="auto"/>
            <w:noWrap/>
            <w:vAlign w:val="center"/>
          </w:tcPr>
          <w:p w14:paraId="48007D11" w14:textId="77777777" w:rsidR="005967FD" w:rsidRPr="00534C13" w:rsidRDefault="005967FD" w:rsidP="002A2551">
            <w:pPr>
              <w:spacing w:after="0" w:line="276" w:lineRule="auto"/>
              <w:rPr>
                <w:rFonts w:eastAsia="MS PGothic" w:cstheme="minorHAnsi"/>
                <w:sz w:val="16"/>
                <w:szCs w:val="16"/>
                <w:lang w:val="sr-Cyrl-RS" w:eastAsia="ja-JP"/>
              </w:rPr>
            </w:pPr>
            <w:r w:rsidRPr="00534C13">
              <w:rPr>
                <w:rFonts w:eastAsia="MS PGothic" w:cstheme="minorHAnsi"/>
                <w:sz w:val="16"/>
                <w:szCs w:val="16"/>
                <w:lang w:val="sr-Cyrl-RS" w:eastAsia="ja-JP"/>
              </w:rPr>
              <w:t>Извор: Квартални извештаји Министарства привреде за 2023. годину</w:t>
            </w:r>
          </w:p>
          <w:p w14:paraId="55CAC845" w14:textId="77777777" w:rsidR="005967FD" w:rsidRPr="00604ED1" w:rsidRDefault="005967FD" w:rsidP="002A2551">
            <w:pPr>
              <w:spacing w:after="0" w:line="276" w:lineRule="auto"/>
              <w:rPr>
                <w:rFonts w:eastAsia="MS PGothic" w:cstheme="minorHAnsi"/>
                <w:sz w:val="18"/>
                <w:szCs w:val="18"/>
                <w:lang w:val="sr-Cyrl-RS" w:eastAsia="ja-JP"/>
              </w:rPr>
            </w:pPr>
            <w:r w:rsidRPr="00534C13">
              <w:rPr>
                <w:rFonts w:eastAsia="MS PGothic" w:cstheme="minorHAnsi"/>
                <w:sz w:val="16"/>
                <w:szCs w:val="16"/>
                <w:lang w:val="sr-Cyrl-RS" w:eastAsia="ja-JP"/>
              </w:rPr>
              <w:t>* Програм пословања за 2023. годину није усвојен, због тога нема планиране вредности</w:t>
            </w:r>
          </w:p>
        </w:tc>
      </w:tr>
    </w:tbl>
    <w:p w14:paraId="3021D0DB" w14:textId="77777777" w:rsidR="005967FD" w:rsidRDefault="005967FD" w:rsidP="002A2551">
      <w:pPr>
        <w:rPr>
          <w:lang w:val="sr-Cyrl-RS" w:eastAsia="ja-JP"/>
        </w:rPr>
      </w:pPr>
    </w:p>
    <w:p w14:paraId="1C56346F" w14:textId="77777777" w:rsidR="005967FD" w:rsidRDefault="005967FD" w:rsidP="002A2551">
      <w:pPr>
        <w:rPr>
          <w:rFonts w:ascii="Calibri" w:eastAsia="Times New Roman" w:hAnsi="Calibri" w:cs="Calibri"/>
          <w:sz w:val="18"/>
          <w:szCs w:val="18"/>
          <w:lang w:val="sr-Cyrl-RS" w:eastAsia="en-GB"/>
        </w:rPr>
        <w:sectPr w:rsidR="005967FD" w:rsidSect="002A2551">
          <w:type w:val="continuous"/>
          <w:pgSz w:w="12240" w:h="15840"/>
          <w:pgMar w:top="1440" w:right="1440" w:bottom="1440" w:left="1440" w:header="720" w:footer="720" w:gutter="0"/>
          <w:cols w:space="720"/>
          <w:docGrid w:linePitch="360"/>
          <w15:footnoteColumns w:val="1"/>
        </w:sectPr>
      </w:pPr>
    </w:p>
    <w:p w14:paraId="322635C1" w14:textId="77777777" w:rsidR="005967FD" w:rsidRDefault="005967FD">
      <w:pPr>
        <w:jc w:val="left"/>
        <w:rPr>
          <w:rFonts w:eastAsia="MS PGothic" w:cstheme="minorHAnsi"/>
          <w:szCs w:val="20"/>
          <w:lang w:val="sr-Cyrl-RS" w:eastAsia="ja-JP"/>
        </w:rPr>
      </w:pPr>
      <w:r>
        <w:rPr>
          <w:rFonts w:eastAsia="MS PGothic" w:cstheme="minorHAnsi"/>
          <w:szCs w:val="20"/>
          <w:lang w:val="sr-Cyrl-RS" w:eastAsia="ja-JP"/>
        </w:rPr>
        <w:br w:type="page"/>
      </w:r>
    </w:p>
    <w:p w14:paraId="7EE90620" w14:textId="762B6FBC" w:rsidR="005967FD" w:rsidRPr="00604ED1" w:rsidRDefault="005967FD" w:rsidP="002A2551">
      <w:pPr>
        <w:spacing w:after="600"/>
        <w:rPr>
          <w:rFonts w:eastAsia="MS PGothic" w:cstheme="minorHAnsi"/>
          <w:szCs w:val="20"/>
          <w:lang w:val="sr-Cyrl-RS" w:eastAsia="ja-JP"/>
        </w:rPr>
      </w:pPr>
      <w:r w:rsidRPr="00604ED1">
        <w:rPr>
          <w:rFonts w:eastAsia="MS PGothic" w:cstheme="minorHAnsi"/>
          <w:szCs w:val="20"/>
          <w:lang w:val="sr-Cyrl-RS" w:eastAsia="ja-JP"/>
        </w:rPr>
        <w:lastRenderedPageBreak/>
        <w:t xml:space="preserve">У првој половини текуће године 11 предузећа је остварило нето губитак у укупном износу од 16,7 </w:t>
      </w:r>
      <w:r w:rsidRPr="00604ED1">
        <w:rPr>
          <w:rFonts w:eastAsia="MS PGothic" w:cstheme="minorHAnsi"/>
          <w:szCs w:val="20"/>
          <w:lang w:val="sr-Cyrl-RS" w:eastAsia="ja-JP"/>
        </w:rPr>
        <w:t>млрд динара, што је лош</w:t>
      </w:r>
      <w:r w:rsidR="00846923">
        <w:rPr>
          <w:rFonts w:eastAsia="MS PGothic" w:cstheme="minorHAnsi"/>
          <w:szCs w:val="20"/>
          <w:lang w:val="sr-Cyrl-RS" w:eastAsia="ja-JP"/>
        </w:rPr>
        <w:t>ије</w:t>
      </w:r>
      <w:r w:rsidRPr="00604ED1">
        <w:rPr>
          <w:rFonts w:eastAsia="MS PGothic" w:cstheme="minorHAnsi"/>
          <w:szCs w:val="20"/>
          <w:lang w:val="sr-Cyrl-RS" w:eastAsia="ja-JP"/>
        </w:rPr>
        <w:t xml:space="preserve"> у односу на планиран</w:t>
      </w:r>
      <w:r w:rsidR="00846923">
        <w:rPr>
          <w:rFonts w:eastAsia="MS PGothic" w:cstheme="minorHAnsi"/>
          <w:szCs w:val="20"/>
          <w:lang w:val="sr-Cyrl-RS" w:eastAsia="ja-JP"/>
        </w:rPr>
        <w:t>и губитак од</w:t>
      </w:r>
      <w:r w:rsidRPr="00604ED1">
        <w:rPr>
          <w:rFonts w:eastAsia="MS PGothic" w:cstheme="minorHAnsi"/>
          <w:szCs w:val="20"/>
          <w:lang w:val="sr-Cyrl-RS" w:eastAsia="ja-JP"/>
        </w:rPr>
        <w:t xml:space="preserve"> 5,5 млрд динарa.</w:t>
      </w:r>
    </w:p>
    <w:p w14:paraId="4C9CF1BC" w14:textId="77777777" w:rsidR="005967FD" w:rsidRPr="00604ED1" w:rsidRDefault="005967FD" w:rsidP="002A2551">
      <w:pPr>
        <w:spacing w:after="120" w:line="276" w:lineRule="auto"/>
        <w:rPr>
          <w:rFonts w:eastAsia="MS PGothic" w:cstheme="minorHAnsi"/>
          <w:b/>
          <w:bCs/>
          <w:color w:val="002060"/>
          <w:spacing w:val="-4"/>
          <w:szCs w:val="20"/>
          <w:lang w:val="sr-Cyrl-RS" w:eastAsia="ja-JP"/>
        </w:rPr>
        <w:sectPr w:rsidR="005967FD" w:rsidRPr="00604ED1" w:rsidSect="002A2551">
          <w:type w:val="continuous"/>
          <w:pgSz w:w="12240" w:h="15840"/>
          <w:pgMar w:top="1440" w:right="1440" w:bottom="1440" w:left="1440" w:header="720" w:footer="720" w:gutter="0"/>
          <w:cols w:num="2" w:space="720"/>
          <w:docGrid w:linePitch="360"/>
          <w15:footnoteColumns w:val="1"/>
        </w:sectPr>
      </w:pPr>
    </w:p>
    <w:p w14:paraId="3BF299BB" w14:textId="4219346E" w:rsidR="005967FD" w:rsidRPr="00604ED1" w:rsidRDefault="005967FD" w:rsidP="002A2551">
      <w:pPr>
        <w:jc w:val="left"/>
        <w:rPr>
          <w:rFonts w:eastAsia="MS PGothic" w:cstheme="minorHAnsi"/>
          <w:b/>
          <w:bCs/>
          <w:color w:val="002060"/>
          <w:spacing w:val="-4"/>
          <w:szCs w:val="20"/>
          <w:lang w:val="sr-Cyrl-RS" w:eastAsia="ja-JP"/>
        </w:rPr>
      </w:pPr>
      <w:r w:rsidRPr="00604ED1">
        <w:rPr>
          <w:rFonts w:eastAsia="MS PGothic" w:cstheme="minorHAnsi"/>
          <w:b/>
          <w:bCs/>
          <w:color w:val="002060"/>
          <w:spacing w:val="-4"/>
          <w:szCs w:val="20"/>
          <w:lang w:val="sr-Cyrl-RS" w:eastAsia="ja-JP"/>
        </w:rPr>
        <w:t>Табела 18. Јавна предузећа која су остварила нето</w:t>
      </w:r>
      <w:r w:rsidR="00846923">
        <w:rPr>
          <w:rFonts w:eastAsia="MS PGothic" w:cstheme="minorHAnsi"/>
          <w:b/>
          <w:bCs/>
          <w:color w:val="002060"/>
          <w:spacing w:val="-4"/>
          <w:szCs w:val="20"/>
          <w:lang w:val="sr-Cyrl-RS" w:eastAsia="ja-JP"/>
        </w:rPr>
        <w:t xml:space="preserve"> губитак у периоду 1.1–30.</w:t>
      </w:r>
      <w:r w:rsidRPr="00604ED1">
        <w:rPr>
          <w:rFonts w:eastAsia="MS PGothic" w:cstheme="minorHAnsi"/>
          <w:b/>
          <w:bCs/>
          <w:color w:val="002060"/>
          <w:spacing w:val="-4"/>
          <w:szCs w:val="20"/>
          <w:lang w:val="sr-Cyrl-RS" w:eastAsia="ja-JP"/>
        </w:rPr>
        <w:t>6.2023. године, у хиљ. динара</w:t>
      </w:r>
    </w:p>
    <w:tbl>
      <w:tblPr>
        <w:tblW w:w="9171" w:type="dxa"/>
        <w:tblLayout w:type="fixed"/>
        <w:tblLook w:val="04A0" w:firstRow="1" w:lastRow="0" w:firstColumn="1" w:lastColumn="0" w:noHBand="0" w:noVBand="1"/>
      </w:tblPr>
      <w:tblGrid>
        <w:gridCol w:w="4124"/>
        <w:gridCol w:w="1259"/>
        <w:gridCol w:w="1894"/>
        <w:gridCol w:w="1894"/>
      </w:tblGrid>
      <w:tr w:rsidR="005967FD" w:rsidRPr="00604ED1" w14:paraId="1A217D83" w14:textId="77777777" w:rsidTr="002A2551">
        <w:trPr>
          <w:trHeight w:val="423"/>
        </w:trPr>
        <w:tc>
          <w:tcPr>
            <w:tcW w:w="4124" w:type="dxa"/>
            <w:tcBorders>
              <w:top w:val="single" w:sz="8" w:space="0" w:color="002060"/>
              <w:left w:val="nil"/>
              <w:bottom w:val="single" w:sz="8" w:space="0" w:color="002060"/>
              <w:right w:val="nil"/>
            </w:tcBorders>
            <w:vAlign w:val="center"/>
          </w:tcPr>
          <w:p w14:paraId="65006C01" w14:textId="77777777" w:rsidR="005967FD" w:rsidRPr="00604ED1" w:rsidRDefault="005967FD" w:rsidP="002A2551">
            <w:pPr>
              <w:spacing w:after="0" w:line="240" w:lineRule="auto"/>
              <w:jc w:val="center"/>
              <w:rPr>
                <w:rFonts w:ascii="Calibri" w:eastAsia="Times New Roman" w:hAnsi="Calibri" w:cs="Calibri"/>
                <w:b/>
                <w:bCs/>
                <w:color w:val="002060"/>
                <w:sz w:val="18"/>
                <w:szCs w:val="18"/>
                <w:lang w:val="sr-Cyrl-RS" w:eastAsia="en-GB"/>
              </w:rPr>
            </w:pPr>
            <w:r w:rsidRPr="00604ED1">
              <w:rPr>
                <w:rFonts w:ascii="Calibri" w:eastAsia="Times New Roman" w:hAnsi="Calibri" w:cs="Calibri"/>
                <w:b/>
                <w:bCs/>
                <w:color w:val="002060"/>
                <w:sz w:val="18"/>
                <w:szCs w:val="18"/>
                <w:lang w:val="sr-Cyrl-RS" w:eastAsia="en-GB"/>
              </w:rPr>
              <w:t>Предузеће</w:t>
            </w:r>
          </w:p>
        </w:tc>
        <w:tc>
          <w:tcPr>
            <w:tcW w:w="1259" w:type="dxa"/>
            <w:tcBorders>
              <w:top w:val="single" w:sz="8" w:space="0" w:color="002060"/>
              <w:left w:val="nil"/>
              <w:bottom w:val="single" w:sz="8" w:space="0" w:color="002060"/>
              <w:right w:val="nil"/>
            </w:tcBorders>
            <w:vAlign w:val="center"/>
          </w:tcPr>
          <w:p w14:paraId="5C3C50BB" w14:textId="77777777" w:rsidR="005967FD" w:rsidRPr="00604ED1" w:rsidRDefault="005967FD" w:rsidP="002A2551">
            <w:pPr>
              <w:spacing w:after="0" w:line="240" w:lineRule="auto"/>
              <w:jc w:val="center"/>
              <w:rPr>
                <w:rFonts w:ascii="Calibri" w:eastAsia="Times New Roman" w:hAnsi="Calibri" w:cs="Calibri"/>
                <w:b/>
                <w:bCs/>
                <w:color w:val="002060"/>
                <w:sz w:val="18"/>
                <w:szCs w:val="18"/>
                <w:lang w:val="sr-Cyrl-RS" w:eastAsia="en-GB"/>
              </w:rPr>
            </w:pPr>
            <w:r w:rsidRPr="00604ED1">
              <w:rPr>
                <w:rFonts w:ascii="Calibri" w:eastAsia="Times New Roman" w:hAnsi="Calibri" w:cs="Calibri"/>
                <w:b/>
                <w:bCs/>
                <w:color w:val="002060"/>
                <w:sz w:val="18"/>
                <w:szCs w:val="18"/>
                <w:lang w:val="sr-Cyrl-RS" w:eastAsia="en-GB"/>
              </w:rPr>
              <w:t>Реализација 2022</w:t>
            </w:r>
          </w:p>
        </w:tc>
        <w:tc>
          <w:tcPr>
            <w:tcW w:w="1894" w:type="dxa"/>
            <w:tcBorders>
              <w:top w:val="single" w:sz="8" w:space="0" w:color="002060"/>
              <w:left w:val="nil"/>
              <w:bottom w:val="single" w:sz="8" w:space="0" w:color="002060"/>
              <w:right w:val="nil"/>
            </w:tcBorders>
            <w:vAlign w:val="center"/>
          </w:tcPr>
          <w:p w14:paraId="10F20521" w14:textId="77777777" w:rsidR="005967FD" w:rsidRPr="00604ED1" w:rsidRDefault="005967FD" w:rsidP="002A2551">
            <w:pPr>
              <w:spacing w:after="0" w:line="240" w:lineRule="auto"/>
              <w:jc w:val="center"/>
              <w:rPr>
                <w:rFonts w:ascii="Calibri" w:eastAsia="Times New Roman" w:hAnsi="Calibri" w:cs="Calibri"/>
                <w:b/>
                <w:bCs/>
                <w:color w:val="002060"/>
                <w:sz w:val="18"/>
                <w:szCs w:val="18"/>
                <w:lang w:val="sr-Cyrl-RS" w:eastAsia="en-GB"/>
              </w:rPr>
            </w:pPr>
            <w:r w:rsidRPr="00604ED1">
              <w:rPr>
                <w:rFonts w:ascii="Calibri" w:eastAsia="Times New Roman" w:hAnsi="Calibri" w:cs="Calibri"/>
                <w:b/>
                <w:bCs/>
                <w:color w:val="002060"/>
                <w:sz w:val="18"/>
                <w:szCs w:val="18"/>
                <w:lang w:val="sr-Cyrl-RS" w:eastAsia="en-GB"/>
              </w:rPr>
              <w:t>План</w:t>
            </w:r>
          </w:p>
          <w:p w14:paraId="2FBB8BBF" w14:textId="393A2283" w:rsidR="005967FD" w:rsidRPr="00604ED1" w:rsidRDefault="00846923" w:rsidP="002A2551">
            <w:pPr>
              <w:spacing w:after="0" w:line="240" w:lineRule="auto"/>
              <w:jc w:val="center"/>
              <w:rPr>
                <w:rFonts w:ascii="Calibri" w:eastAsia="Times New Roman" w:hAnsi="Calibri" w:cs="Calibri"/>
                <w:b/>
                <w:bCs/>
                <w:color w:val="002060"/>
                <w:sz w:val="18"/>
                <w:szCs w:val="18"/>
                <w:lang w:val="sr-Cyrl-RS" w:eastAsia="en-GB"/>
              </w:rPr>
            </w:pPr>
            <w:r>
              <w:rPr>
                <w:rFonts w:ascii="Calibri" w:eastAsia="Times New Roman" w:hAnsi="Calibri" w:cs="Calibri"/>
                <w:b/>
                <w:bCs/>
                <w:color w:val="002060"/>
                <w:sz w:val="18"/>
                <w:szCs w:val="18"/>
                <w:lang w:val="sr-Cyrl-RS" w:eastAsia="en-GB"/>
              </w:rPr>
              <w:t>1.1 – 30.</w:t>
            </w:r>
            <w:r w:rsidR="005967FD" w:rsidRPr="00604ED1">
              <w:rPr>
                <w:rFonts w:ascii="Calibri" w:eastAsia="Times New Roman" w:hAnsi="Calibri" w:cs="Calibri"/>
                <w:b/>
                <w:bCs/>
                <w:color w:val="002060"/>
                <w:sz w:val="18"/>
                <w:szCs w:val="18"/>
                <w:lang w:val="sr-Cyrl-RS" w:eastAsia="en-GB"/>
              </w:rPr>
              <w:t>6.2023.</w:t>
            </w:r>
          </w:p>
        </w:tc>
        <w:tc>
          <w:tcPr>
            <w:tcW w:w="1894" w:type="dxa"/>
            <w:tcBorders>
              <w:top w:val="single" w:sz="8" w:space="0" w:color="002060"/>
              <w:left w:val="nil"/>
              <w:bottom w:val="single" w:sz="8" w:space="0" w:color="002060"/>
              <w:right w:val="nil"/>
            </w:tcBorders>
            <w:vAlign w:val="center"/>
          </w:tcPr>
          <w:p w14:paraId="48ECE02C" w14:textId="77777777" w:rsidR="005967FD" w:rsidRPr="00604ED1" w:rsidRDefault="005967FD" w:rsidP="002A2551">
            <w:pPr>
              <w:spacing w:after="0" w:line="240" w:lineRule="auto"/>
              <w:jc w:val="center"/>
              <w:rPr>
                <w:rFonts w:ascii="Calibri" w:eastAsia="Times New Roman" w:hAnsi="Calibri" w:cs="Calibri"/>
                <w:b/>
                <w:bCs/>
                <w:color w:val="002060"/>
                <w:sz w:val="18"/>
                <w:szCs w:val="18"/>
                <w:lang w:val="sr-Cyrl-RS" w:eastAsia="en-GB"/>
              </w:rPr>
            </w:pPr>
            <w:r w:rsidRPr="00604ED1">
              <w:rPr>
                <w:rFonts w:ascii="Calibri" w:eastAsia="Times New Roman" w:hAnsi="Calibri" w:cs="Calibri"/>
                <w:b/>
                <w:bCs/>
                <w:color w:val="002060"/>
                <w:sz w:val="18"/>
                <w:szCs w:val="18"/>
                <w:lang w:val="sr-Cyrl-RS" w:eastAsia="en-GB"/>
              </w:rPr>
              <w:t>Реализација</w:t>
            </w:r>
          </w:p>
          <w:p w14:paraId="4260E442" w14:textId="593EA184" w:rsidR="005967FD" w:rsidRPr="00604ED1" w:rsidRDefault="00846923" w:rsidP="002A2551">
            <w:pPr>
              <w:spacing w:after="0" w:line="240" w:lineRule="auto"/>
              <w:jc w:val="center"/>
              <w:rPr>
                <w:rFonts w:ascii="Calibri" w:eastAsia="Times New Roman" w:hAnsi="Calibri" w:cs="Calibri"/>
                <w:b/>
                <w:bCs/>
                <w:color w:val="002060"/>
                <w:sz w:val="18"/>
                <w:szCs w:val="18"/>
                <w:lang w:val="sr-Cyrl-RS" w:eastAsia="en-GB"/>
              </w:rPr>
            </w:pPr>
            <w:r>
              <w:rPr>
                <w:rFonts w:ascii="Calibri" w:eastAsia="Times New Roman" w:hAnsi="Calibri" w:cs="Calibri"/>
                <w:b/>
                <w:bCs/>
                <w:color w:val="002060"/>
                <w:sz w:val="18"/>
                <w:szCs w:val="18"/>
                <w:lang w:val="sr-Cyrl-RS" w:eastAsia="en-GB"/>
              </w:rPr>
              <w:t>1.1 – 30.</w:t>
            </w:r>
            <w:r w:rsidR="005967FD" w:rsidRPr="00604ED1">
              <w:rPr>
                <w:rFonts w:ascii="Calibri" w:eastAsia="Times New Roman" w:hAnsi="Calibri" w:cs="Calibri"/>
                <w:b/>
                <w:bCs/>
                <w:color w:val="002060"/>
                <w:sz w:val="18"/>
                <w:szCs w:val="18"/>
                <w:lang w:val="sr-Cyrl-RS" w:eastAsia="en-GB"/>
              </w:rPr>
              <w:t>6.2023.</w:t>
            </w:r>
          </w:p>
        </w:tc>
      </w:tr>
      <w:tr w:rsidR="005967FD" w:rsidRPr="00604ED1" w14:paraId="3E529BD9" w14:textId="77777777" w:rsidTr="002A2551">
        <w:trPr>
          <w:trHeight w:val="20"/>
        </w:trPr>
        <w:tc>
          <w:tcPr>
            <w:tcW w:w="4124" w:type="dxa"/>
            <w:tcBorders>
              <w:top w:val="nil"/>
              <w:left w:val="nil"/>
              <w:bottom w:val="nil"/>
              <w:right w:val="nil"/>
            </w:tcBorders>
            <w:shd w:val="clear" w:color="000000" w:fill="FFFFFF"/>
            <w:noWrap/>
            <w:vAlign w:val="center"/>
          </w:tcPr>
          <w:p w14:paraId="11D8D3A6"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w:t>
            </w:r>
            <w:r w:rsidRPr="00604ED1">
              <w:rPr>
                <w:rFonts w:ascii="Calibri" w:hAnsi="Calibri" w:cs="Calibri"/>
                <w:b/>
                <w:bCs/>
                <w:color w:val="203764"/>
                <w:sz w:val="18"/>
                <w:szCs w:val="18"/>
                <w:lang w:val="sr-Cyrl-RS"/>
              </w:rPr>
              <w:t>Електродистрибуција Србије” д.о.о.</w:t>
            </w:r>
          </w:p>
        </w:tc>
        <w:tc>
          <w:tcPr>
            <w:tcW w:w="1259" w:type="dxa"/>
            <w:tcBorders>
              <w:top w:val="nil"/>
              <w:left w:val="nil"/>
              <w:bottom w:val="nil"/>
              <w:right w:val="nil"/>
            </w:tcBorders>
            <w:shd w:val="clear" w:color="000000" w:fill="FFFFFF"/>
            <w:noWrap/>
            <w:vAlign w:val="center"/>
          </w:tcPr>
          <w:p w14:paraId="463C3E9A"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249.806</w:t>
            </w:r>
          </w:p>
        </w:tc>
        <w:tc>
          <w:tcPr>
            <w:tcW w:w="1894" w:type="dxa"/>
            <w:tcBorders>
              <w:top w:val="nil"/>
              <w:left w:val="nil"/>
              <w:bottom w:val="nil"/>
              <w:right w:val="nil"/>
            </w:tcBorders>
            <w:shd w:val="clear" w:color="000000" w:fill="FFFFFF"/>
            <w:noWrap/>
            <w:vAlign w:val="center"/>
          </w:tcPr>
          <w:p w14:paraId="103A75BC"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-943.543</w:t>
            </w:r>
          </w:p>
        </w:tc>
        <w:tc>
          <w:tcPr>
            <w:tcW w:w="1894" w:type="dxa"/>
            <w:tcBorders>
              <w:top w:val="nil"/>
              <w:left w:val="nil"/>
              <w:bottom w:val="nil"/>
              <w:right w:val="nil"/>
            </w:tcBorders>
            <w:shd w:val="clear" w:color="000000" w:fill="FFFFFF"/>
            <w:noWrap/>
            <w:vAlign w:val="center"/>
          </w:tcPr>
          <w:p w14:paraId="2DC37455"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-11.020.552</w:t>
            </w:r>
          </w:p>
        </w:tc>
      </w:tr>
      <w:tr w:rsidR="005967FD" w:rsidRPr="00604ED1" w14:paraId="7100BC30" w14:textId="77777777" w:rsidTr="002A2551">
        <w:trPr>
          <w:trHeight w:val="20"/>
        </w:trPr>
        <w:tc>
          <w:tcPr>
            <w:tcW w:w="4124" w:type="dxa"/>
            <w:tcBorders>
              <w:top w:val="nil"/>
              <w:left w:val="nil"/>
              <w:bottom w:val="nil"/>
              <w:right w:val="nil"/>
            </w:tcBorders>
            <w:shd w:val="clear" w:color="000000" w:fill="FFFFFF"/>
            <w:noWrap/>
            <w:vAlign w:val="center"/>
          </w:tcPr>
          <w:p w14:paraId="0231ABCD"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w:t>
            </w:r>
            <w:r w:rsidRPr="00604ED1">
              <w:rPr>
                <w:rFonts w:ascii="Calibri" w:hAnsi="Calibri" w:cs="Calibri"/>
                <w:b/>
                <w:bCs/>
                <w:color w:val="203764"/>
                <w:sz w:val="18"/>
                <w:szCs w:val="18"/>
                <w:lang w:val="sr-Cyrl-RS"/>
              </w:rPr>
              <w:t>Инфраструктура железнице Србије” а.д.</w:t>
            </w:r>
          </w:p>
        </w:tc>
        <w:tc>
          <w:tcPr>
            <w:tcW w:w="1259" w:type="dxa"/>
            <w:tcBorders>
              <w:top w:val="nil"/>
              <w:left w:val="nil"/>
              <w:bottom w:val="nil"/>
              <w:right w:val="nil"/>
            </w:tcBorders>
            <w:shd w:val="clear" w:color="000000" w:fill="FFFFFF"/>
            <w:noWrap/>
            <w:vAlign w:val="center"/>
          </w:tcPr>
          <w:p w14:paraId="46989464"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-5.283.731</w:t>
            </w:r>
          </w:p>
        </w:tc>
        <w:tc>
          <w:tcPr>
            <w:tcW w:w="1894" w:type="dxa"/>
            <w:tcBorders>
              <w:top w:val="nil"/>
              <w:left w:val="nil"/>
              <w:bottom w:val="nil"/>
              <w:right w:val="nil"/>
            </w:tcBorders>
            <w:shd w:val="clear" w:color="000000" w:fill="FFFFFF"/>
            <w:noWrap/>
            <w:vAlign w:val="center"/>
          </w:tcPr>
          <w:p w14:paraId="66818DA8"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-2.727.256</w:t>
            </w:r>
          </w:p>
        </w:tc>
        <w:tc>
          <w:tcPr>
            <w:tcW w:w="1894" w:type="dxa"/>
            <w:tcBorders>
              <w:top w:val="nil"/>
              <w:left w:val="nil"/>
              <w:bottom w:val="nil"/>
              <w:right w:val="nil"/>
            </w:tcBorders>
            <w:shd w:val="clear" w:color="000000" w:fill="FFFFFF"/>
            <w:noWrap/>
            <w:vAlign w:val="center"/>
          </w:tcPr>
          <w:p w14:paraId="132441E5"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-2.650.847</w:t>
            </w:r>
          </w:p>
        </w:tc>
      </w:tr>
      <w:tr w:rsidR="005967FD" w:rsidRPr="00604ED1" w14:paraId="5C5378EF" w14:textId="77777777" w:rsidTr="002A2551">
        <w:trPr>
          <w:trHeight w:val="20"/>
        </w:trPr>
        <w:tc>
          <w:tcPr>
            <w:tcW w:w="4124" w:type="dxa"/>
            <w:tcBorders>
              <w:top w:val="nil"/>
              <w:left w:val="nil"/>
              <w:bottom w:val="nil"/>
              <w:right w:val="nil"/>
            </w:tcBorders>
            <w:shd w:val="clear" w:color="000000" w:fill="FFFFFF"/>
            <w:noWrap/>
            <w:vAlign w:val="center"/>
          </w:tcPr>
          <w:p w14:paraId="44408103"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203764"/>
                <w:sz w:val="18"/>
                <w:szCs w:val="18"/>
                <w:lang w:val="sr-Cyrl-RS"/>
              </w:rPr>
              <w:t xml:space="preserve">ЈП </w:t>
            </w:r>
            <w:r w:rsidRPr="00604ED1">
              <w:rPr>
                <w:rFonts w:ascii="Calibri" w:hAnsi="Calibri" w:cs="Calibri"/>
                <w:b/>
                <w:bCs/>
                <w:color w:val="002060"/>
                <w:sz w:val="18"/>
                <w:szCs w:val="18"/>
                <w:lang w:val="sr-Cyrl-RS"/>
              </w:rPr>
              <w:t>„</w:t>
            </w:r>
            <w:r w:rsidRPr="00604ED1">
              <w:rPr>
                <w:rFonts w:ascii="Calibri" w:hAnsi="Calibri" w:cs="Calibri"/>
                <w:b/>
                <w:bCs/>
                <w:color w:val="203764"/>
                <w:sz w:val="18"/>
                <w:szCs w:val="18"/>
                <w:lang w:val="sr-Cyrl-RS"/>
              </w:rPr>
              <w:t>Југоимпорт-СДПР”</w:t>
            </w:r>
          </w:p>
        </w:tc>
        <w:tc>
          <w:tcPr>
            <w:tcW w:w="1259" w:type="dxa"/>
            <w:tcBorders>
              <w:top w:val="nil"/>
              <w:left w:val="nil"/>
              <w:bottom w:val="nil"/>
              <w:right w:val="nil"/>
            </w:tcBorders>
            <w:shd w:val="clear" w:color="000000" w:fill="FFFFFF"/>
            <w:noWrap/>
            <w:vAlign w:val="center"/>
          </w:tcPr>
          <w:p w14:paraId="79A2286D"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392.529</w:t>
            </w:r>
          </w:p>
        </w:tc>
        <w:tc>
          <w:tcPr>
            <w:tcW w:w="1894" w:type="dxa"/>
            <w:tcBorders>
              <w:top w:val="nil"/>
              <w:left w:val="nil"/>
              <w:bottom w:val="nil"/>
              <w:right w:val="nil"/>
            </w:tcBorders>
            <w:shd w:val="clear" w:color="000000" w:fill="FFFFFF"/>
            <w:noWrap/>
            <w:vAlign w:val="center"/>
          </w:tcPr>
          <w:p w14:paraId="5CF5E3B8"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-746.959</w:t>
            </w:r>
          </w:p>
        </w:tc>
        <w:tc>
          <w:tcPr>
            <w:tcW w:w="1894" w:type="dxa"/>
            <w:tcBorders>
              <w:top w:val="nil"/>
              <w:left w:val="nil"/>
              <w:bottom w:val="nil"/>
              <w:right w:val="nil"/>
            </w:tcBorders>
            <w:shd w:val="clear" w:color="000000" w:fill="FFFFFF"/>
            <w:noWrap/>
            <w:vAlign w:val="center"/>
          </w:tcPr>
          <w:p w14:paraId="602DE913"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-928.249</w:t>
            </w:r>
          </w:p>
        </w:tc>
      </w:tr>
      <w:tr w:rsidR="005967FD" w:rsidRPr="00604ED1" w14:paraId="350D7F75" w14:textId="77777777" w:rsidTr="002A2551">
        <w:trPr>
          <w:trHeight w:val="20"/>
        </w:trPr>
        <w:tc>
          <w:tcPr>
            <w:tcW w:w="4124" w:type="dxa"/>
            <w:tcBorders>
              <w:top w:val="nil"/>
              <w:left w:val="nil"/>
              <w:bottom w:val="nil"/>
              <w:right w:val="nil"/>
            </w:tcBorders>
            <w:shd w:val="clear" w:color="000000" w:fill="FFFFFF"/>
            <w:noWrap/>
            <w:vAlign w:val="center"/>
          </w:tcPr>
          <w:p w14:paraId="09534C68"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w:t>
            </w:r>
            <w:r w:rsidRPr="00604ED1">
              <w:rPr>
                <w:rFonts w:ascii="Calibri" w:hAnsi="Calibri" w:cs="Calibri"/>
                <w:b/>
                <w:bCs/>
                <w:color w:val="203764"/>
                <w:sz w:val="18"/>
                <w:szCs w:val="18"/>
                <w:lang w:val="sr-Cyrl-RS"/>
              </w:rPr>
              <w:t>Србија Карго” а.д.</w:t>
            </w:r>
          </w:p>
        </w:tc>
        <w:tc>
          <w:tcPr>
            <w:tcW w:w="1259" w:type="dxa"/>
            <w:tcBorders>
              <w:top w:val="nil"/>
              <w:left w:val="nil"/>
              <w:bottom w:val="nil"/>
              <w:right w:val="nil"/>
            </w:tcBorders>
            <w:shd w:val="clear" w:color="000000" w:fill="FFFFFF"/>
            <w:noWrap/>
            <w:vAlign w:val="center"/>
          </w:tcPr>
          <w:p w14:paraId="5BA6F49E"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-1.432.095</w:t>
            </w:r>
          </w:p>
        </w:tc>
        <w:tc>
          <w:tcPr>
            <w:tcW w:w="1894" w:type="dxa"/>
            <w:tcBorders>
              <w:top w:val="nil"/>
              <w:left w:val="nil"/>
              <w:bottom w:val="nil"/>
              <w:right w:val="nil"/>
            </w:tcBorders>
            <w:shd w:val="clear" w:color="000000" w:fill="FFFFFF"/>
            <w:noWrap/>
            <w:vAlign w:val="center"/>
          </w:tcPr>
          <w:p w14:paraId="2F032C23"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-673.045</w:t>
            </w:r>
          </w:p>
        </w:tc>
        <w:tc>
          <w:tcPr>
            <w:tcW w:w="1894" w:type="dxa"/>
            <w:tcBorders>
              <w:top w:val="nil"/>
              <w:left w:val="nil"/>
              <w:bottom w:val="nil"/>
              <w:right w:val="nil"/>
            </w:tcBorders>
            <w:shd w:val="clear" w:color="000000" w:fill="FFFFFF"/>
            <w:noWrap/>
            <w:vAlign w:val="center"/>
          </w:tcPr>
          <w:p w14:paraId="27C11348"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-873.854</w:t>
            </w:r>
          </w:p>
        </w:tc>
      </w:tr>
      <w:tr w:rsidR="005967FD" w:rsidRPr="00604ED1" w14:paraId="17C6A791" w14:textId="77777777" w:rsidTr="002A2551">
        <w:trPr>
          <w:trHeight w:val="20"/>
        </w:trPr>
        <w:tc>
          <w:tcPr>
            <w:tcW w:w="4124" w:type="dxa"/>
            <w:tcBorders>
              <w:top w:val="nil"/>
              <w:left w:val="nil"/>
              <w:bottom w:val="nil"/>
              <w:right w:val="nil"/>
            </w:tcBorders>
            <w:shd w:val="clear" w:color="000000" w:fill="FFFFFF"/>
            <w:noWrap/>
            <w:vAlign w:val="center"/>
          </w:tcPr>
          <w:p w14:paraId="61DF7E39"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203764"/>
                <w:sz w:val="18"/>
                <w:szCs w:val="18"/>
                <w:lang w:val="sr-Cyrl-RS"/>
              </w:rPr>
              <w:t>ЈП ПЕУ Ресавица</w:t>
            </w:r>
          </w:p>
        </w:tc>
        <w:tc>
          <w:tcPr>
            <w:tcW w:w="1259" w:type="dxa"/>
            <w:tcBorders>
              <w:top w:val="nil"/>
              <w:left w:val="nil"/>
              <w:bottom w:val="nil"/>
              <w:right w:val="nil"/>
            </w:tcBorders>
            <w:shd w:val="clear" w:color="000000" w:fill="FFFFFF"/>
            <w:noWrap/>
            <w:vAlign w:val="center"/>
          </w:tcPr>
          <w:p w14:paraId="55FA3EED"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-1.621.060</w:t>
            </w:r>
          </w:p>
        </w:tc>
        <w:tc>
          <w:tcPr>
            <w:tcW w:w="1894" w:type="dxa"/>
            <w:tcBorders>
              <w:top w:val="nil"/>
              <w:left w:val="nil"/>
              <w:bottom w:val="nil"/>
              <w:right w:val="nil"/>
            </w:tcBorders>
            <w:shd w:val="clear" w:color="000000" w:fill="FFFFFF"/>
            <w:noWrap/>
            <w:vAlign w:val="center"/>
          </w:tcPr>
          <w:p w14:paraId="7C4CEB5A"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w:t>
            </w:r>
          </w:p>
        </w:tc>
        <w:tc>
          <w:tcPr>
            <w:tcW w:w="1894" w:type="dxa"/>
            <w:tcBorders>
              <w:top w:val="nil"/>
              <w:left w:val="nil"/>
              <w:bottom w:val="nil"/>
              <w:right w:val="nil"/>
            </w:tcBorders>
            <w:shd w:val="clear" w:color="000000" w:fill="FFFFFF"/>
            <w:noWrap/>
            <w:vAlign w:val="center"/>
          </w:tcPr>
          <w:p w14:paraId="2DEDD30F"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-871.272</w:t>
            </w:r>
          </w:p>
        </w:tc>
      </w:tr>
      <w:tr w:rsidR="005967FD" w:rsidRPr="00604ED1" w14:paraId="7E11D220" w14:textId="77777777" w:rsidTr="002A2551">
        <w:trPr>
          <w:trHeight w:val="20"/>
        </w:trPr>
        <w:tc>
          <w:tcPr>
            <w:tcW w:w="4124" w:type="dxa"/>
            <w:tcBorders>
              <w:top w:val="nil"/>
              <w:left w:val="nil"/>
              <w:bottom w:val="nil"/>
              <w:right w:val="nil"/>
            </w:tcBorders>
            <w:shd w:val="clear" w:color="000000" w:fill="FFFFFF"/>
            <w:noWrap/>
            <w:vAlign w:val="center"/>
          </w:tcPr>
          <w:p w14:paraId="3B17133C"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203764"/>
                <w:sz w:val="18"/>
                <w:szCs w:val="18"/>
                <w:lang w:val="sr-Cyrl-RS"/>
              </w:rPr>
              <w:t xml:space="preserve">ЈП </w:t>
            </w:r>
            <w:r w:rsidRPr="00604ED1">
              <w:rPr>
                <w:rFonts w:ascii="Calibri" w:hAnsi="Calibri" w:cs="Calibri"/>
                <w:b/>
                <w:bCs/>
                <w:color w:val="002060"/>
                <w:sz w:val="18"/>
                <w:szCs w:val="18"/>
                <w:lang w:val="sr-Cyrl-RS"/>
              </w:rPr>
              <w:t>„</w:t>
            </w:r>
            <w:r w:rsidRPr="00604ED1">
              <w:rPr>
                <w:rFonts w:ascii="Calibri" w:hAnsi="Calibri" w:cs="Calibri"/>
                <w:b/>
                <w:bCs/>
                <w:color w:val="203764"/>
                <w:sz w:val="18"/>
                <w:szCs w:val="18"/>
                <w:lang w:val="sr-Cyrl-RS"/>
              </w:rPr>
              <w:t>Завод за уџбенике”</w:t>
            </w:r>
          </w:p>
        </w:tc>
        <w:tc>
          <w:tcPr>
            <w:tcW w:w="1259" w:type="dxa"/>
            <w:tcBorders>
              <w:top w:val="nil"/>
              <w:left w:val="nil"/>
              <w:bottom w:val="nil"/>
              <w:right w:val="nil"/>
            </w:tcBorders>
            <w:shd w:val="clear" w:color="000000" w:fill="FFFFFF"/>
            <w:noWrap/>
            <w:vAlign w:val="center"/>
          </w:tcPr>
          <w:p w14:paraId="7F49A90E"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-213.648</w:t>
            </w:r>
          </w:p>
        </w:tc>
        <w:tc>
          <w:tcPr>
            <w:tcW w:w="1894" w:type="dxa"/>
            <w:tcBorders>
              <w:top w:val="nil"/>
              <w:left w:val="nil"/>
              <w:bottom w:val="nil"/>
              <w:right w:val="nil"/>
            </w:tcBorders>
            <w:shd w:val="clear" w:color="000000" w:fill="FFFFFF"/>
            <w:noWrap/>
            <w:vAlign w:val="center"/>
          </w:tcPr>
          <w:p w14:paraId="47E76A22"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-155.562</w:t>
            </w:r>
          </w:p>
        </w:tc>
        <w:tc>
          <w:tcPr>
            <w:tcW w:w="1894" w:type="dxa"/>
            <w:tcBorders>
              <w:top w:val="nil"/>
              <w:left w:val="nil"/>
              <w:bottom w:val="nil"/>
              <w:right w:val="nil"/>
            </w:tcBorders>
            <w:shd w:val="clear" w:color="000000" w:fill="FFFFFF"/>
            <w:noWrap/>
            <w:vAlign w:val="center"/>
          </w:tcPr>
          <w:p w14:paraId="13DF717F"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-200.400</w:t>
            </w:r>
          </w:p>
        </w:tc>
      </w:tr>
      <w:tr w:rsidR="005967FD" w:rsidRPr="00604ED1" w14:paraId="48E37BAC" w14:textId="77777777" w:rsidTr="002A2551">
        <w:trPr>
          <w:trHeight w:val="20"/>
        </w:trPr>
        <w:tc>
          <w:tcPr>
            <w:tcW w:w="4124" w:type="dxa"/>
            <w:tcBorders>
              <w:top w:val="nil"/>
              <w:left w:val="nil"/>
              <w:bottom w:val="nil"/>
              <w:right w:val="nil"/>
            </w:tcBorders>
            <w:shd w:val="clear" w:color="000000" w:fill="FFFFFF"/>
            <w:noWrap/>
            <w:vAlign w:val="center"/>
          </w:tcPr>
          <w:p w14:paraId="0CB71049"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002060"/>
                <w:sz w:val="18"/>
                <w:szCs w:val="18"/>
                <w:lang w:val="sr-Cyrl-RS"/>
              </w:rPr>
              <w:t>ЈП „Србијаводе</w:t>
            </w:r>
            <w:r w:rsidRPr="00604ED1">
              <w:rPr>
                <w:rFonts w:ascii="Calibri" w:hAnsi="Calibri" w:cs="Calibri"/>
                <w:b/>
                <w:bCs/>
                <w:color w:val="203764"/>
                <w:sz w:val="18"/>
                <w:szCs w:val="18"/>
                <w:lang w:val="sr-Cyrl-RS"/>
              </w:rPr>
              <w:t>”</w:t>
            </w:r>
          </w:p>
        </w:tc>
        <w:tc>
          <w:tcPr>
            <w:tcW w:w="1259" w:type="dxa"/>
            <w:tcBorders>
              <w:top w:val="nil"/>
              <w:left w:val="nil"/>
              <w:bottom w:val="nil"/>
              <w:right w:val="nil"/>
            </w:tcBorders>
            <w:shd w:val="clear" w:color="000000" w:fill="FFFFFF"/>
            <w:noWrap/>
            <w:vAlign w:val="center"/>
          </w:tcPr>
          <w:p w14:paraId="65F88155"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37.752</w:t>
            </w:r>
          </w:p>
        </w:tc>
        <w:tc>
          <w:tcPr>
            <w:tcW w:w="1894" w:type="dxa"/>
            <w:tcBorders>
              <w:top w:val="nil"/>
              <w:left w:val="nil"/>
              <w:bottom w:val="nil"/>
              <w:right w:val="nil"/>
            </w:tcBorders>
            <w:shd w:val="clear" w:color="000000" w:fill="FFFFFF"/>
            <w:noWrap/>
            <w:vAlign w:val="center"/>
          </w:tcPr>
          <w:p w14:paraId="0986784B"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-82.598</w:t>
            </w:r>
          </w:p>
        </w:tc>
        <w:tc>
          <w:tcPr>
            <w:tcW w:w="1894" w:type="dxa"/>
            <w:tcBorders>
              <w:top w:val="nil"/>
              <w:left w:val="nil"/>
              <w:bottom w:val="nil"/>
              <w:right w:val="nil"/>
            </w:tcBorders>
            <w:shd w:val="clear" w:color="000000" w:fill="FFFFFF"/>
            <w:noWrap/>
            <w:vAlign w:val="center"/>
          </w:tcPr>
          <w:p w14:paraId="06C183A1"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-71.838</w:t>
            </w:r>
          </w:p>
        </w:tc>
      </w:tr>
      <w:tr w:rsidR="005967FD" w:rsidRPr="00604ED1" w14:paraId="5669A7CF" w14:textId="77777777" w:rsidTr="002A2551">
        <w:trPr>
          <w:trHeight w:val="20"/>
        </w:trPr>
        <w:tc>
          <w:tcPr>
            <w:tcW w:w="4124" w:type="dxa"/>
            <w:tcBorders>
              <w:top w:val="nil"/>
              <w:left w:val="nil"/>
              <w:bottom w:val="nil"/>
              <w:right w:val="nil"/>
            </w:tcBorders>
            <w:shd w:val="clear" w:color="000000" w:fill="FFFFFF"/>
            <w:noWrap/>
            <w:vAlign w:val="center"/>
          </w:tcPr>
          <w:p w14:paraId="5A0C5A90"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203764"/>
                <w:sz w:val="18"/>
                <w:szCs w:val="18"/>
                <w:lang w:val="sr-Cyrl-RS"/>
              </w:rPr>
              <w:t>ЈП за склоништа</w:t>
            </w:r>
          </w:p>
        </w:tc>
        <w:tc>
          <w:tcPr>
            <w:tcW w:w="1259" w:type="dxa"/>
            <w:tcBorders>
              <w:top w:val="nil"/>
              <w:left w:val="nil"/>
              <w:bottom w:val="nil"/>
              <w:right w:val="nil"/>
            </w:tcBorders>
            <w:shd w:val="clear" w:color="000000" w:fill="FFFFFF"/>
            <w:noWrap/>
            <w:vAlign w:val="center"/>
          </w:tcPr>
          <w:p w14:paraId="26FB216D"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-112.870</w:t>
            </w:r>
          </w:p>
        </w:tc>
        <w:tc>
          <w:tcPr>
            <w:tcW w:w="1894" w:type="dxa"/>
            <w:tcBorders>
              <w:top w:val="nil"/>
              <w:left w:val="nil"/>
              <w:bottom w:val="nil"/>
              <w:right w:val="nil"/>
            </w:tcBorders>
            <w:shd w:val="clear" w:color="000000" w:fill="FFFFFF"/>
            <w:noWrap/>
            <w:vAlign w:val="center"/>
          </w:tcPr>
          <w:p w14:paraId="0B3E27A5"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-59.252</w:t>
            </w:r>
          </w:p>
        </w:tc>
        <w:tc>
          <w:tcPr>
            <w:tcW w:w="1894" w:type="dxa"/>
            <w:tcBorders>
              <w:top w:val="nil"/>
              <w:left w:val="nil"/>
              <w:bottom w:val="nil"/>
              <w:right w:val="nil"/>
            </w:tcBorders>
            <w:shd w:val="clear" w:color="000000" w:fill="FFFFFF"/>
            <w:noWrap/>
            <w:vAlign w:val="center"/>
          </w:tcPr>
          <w:p w14:paraId="6A839EA2"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-30.859</w:t>
            </w:r>
          </w:p>
        </w:tc>
      </w:tr>
      <w:tr w:rsidR="005967FD" w:rsidRPr="00604ED1" w14:paraId="59DAE754" w14:textId="77777777" w:rsidTr="002A2551">
        <w:trPr>
          <w:trHeight w:val="20"/>
        </w:trPr>
        <w:tc>
          <w:tcPr>
            <w:tcW w:w="4124" w:type="dxa"/>
            <w:tcBorders>
              <w:top w:val="nil"/>
              <w:left w:val="nil"/>
              <w:bottom w:val="nil"/>
              <w:right w:val="nil"/>
            </w:tcBorders>
            <w:shd w:val="clear" w:color="000000" w:fill="FFFFFF"/>
            <w:noWrap/>
            <w:vAlign w:val="center"/>
          </w:tcPr>
          <w:p w14:paraId="2E578CD0"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203764"/>
                <w:sz w:val="18"/>
                <w:szCs w:val="18"/>
                <w:lang w:val="sr-Cyrl-RS"/>
              </w:rPr>
              <w:t xml:space="preserve">ЈП </w:t>
            </w:r>
            <w:r w:rsidRPr="00604ED1">
              <w:rPr>
                <w:rFonts w:ascii="Calibri" w:hAnsi="Calibri" w:cs="Calibri"/>
                <w:b/>
                <w:bCs/>
                <w:color w:val="002060"/>
                <w:sz w:val="18"/>
                <w:szCs w:val="18"/>
                <w:lang w:val="sr-Cyrl-RS"/>
              </w:rPr>
              <w:t>„</w:t>
            </w:r>
            <w:r w:rsidRPr="00604ED1">
              <w:rPr>
                <w:rFonts w:ascii="Calibri" w:hAnsi="Calibri" w:cs="Calibri"/>
                <w:b/>
                <w:bCs/>
                <w:color w:val="203764"/>
                <w:sz w:val="18"/>
                <w:szCs w:val="18"/>
                <w:lang w:val="sr-Cyrl-RS"/>
              </w:rPr>
              <w:t>Емисиона техника и везе”</w:t>
            </w:r>
          </w:p>
        </w:tc>
        <w:tc>
          <w:tcPr>
            <w:tcW w:w="1259" w:type="dxa"/>
            <w:tcBorders>
              <w:top w:val="nil"/>
              <w:left w:val="nil"/>
              <w:bottom w:val="nil"/>
              <w:right w:val="nil"/>
            </w:tcBorders>
            <w:shd w:val="clear" w:color="000000" w:fill="FFFFFF"/>
            <w:noWrap/>
            <w:vAlign w:val="center"/>
          </w:tcPr>
          <w:p w14:paraId="6FC1CE84"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45.355</w:t>
            </w:r>
          </w:p>
        </w:tc>
        <w:tc>
          <w:tcPr>
            <w:tcW w:w="1894" w:type="dxa"/>
            <w:tcBorders>
              <w:top w:val="nil"/>
              <w:left w:val="nil"/>
              <w:bottom w:val="nil"/>
              <w:right w:val="nil"/>
            </w:tcBorders>
            <w:shd w:val="clear" w:color="000000" w:fill="FFFFFF"/>
            <w:noWrap/>
            <w:vAlign w:val="center"/>
          </w:tcPr>
          <w:p w14:paraId="791C9EAD"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-108.356</w:t>
            </w:r>
          </w:p>
        </w:tc>
        <w:tc>
          <w:tcPr>
            <w:tcW w:w="1894" w:type="dxa"/>
            <w:tcBorders>
              <w:top w:val="nil"/>
              <w:left w:val="nil"/>
              <w:bottom w:val="nil"/>
              <w:right w:val="nil"/>
            </w:tcBorders>
            <w:shd w:val="clear" w:color="000000" w:fill="FFFFFF"/>
            <w:noWrap/>
            <w:vAlign w:val="center"/>
          </w:tcPr>
          <w:p w14:paraId="5A005572"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-22.070</w:t>
            </w:r>
          </w:p>
        </w:tc>
      </w:tr>
      <w:tr w:rsidR="005967FD" w:rsidRPr="00604ED1" w14:paraId="6614FC5D" w14:textId="77777777" w:rsidTr="002A2551">
        <w:trPr>
          <w:trHeight w:val="20"/>
        </w:trPr>
        <w:tc>
          <w:tcPr>
            <w:tcW w:w="4124" w:type="dxa"/>
            <w:tcBorders>
              <w:top w:val="nil"/>
              <w:left w:val="nil"/>
              <w:bottom w:val="nil"/>
              <w:right w:val="nil"/>
            </w:tcBorders>
            <w:shd w:val="clear" w:color="000000" w:fill="FFFFFF"/>
            <w:noWrap/>
            <w:vAlign w:val="center"/>
          </w:tcPr>
          <w:p w14:paraId="3DE97774"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203764"/>
                <w:sz w:val="18"/>
                <w:szCs w:val="18"/>
                <w:lang w:val="sr-Cyrl-RS"/>
              </w:rPr>
              <w:t xml:space="preserve">ЈП </w:t>
            </w:r>
            <w:r w:rsidRPr="00604ED1">
              <w:rPr>
                <w:rFonts w:ascii="Calibri" w:hAnsi="Calibri" w:cs="Calibri"/>
                <w:b/>
                <w:bCs/>
                <w:color w:val="002060"/>
                <w:sz w:val="18"/>
                <w:szCs w:val="18"/>
                <w:lang w:val="sr-Cyrl-RS"/>
              </w:rPr>
              <w:t>„</w:t>
            </w:r>
            <w:r w:rsidRPr="00604ED1">
              <w:rPr>
                <w:rFonts w:ascii="Calibri" w:hAnsi="Calibri" w:cs="Calibri"/>
                <w:b/>
                <w:bCs/>
                <w:color w:val="203764"/>
                <w:sz w:val="18"/>
                <w:szCs w:val="18"/>
                <w:lang w:val="sr-Cyrl-RS"/>
              </w:rPr>
              <w:t>Службени гласник”</w:t>
            </w:r>
          </w:p>
        </w:tc>
        <w:tc>
          <w:tcPr>
            <w:tcW w:w="1259" w:type="dxa"/>
            <w:tcBorders>
              <w:top w:val="nil"/>
              <w:left w:val="nil"/>
              <w:bottom w:val="nil"/>
              <w:right w:val="nil"/>
            </w:tcBorders>
            <w:shd w:val="clear" w:color="000000" w:fill="FFFFFF"/>
            <w:noWrap/>
            <w:vAlign w:val="center"/>
          </w:tcPr>
          <w:p w14:paraId="4098733C"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8.447</w:t>
            </w:r>
          </w:p>
        </w:tc>
        <w:tc>
          <w:tcPr>
            <w:tcW w:w="1894" w:type="dxa"/>
            <w:tcBorders>
              <w:top w:val="nil"/>
              <w:left w:val="nil"/>
              <w:bottom w:val="nil"/>
              <w:right w:val="nil"/>
            </w:tcBorders>
            <w:shd w:val="clear" w:color="000000" w:fill="FFFFFF"/>
            <w:noWrap/>
            <w:vAlign w:val="center"/>
          </w:tcPr>
          <w:p w14:paraId="33899353"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2.042</w:t>
            </w:r>
          </w:p>
        </w:tc>
        <w:tc>
          <w:tcPr>
            <w:tcW w:w="1894" w:type="dxa"/>
            <w:tcBorders>
              <w:top w:val="nil"/>
              <w:left w:val="nil"/>
              <w:bottom w:val="nil"/>
              <w:right w:val="nil"/>
            </w:tcBorders>
            <w:shd w:val="clear" w:color="000000" w:fill="FFFFFF"/>
            <w:noWrap/>
            <w:vAlign w:val="center"/>
          </w:tcPr>
          <w:p w14:paraId="3FE5986A"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-7.995</w:t>
            </w:r>
          </w:p>
        </w:tc>
      </w:tr>
      <w:tr w:rsidR="005967FD" w:rsidRPr="00604ED1" w14:paraId="326F7E64" w14:textId="77777777" w:rsidTr="002A2551">
        <w:trPr>
          <w:trHeight w:val="20"/>
        </w:trPr>
        <w:tc>
          <w:tcPr>
            <w:tcW w:w="4124" w:type="dxa"/>
            <w:tcBorders>
              <w:top w:val="nil"/>
              <w:left w:val="nil"/>
              <w:bottom w:val="nil"/>
              <w:right w:val="nil"/>
            </w:tcBorders>
            <w:shd w:val="clear" w:color="000000" w:fill="FFFFFF"/>
            <w:noWrap/>
            <w:vAlign w:val="center"/>
          </w:tcPr>
          <w:p w14:paraId="4E225E2A"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203764"/>
                <w:sz w:val="18"/>
                <w:szCs w:val="18"/>
                <w:lang w:val="sr-Cyrl-RS"/>
              </w:rPr>
              <w:t xml:space="preserve">ЈП </w:t>
            </w:r>
            <w:r w:rsidRPr="00604ED1">
              <w:rPr>
                <w:rFonts w:ascii="Calibri" w:hAnsi="Calibri" w:cs="Calibri"/>
                <w:b/>
                <w:bCs/>
                <w:color w:val="002060"/>
                <w:sz w:val="18"/>
                <w:szCs w:val="18"/>
                <w:lang w:val="sr-Cyrl-RS"/>
              </w:rPr>
              <w:t>„</w:t>
            </w:r>
            <w:r w:rsidRPr="00604ED1">
              <w:rPr>
                <w:rFonts w:ascii="Calibri" w:hAnsi="Calibri" w:cs="Calibri"/>
                <w:b/>
                <w:bCs/>
                <w:color w:val="203764"/>
                <w:sz w:val="18"/>
                <w:szCs w:val="18"/>
                <w:lang w:val="sr-Cyrl-RS"/>
              </w:rPr>
              <w:t>Национални парк Фрушка гора”</w:t>
            </w:r>
          </w:p>
        </w:tc>
        <w:tc>
          <w:tcPr>
            <w:tcW w:w="1259" w:type="dxa"/>
            <w:tcBorders>
              <w:top w:val="nil"/>
              <w:left w:val="nil"/>
              <w:bottom w:val="nil"/>
              <w:right w:val="nil"/>
            </w:tcBorders>
            <w:shd w:val="clear" w:color="000000" w:fill="FFFFFF"/>
            <w:noWrap/>
            <w:vAlign w:val="center"/>
          </w:tcPr>
          <w:p w14:paraId="17835E0E"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3.247</w:t>
            </w:r>
          </w:p>
        </w:tc>
        <w:tc>
          <w:tcPr>
            <w:tcW w:w="1894" w:type="dxa"/>
            <w:tcBorders>
              <w:top w:val="nil"/>
              <w:left w:val="nil"/>
              <w:bottom w:val="nil"/>
              <w:right w:val="nil"/>
            </w:tcBorders>
            <w:shd w:val="clear" w:color="000000" w:fill="FFFFFF"/>
            <w:noWrap/>
            <w:vAlign w:val="center"/>
          </w:tcPr>
          <w:p w14:paraId="25BC0F09"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19.583</w:t>
            </w:r>
          </w:p>
        </w:tc>
        <w:tc>
          <w:tcPr>
            <w:tcW w:w="1894" w:type="dxa"/>
            <w:tcBorders>
              <w:top w:val="nil"/>
              <w:left w:val="nil"/>
              <w:bottom w:val="nil"/>
              <w:right w:val="nil"/>
            </w:tcBorders>
            <w:shd w:val="clear" w:color="000000" w:fill="FFFFFF"/>
            <w:noWrap/>
            <w:vAlign w:val="center"/>
          </w:tcPr>
          <w:p w14:paraId="3A999ED7" w14:textId="77777777" w:rsidR="005967FD" w:rsidRPr="00604ED1" w:rsidRDefault="005967FD" w:rsidP="002A2551">
            <w:pPr>
              <w:spacing w:after="0"/>
              <w:jc w:val="right"/>
              <w:rPr>
                <w:rFonts w:ascii="Calibri" w:hAnsi="Calibri" w:cs="Calibri"/>
                <w:color w:val="002060"/>
                <w:sz w:val="18"/>
                <w:szCs w:val="18"/>
                <w:lang w:val="sr-Cyrl-RS"/>
              </w:rPr>
            </w:pPr>
            <w:r w:rsidRPr="00604ED1">
              <w:rPr>
                <w:rFonts w:ascii="Calibri" w:hAnsi="Calibri" w:cs="Calibri"/>
                <w:color w:val="002060"/>
                <w:sz w:val="18"/>
                <w:szCs w:val="18"/>
                <w:lang w:val="sr-Cyrl-RS"/>
              </w:rPr>
              <w:t>-3.163</w:t>
            </w:r>
          </w:p>
        </w:tc>
      </w:tr>
      <w:tr w:rsidR="005967FD" w:rsidRPr="00604ED1" w14:paraId="23C37BC3" w14:textId="77777777" w:rsidTr="002A2551">
        <w:trPr>
          <w:trHeight w:val="144"/>
        </w:trPr>
        <w:tc>
          <w:tcPr>
            <w:tcW w:w="4124" w:type="dxa"/>
            <w:tcBorders>
              <w:top w:val="single" w:sz="4" w:space="0" w:color="203764"/>
              <w:left w:val="nil"/>
              <w:bottom w:val="single" w:sz="4" w:space="0" w:color="203764"/>
              <w:right w:val="nil"/>
            </w:tcBorders>
            <w:shd w:val="clear" w:color="auto" w:fill="auto"/>
            <w:noWrap/>
            <w:vAlign w:val="bottom"/>
          </w:tcPr>
          <w:p w14:paraId="7A508576" w14:textId="77777777" w:rsidR="005967FD" w:rsidRPr="00604ED1" w:rsidRDefault="005967FD" w:rsidP="002A2551">
            <w:pPr>
              <w:spacing w:after="0"/>
              <w:jc w:val="left"/>
              <w:rPr>
                <w:rFonts w:ascii="Calibri" w:hAnsi="Calibri" w:cs="Calibri"/>
                <w:b/>
                <w:bCs/>
                <w:color w:val="203764"/>
                <w:sz w:val="18"/>
                <w:szCs w:val="18"/>
                <w:lang w:val="sr-Cyrl-RS"/>
              </w:rPr>
            </w:pPr>
            <w:r w:rsidRPr="00604ED1">
              <w:rPr>
                <w:rFonts w:ascii="Calibri" w:hAnsi="Calibri" w:cs="Calibri"/>
                <w:b/>
                <w:bCs/>
                <w:color w:val="203764"/>
                <w:sz w:val="18"/>
                <w:szCs w:val="18"/>
                <w:lang w:val="sr-Cyrl-RS"/>
              </w:rPr>
              <w:t>Укупно:</w:t>
            </w:r>
          </w:p>
        </w:tc>
        <w:tc>
          <w:tcPr>
            <w:tcW w:w="1259" w:type="dxa"/>
            <w:tcBorders>
              <w:top w:val="single" w:sz="4" w:space="0" w:color="203764"/>
              <w:left w:val="nil"/>
              <w:bottom w:val="single" w:sz="4" w:space="0" w:color="203764"/>
              <w:right w:val="nil"/>
            </w:tcBorders>
            <w:shd w:val="clear" w:color="auto" w:fill="auto"/>
            <w:noWrap/>
            <w:vAlign w:val="bottom"/>
          </w:tcPr>
          <w:p w14:paraId="7E1CF67A" w14:textId="77777777" w:rsidR="005967FD" w:rsidRPr="00604ED1" w:rsidRDefault="005967FD" w:rsidP="002A2551">
            <w:pPr>
              <w:spacing w:after="0"/>
              <w:jc w:val="righ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-7.962.268</w:t>
            </w:r>
          </w:p>
        </w:tc>
        <w:tc>
          <w:tcPr>
            <w:tcW w:w="1894" w:type="dxa"/>
            <w:tcBorders>
              <w:top w:val="single" w:sz="4" w:space="0" w:color="203764"/>
              <w:left w:val="nil"/>
              <w:bottom w:val="single" w:sz="4" w:space="0" w:color="203764"/>
              <w:right w:val="nil"/>
            </w:tcBorders>
            <w:shd w:val="clear" w:color="auto" w:fill="auto"/>
            <w:noWrap/>
            <w:vAlign w:val="bottom"/>
          </w:tcPr>
          <w:p w14:paraId="382894D7" w14:textId="77777777" w:rsidR="005967FD" w:rsidRPr="00604ED1" w:rsidRDefault="005967FD" w:rsidP="002A2551">
            <w:pPr>
              <w:spacing w:after="0"/>
              <w:jc w:val="righ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-5.474.946</w:t>
            </w:r>
          </w:p>
        </w:tc>
        <w:tc>
          <w:tcPr>
            <w:tcW w:w="1894" w:type="dxa"/>
            <w:tcBorders>
              <w:top w:val="single" w:sz="4" w:space="0" w:color="203764"/>
              <w:left w:val="nil"/>
              <w:bottom w:val="single" w:sz="4" w:space="0" w:color="203764"/>
              <w:right w:val="nil"/>
            </w:tcBorders>
            <w:shd w:val="clear" w:color="auto" w:fill="auto"/>
            <w:noWrap/>
            <w:vAlign w:val="bottom"/>
          </w:tcPr>
          <w:p w14:paraId="07E2D2F3" w14:textId="77777777" w:rsidR="005967FD" w:rsidRPr="00604ED1" w:rsidRDefault="005967FD" w:rsidP="002A2551">
            <w:pPr>
              <w:spacing w:after="0"/>
              <w:jc w:val="right"/>
              <w:rPr>
                <w:rFonts w:ascii="Calibri" w:hAnsi="Calibri" w:cs="Calibri"/>
                <w:b/>
                <w:bCs/>
                <w:color w:val="002060"/>
                <w:sz w:val="18"/>
                <w:szCs w:val="18"/>
                <w:lang w:val="sr-Cyrl-RS"/>
              </w:rPr>
            </w:pPr>
            <w:r w:rsidRPr="00604ED1">
              <w:rPr>
                <w:rFonts w:ascii="Calibri" w:hAnsi="Calibri" w:cs="Calibri"/>
                <w:b/>
                <w:bCs/>
                <w:color w:val="002060"/>
                <w:sz w:val="18"/>
                <w:szCs w:val="18"/>
                <w:lang w:val="sr-Cyrl-RS"/>
              </w:rPr>
              <w:t>-16.681.099</w:t>
            </w:r>
          </w:p>
        </w:tc>
      </w:tr>
    </w:tbl>
    <w:p w14:paraId="1D6FA642" w14:textId="77777777" w:rsidR="005967FD" w:rsidRPr="001F7D9C" w:rsidRDefault="005967FD" w:rsidP="002A2551">
      <w:pPr>
        <w:spacing w:after="0" w:line="276" w:lineRule="auto"/>
        <w:rPr>
          <w:rFonts w:eastAsia="MS PGothic" w:cstheme="minorHAnsi"/>
          <w:sz w:val="16"/>
          <w:szCs w:val="16"/>
          <w:lang w:val="sr-Cyrl-RS" w:eastAsia="ja-JP"/>
        </w:rPr>
      </w:pPr>
      <w:r w:rsidRPr="001F7D9C">
        <w:rPr>
          <w:rFonts w:eastAsia="MS PGothic" w:cstheme="minorHAnsi"/>
          <w:sz w:val="16"/>
          <w:szCs w:val="16"/>
          <w:lang w:val="sr-Cyrl-RS" w:eastAsia="ja-JP"/>
        </w:rPr>
        <w:t>Извор: Квартални извештаји Министарства привреде за 2023. годину</w:t>
      </w:r>
    </w:p>
    <w:p w14:paraId="5F49F137" w14:textId="77777777" w:rsidR="005967FD" w:rsidRPr="001F7D9C" w:rsidRDefault="005967FD" w:rsidP="002A2551">
      <w:pPr>
        <w:spacing w:after="0" w:line="276" w:lineRule="auto"/>
        <w:rPr>
          <w:rFonts w:eastAsia="MS PGothic" w:cstheme="minorHAnsi"/>
          <w:sz w:val="16"/>
          <w:szCs w:val="16"/>
          <w:lang w:val="sr-Cyrl-RS" w:eastAsia="ja-JP"/>
        </w:rPr>
      </w:pPr>
      <w:r w:rsidRPr="001F7D9C">
        <w:rPr>
          <w:rFonts w:eastAsia="MS PGothic" w:cstheme="minorHAnsi"/>
          <w:sz w:val="16"/>
          <w:szCs w:val="16"/>
          <w:lang w:val="sr-Cyrl-RS" w:eastAsia="ja-JP"/>
        </w:rPr>
        <w:t>* Програм пословања за 2023. годину није усвојен, због тога нема планиране вредности</w:t>
      </w:r>
    </w:p>
    <w:p w14:paraId="32B7B082" w14:textId="77777777" w:rsidR="005967FD" w:rsidRPr="00604ED1" w:rsidRDefault="005967FD" w:rsidP="002A2551">
      <w:pPr>
        <w:spacing w:after="0" w:line="276" w:lineRule="auto"/>
        <w:rPr>
          <w:rFonts w:eastAsia="MS PGothic" w:cstheme="minorHAnsi"/>
          <w:sz w:val="18"/>
          <w:szCs w:val="18"/>
          <w:lang w:val="sr-Cyrl-RS" w:eastAsia="ja-JP"/>
        </w:rPr>
      </w:pPr>
    </w:p>
    <w:p w14:paraId="4BFB49C9" w14:textId="77777777" w:rsidR="005967FD" w:rsidRPr="00604ED1" w:rsidRDefault="005967FD" w:rsidP="002A2551">
      <w:pPr>
        <w:spacing w:after="0" w:line="276" w:lineRule="auto"/>
        <w:rPr>
          <w:rFonts w:eastAsia="MS PGothic" w:cstheme="minorHAnsi"/>
          <w:sz w:val="18"/>
          <w:szCs w:val="18"/>
          <w:lang w:val="sr-Cyrl-RS" w:eastAsia="ja-JP"/>
        </w:rPr>
        <w:sectPr w:rsidR="005967FD" w:rsidRPr="00604ED1" w:rsidSect="002A2551">
          <w:type w:val="continuous"/>
          <w:pgSz w:w="12240" w:h="15840"/>
          <w:pgMar w:top="1440" w:right="1440" w:bottom="1440" w:left="1440" w:header="720" w:footer="720" w:gutter="0"/>
          <w:cols w:space="720"/>
          <w:docGrid w:linePitch="360"/>
          <w15:footnoteColumns w:val="1"/>
        </w:sectPr>
      </w:pPr>
    </w:p>
    <w:p w14:paraId="024A86B4"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У циљу умањења фискалних ризика повезаних са пословањем јавних предузећа у току су процеси реструктурирања највећих јавних предузећа (групе предузећа које се баве железничким саобраћајем – „Железнице Србије” а.д, „Инфраструктура железнице Србије” а.д, „Србија Воз” а.д, „Србија Карго” а.д, ЕПС а.д. и ЈП „Србијагас”). Целокупан процес се спроводи у сарадњи за водећим светским финансијским институцијама – ММФ, Светском банком и Европском банком за обнову и развој (у даљем тексту: ЕБРД), како би се ова предузећа поставила на здраве основе и почела да функционишу по тржишном принципу, те умањили потенцијални фискални трошкови који могу проистећи из њиховог пословања.</w:t>
      </w:r>
    </w:p>
    <w:p w14:paraId="001E6356" w14:textId="77777777" w:rsidR="005967FD" w:rsidRPr="00604ED1" w:rsidRDefault="005967FD" w:rsidP="002A2551">
      <w:pPr>
        <w:rPr>
          <w:rFonts w:eastAsia="MS PGothic" w:cstheme="minorHAnsi"/>
          <w:szCs w:val="20"/>
          <w:lang w:val="sr-Cyrl-RS" w:eastAsia="ja-JP"/>
        </w:rPr>
      </w:pPr>
      <w:bookmarkStart w:id="57" w:name="_Hlk134788223"/>
      <w:r w:rsidRPr="00604ED1">
        <w:rPr>
          <w:rFonts w:eastAsia="MS PGothic" w:cstheme="minorHAnsi"/>
          <w:szCs w:val="20"/>
          <w:lang w:val="sr-Cyrl-RS" w:eastAsia="ja-JP"/>
        </w:rPr>
        <w:t>Сектор за праћење фискалних ризика врши процену фискалних ризика јавних предузећа и применом модела предвиђеног Јединственом мето</w:t>
      </w:r>
      <w:r>
        <w:rPr>
          <w:rFonts w:eastAsia="MS PGothic" w:cstheme="minorHAnsi"/>
          <w:szCs w:val="20"/>
          <w:lang w:val="sr-Cyrl-RS" w:eastAsia="ja-JP"/>
        </w:rPr>
        <w:t>до</w:t>
      </w:r>
      <w:r w:rsidRPr="00604ED1">
        <w:rPr>
          <w:rFonts w:eastAsia="MS PGothic" w:cstheme="minorHAnsi"/>
          <w:szCs w:val="20"/>
          <w:lang w:val="sr-Cyrl-RS" w:eastAsia="ja-JP"/>
        </w:rPr>
        <w:t>логијом за праћење фискалних ризика у Републици Србији тзв. Алтманов З-скор. Применом овог модела, за свако ЈП обрачунава се композитни индекс различитих финансијских показатеља ризика пословања јавних предузећа.</w:t>
      </w:r>
    </w:p>
    <w:p w14:paraId="28D599B6" w14:textId="51781B96"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 xml:space="preserve">Према подацима из званичних финансијских извештаја достављених на </w:t>
      </w:r>
      <w:r w:rsidR="00D1698C">
        <w:rPr>
          <w:rFonts w:eastAsia="MS PGothic" w:cstheme="minorHAnsi"/>
          <w:szCs w:val="20"/>
          <w:lang w:val="sr-Cyrl-RS" w:eastAsia="ja-JP"/>
        </w:rPr>
        <w:t xml:space="preserve">дан </w:t>
      </w:r>
      <w:r w:rsidRPr="00604ED1">
        <w:rPr>
          <w:rFonts w:eastAsia="MS PGothic" w:cstheme="minorHAnsi"/>
          <w:szCs w:val="20"/>
          <w:lang w:val="sr-Cyrl-RS" w:eastAsia="ja-JP"/>
        </w:rPr>
        <w:t>31. децембар 2022. године, од 36 јавних предузећа која прати Сектор за праћење фискалних ризика, применом овог модела идентифико</w:t>
      </w:r>
      <w:r w:rsidR="00D1698C">
        <w:rPr>
          <w:rFonts w:eastAsia="MS PGothic" w:cstheme="minorHAnsi"/>
          <w:szCs w:val="20"/>
          <w:lang w:val="sr-Cyrl-RS" w:eastAsia="ja-JP"/>
        </w:rPr>
        <w:t>вано је 12 јавних предузећа (33,</w:t>
      </w:r>
      <w:r w:rsidRPr="00604ED1">
        <w:rPr>
          <w:rFonts w:eastAsia="MS PGothic" w:cstheme="minorHAnsi"/>
          <w:szCs w:val="20"/>
          <w:lang w:val="sr-Cyrl-RS" w:eastAsia="ja-JP"/>
        </w:rPr>
        <w:t>3%) који имају висок</w:t>
      </w:r>
      <w:r w:rsidR="00D1698C">
        <w:rPr>
          <w:rFonts w:eastAsia="MS PGothic" w:cstheme="minorHAnsi"/>
          <w:szCs w:val="20"/>
          <w:lang w:val="sr-Cyrl-RS" w:eastAsia="ja-JP"/>
        </w:rPr>
        <w:t xml:space="preserve"> ризик, за 1 јавно предузеће (2,</w:t>
      </w:r>
      <w:r w:rsidRPr="00604ED1">
        <w:rPr>
          <w:rFonts w:eastAsia="MS PGothic" w:cstheme="minorHAnsi"/>
          <w:szCs w:val="20"/>
          <w:lang w:val="sr-Cyrl-RS" w:eastAsia="ja-JP"/>
        </w:rPr>
        <w:t>8%) идентификован је умерен ризик док п</w:t>
      </w:r>
      <w:r w:rsidR="00D1698C">
        <w:rPr>
          <w:rFonts w:eastAsia="MS PGothic" w:cstheme="minorHAnsi"/>
          <w:szCs w:val="20"/>
          <w:lang w:val="sr-Cyrl-RS" w:eastAsia="ja-JP"/>
        </w:rPr>
        <w:t>реостала 23 јавна предузећа (63,</w:t>
      </w:r>
      <w:r w:rsidRPr="00604ED1">
        <w:rPr>
          <w:rFonts w:eastAsia="MS PGothic" w:cstheme="minorHAnsi"/>
          <w:szCs w:val="20"/>
          <w:lang w:val="sr-Cyrl-RS" w:eastAsia="ja-JP"/>
        </w:rPr>
        <w:t>9%) имају низак ризик у пословању. Јавна предузећа код којих је идентификован висок ризик пословања су углавном из енергетског сектора, који је захватила глобална енергетска криза, железничког саобраћаја као и остала предузећа која су у процесу реструктурирања. Над овим предузећима, Сектор за праћење фискалних ризика врши појачан надзор.</w:t>
      </w:r>
    </w:p>
    <w:p w14:paraId="3000F9E3" w14:textId="1DD9E678" w:rsidR="005967FD" w:rsidRDefault="005967FD" w:rsidP="002A2551">
      <w:pPr>
        <w:rPr>
          <w:rFonts w:eastAsia="MS PGothic" w:cstheme="minorHAnsi"/>
          <w:szCs w:val="20"/>
          <w:lang w:val="sr-Cyrl-RS" w:eastAsia="ja-JP"/>
        </w:rPr>
      </w:pPr>
      <w:r w:rsidRPr="00604ED1">
        <w:rPr>
          <w:rFonts w:eastAsia="MS PGothic" w:cstheme="minorHAnsi"/>
          <w:szCs w:val="20"/>
          <w:lang w:val="sr-Cyrl-RS" w:eastAsia="ja-JP"/>
        </w:rPr>
        <w:t>Сектор за праћење фискалних ризика ће у наредном периоду радити на унапређењу овог модела, са додатним квалитативним информацијама које могу бити од значаја за процену ризика пословања јавних предузећа.</w:t>
      </w:r>
    </w:p>
    <w:p w14:paraId="62ECDE4E" w14:textId="77777777" w:rsidR="005967FD" w:rsidRDefault="005967FD" w:rsidP="002A2551">
      <w:pPr>
        <w:rPr>
          <w:rFonts w:eastAsia="MS PGothic" w:cstheme="minorHAnsi"/>
          <w:szCs w:val="20"/>
          <w:lang w:val="sr-Cyrl-RS" w:eastAsia="ja-JP"/>
        </w:rPr>
        <w:sectPr w:rsidR="005967FD" w:rsidSect="002A2551">
          <w:headerReference w:type="even" r:id="rId165"/>
          <w:footerReference w:type="even" r:id="rId166"/>
          <w:footerReference w:type="default" r:id="rId167"/>
          <w:headerReference w:type="first" r:id="rId168"/>
          <w:type w:val="continuous"/>
          <w:pgSz w:w="12240" w:h="15840"/>
          <w:pgMar w:top="1440" w:right="1440" w:bottom="1440" w:left="1440" w:header="720" w:footer="720" w:gutter="0"/>
          <w:cols w:num="2" w:space="720"/>
          <w:docGrid w:linePitch="360"/>
        </w:sectPr>
      </w:pPr>
    </w:p>
    <w:bookmarkEnd w:id="57"/>
    <w:p w14:paraId="2DAC5B5A" w14:textId="77777777" w:rsidR="005967FD" w:rsidRDefault="005967FD" w:rsidP="002A2551">
      <w:pPr>
        <w:rPr>
          <w:lang w:val="sr-Cyrl-RS"/>
        </w:rPr>
      </w:pPr>
      <w:r>
        <w:rPr>
          <w:lang w:val="sr-Cyrl-RS"/>
        </w:rPr>
        <w:br w:type="page"/>
      </w:r>
    </w:p>
    <w:p w14:paraId="483948E9" w14:textId="77777777" w:rsidR="005967FD" w:rsidRPr="00604ED1" w:rsidRDefault="005967FD" w:rsidP="002A2551">
      <w:pPr>
        <w:rPr>
          <w:rFonts w:cstheme="minorHAnsi"/>
          <w:b/>
          <w:bCs/>
          <w:color w:val="2F5496" w:themeColor="accent1" w:themeShade="BF"/>
          <w:sz w:val="22"/>
          <w:szCs w:val="20"/>
          <w:lang w:val="sr-Cyrl-RS"/>
        </w:rPr>
      </w:pPr>
      <w:r w:rsidRPr="00604ED1">
        <w:rPr>
          <w:rFonts w:cstheme="minorHAnsi"/>
          <w:b/>
          <w:bCs/>
          <w:color w:val="2F5496" w:themeColor="accent1" w:themeShade="BF"/>
          <w:sz w:val="22"/>
          <w:szCs w:val="20"/>
          <w:lang w:val="sr-Cyrl-RS"/>
        </w:rPr>
        <w:lastRenderedPageBreak/>
        <w:t>Уплата добити</w:t>
      </w:r>
    </w:p>
    <w:p w14:paraId="58AEFBD8" w14:textId="77777777" w:rsidR="005967FD" w:rsidRPr="00604ED1" w:rsidRDefault="005967FD" w:rsidP="002A2551">
      <w:pPr>
        <w:rPr>
          <w:rFonts w:eastAsia="MS PGothic" w:cstheme="minorHAnsi"/>
          <w:bCs/>
          <w:szCs w:val="20"/>
          <w:lang w:val="sr-Cyrl-RS" w:eastAsia="ja-JP"/>
        </w:rPr>
      </w:pPr>
      <w:r w:rsidRPr="00604ED1">
        <w:rPr>
          <w:rFonts w:eastAsia="MS PGothic" w:cstheme="minorHAnsi"/>
          <w:szCs w:val="20"/>
          <w:lang w:val="sr-Cyrl-RS" w:eastAsia="ja-JP"/>
        </w:rPr>
        <w:t>Уплата добити од стране јавних предузећа и дивиденди друштава капитала у којима држава има власништво представљају значајан део непореских прихода. Од успешности пословања ових предузећа зависи и висина прихода</w:t>
      </w:r>
      <w:r w:rsidRPr="00604ED1">
        <w:rPr>
          <w:rFonts w:eastAsia="MS PGothic" w:cstheme="minorHAnsi"/>
          <w:bCs/>
          <w:szCs w:val="20"/>
          <w:lang w:val="sr-Cyrl-RS" w:eastAsia="ja-JP"/>
        </w:rPr>
        <w:t xml:space="preserve"> буџета по овом основу. Уплата редовне добити и дивиденди је редован буџетски непорески приход, док се уплате из нераспоређене добити третирају као приход са једнократним карактером и не представљају трајни извор прихода.</w:t>
      </w:r>
    </w:p>
    <w:p w14:paraId="4C006835"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Привредна друштва чији је оснивач Република Србија или у којима Република Србија има учешће у власништву дужна су да најкасније до 30. новембра текуће буџетске године у буџет Републике Србије уплате најмање 50% сразмерног дела добити по завршном рачуну за 2022. годину, који у складу са законом који уређује привредна друштва припада Републици Србији као члану друштва.</w:t>
      </w:r>
    </w:p>
    <w:p w14:paraId="46AA91D2"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Изузетно, уз сагласност Владе, обавезу по основу уплате добити нема субјекат који донесе одлуку да из добити покрије губитак или повећа капитал или средства употреби за финансирање инвестиција.</w:t>
      </w:r>
    </w:p>
    <w:p w14:paraId="18A8F398"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Од стране 36 јавних предузећа која прати Сектор за праћење фискалних ризика, у току 2022. године по овом основу уплаћено је 4,3 млрд динара у буџет Републике.</w:t>
      </w:r>
    </w:p>
    <w:p w14:paraId="2495BA94" w14:textId="77777777" w:rsidR="005967FD" w:rsidRPr="00604ED1" w:rsidRDefault="005967FD" w:rsidP="002A2551">
      <w:pPr>
        <w:rPr>
          <w:rFonts w:eastAsia="MS PGothic" w:cstheme="minorHAnsi"/>
          <w:bCs/>
          <w:szCs w:val="20"/>
          <w:lang w:val="sr-Cyrl-RS" w:eastAsia="ja-JP"/>
        </w:rPr>
      </w:pPr>
      <w:r w:rsidRPr="00604ED1">
        <w:rPr>
          <w:rFonts w:eastAsia="MS PGothic" w:cstheme="minorHAnsi"/>
          <w:szCs w:val="20"/>
          <w:lang w:val="sr-Cyrl-RS" w:eastAsia="ja-JP"/>
        </w:rPr>
        <w:t>Ублажавање потенцијалних ризика, који настају као последица пословања јавних предузећа, обухвата низ мера везаних за одговорност, профитабилност и транспарентност у пословању ових предузећа. Процеси реструктурирања</w:t>
      </w:r>
      <w:r w:rsidRPr="00604ED1">
        <w:rPr>
          <w:rFonts w:eastAsia="MS PGothic" w:cstheme="minorHAnsi"/>
          <w:bCs/>
          <w:szCs w:val="20"/>
          <w:lang w:val="sr-Cyrl-RS" w:eastAsia="ja-JP"/>
        </w:rPr>
        <w:t xml:space="preserve"> покренути су у АД ЕПС, ЈП „Србијагас</w:t>
      </w:r>
      <w:r w:rsidRPr="00604ED1">
        <w:rPr>
          <w:rFonts w:eastAsia="MS PGothic" w:cstheme="minorHAnsi"/>
          <w:szCs w:val="20"/>
          <w:lang w:val="sr-Cyrl-RS" w:eastAsia="ja-JP"/>
        </w:rPr>
        <w:t>”</w:t>
      </w:r>
      <w:r w:rsidRPr="00604ED1">
        <w:rPr>
          <w:rFonts w:eastAsia="MS PGothic" w:cstheme="minorHAnsi"/>
          <w:bCs/>
          <w:szCs w:val="20"/>
          <w:lang w:val="sr-Cyrl-RS" w:eastAsia="ja-JP"/>
        </w:rPr>
        <w:t xml:space="preserve"> и „Железнице Србије” а.д, при чему ће од успешности самог процеса реструктурирања и брзине спровођења усвојених мера зависити ефикасност пословања у будућности.</w:t>
      </w:r>
    </w:p>
    <w:p w14:paraId="1F2387A0" w14:textId="77777777" w:rsidR="005967FD" w:rsidRPr="00604ED1" w:rsidRDefault="005967FD" w:rsidP="002A2551">
      <w:pPr>
        <w:jc w:val="left"/>
        <w:rPr>
          <w:rFonts w:ascii="Calibri" w:eastAsia="Calibri" w:hAnsi="Calibri" w:cs="Calibri"/>
          <w:b/>
          <w:bCs/>
          <w:color w:val="2F5496" w:themeColor="accent1" w:themeShade="BF"/>
          <w:sz w:val="22"/>
          <w:szCs w:val="20"/>
          <w:lang w:val="sr-Cyrl-RS"/>
        </w:rPr>
      </w:pPr>
      <w:r w:rsidRPr="00604ED1">
        <w:rPr>
          <w:rFonts w:ascii="Calibri" w:eastAsia="Calibri" w:hAnsi="Calibri" w:cs="Calibri"/>
          <w:b/>
          <w:bCs/>
          <w:color w:val="2F5496" w:themeColor="accent1" w:themeShade="BF"/>
          <w:sz w:val="22"/>
          <w:szCs w:val="20"/>
          <w:lang w:val="sr-Cyrl-RS"/>
        </w:rPr>
        <w:t>Државне финансијске институције, банкарски систем и осигурање депозита</w:t>
      </w:r>
    </w:p>
    <w:bookmarkEnd w:id="51"/>
    <w:bookmarkEnd w:id="52"/>
    <w:bookmarkEnd w:id="53"/>
    <w:bookmarkEnd w:id="54"/>
    <w:bookmarkEnd w:id="55"/>
    <w:p w14:paraId="3116C005"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 xml:space="preserve">Пре периода фискалне консолидације Република Србија имала је значајне фискалне трошкове спашавања државних банака. Укупни трошкови државних интервенција у банкарском сектору у </w:t>
      </w:r>
      <w:r w:rsidRPr="00604ED1">
        <w:rPr>
          <w:rFonts w:ascii="Calibri" w:eastAsia="MS PGothic" w:hAnsi="Calibri" w:cs="Calibri"/>
          <w:color w:val="44546A"/>
          <w:szCs w:val="20"/>
          <w:lang w:val="sr-Cyrl-RS" w:eastAsia="ja-JP"/>
        </w:rPr>
        <w:t>периоду 2012–2015. године износили су око 900 милиона евра. То је износ издвојен за докапитализацију банака, различите финансијске трансакције приликом припајања неуспешних банака успешнијим, укључујући и исплату осигураних и неосигураних депозита (за шта су коришћена и средства Фонда за осигурање депозита).</w:t>
      </w:r>
    </w:p>
    <w:p w14:paraId="50D150D0"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Република Србија данас у банкарском сектору земље има директан удео у капиталу:</w:t>
      </w:r>
    </w:p>
    <w:p w14:paraId="091622F8"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Банке Поштанска штедионица а.д. Београд (78,54%),</w:t>
      </w:r>
    </w:p>
    <w:p w14:paraId="31482AAF"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Српске банке а.д. Београд (76,69%).</w:t>
      </w:r>
    </w:p>
    <w:p w14:paraId="389A43F5"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У циљу доследног спровођења излазне стратегије и смањења фискалних ризика по овом основу настављају се реформске активности у области државних финансијских институција започете 2012. године, односно 2015. године.</w:t>
      </w:r>
    </w:p>
    <w:p w14:paraId="112DD351" w14:textId="5FDF7466"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Банка Поштанска штедионица (БПШ). Посло</w:t>
      </w:r>
      <w:r w:rsidR="00355050">
        <w:rPr>
          <w:rFonts w:ascii="Calibri" w:eastAsia="MS PGothic" w:hAnsi="Calibri" w:cs="Calibri"/>
          <w:color w:val="44546A"/>
          <w:szCs w:val="20"/>
          <w:lang w:val="sr-Cyrl-RS" w:eastAsia="ja-JP"/>
        </w:rPr>
        <w:t>вну стратегију за период 2023–</w:t>
      </w:r>
      <w:r w:rsidRPr="00604ED1">
        <w:rPr>
          <w:rFonts w:ascii="Calibri" w:eastAsia="MS PGothic" w:hAnsi="Calibri" w:cs="Calibri"/>
          <w:color w:val="44546A"/>
          <w:szCs w:val="20"/>
          <w:lang w:val="sr-Cyrl-RS" w:eastAsia="ja-JP"/>
        </w:rPr>
        <w:t>2025.</w:t>
      </w:r>
      <w:r w:rsidR="00355050">
        <w:rPr>
          <w:rFonts w:ascii="Calibri" w:eastAsia="MS PGothic" w:hAnsi="Calibri" w:cs="Calibri"/>
          <w:color w:val="44546A"/>
          <w:szCs w:val="20"/>
          <w:lang w:val="sr-Cyrl-RS" w:eastAsia="ja-JP"/>
        </w:rPr>
        <w:t xml:space="preserve"> година</w:t>
      </w:r>
      <w:r w:rsidRPr="00604ED1">
        <w:rPr>
          <w:rFonts w:ascii="Calibri" w:eastAsia="MS PGothic" w:hAnsi="Calibri" w:cs="Calibri"/>
          <w:color w:val="44546A"/>
          <w:szCs w:val="20"/>
          <w:lang w:val="sr-Cyrl-RS" w:eastAsia="ja-JP"/>
        </w:rPr>
        <w:t xml:space="preserve"> усвојила је Скупштина БПШ у децембру 2022. године. Према пословној стратегији, БПШ ће наставити са реализацијом активности са акцентом на даље унапређење и развој у следећим областима: пословање са физичким лицима, предузетницима, микро, малим и средњим правним лицима, јединицама локалне самоуправе, јавним предузећима чији је оснивач Република Србија или аутономна покрајина или јединица локалне самоуправе и привредним друштвима у којима Република Србија или аутономна покрајина или јединица локалне самоуправе има власништво; побољшање интерне организације банке, корпоративног управљања и управљања ризиком; јачање ИТ инфраструктуре.</w:t>
      </w:r>
    </w:p>
    <w:p w14:paraId="26107E94" w14:textId="77128875"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 xml:space="preserve">Како би се омогућило ублажавање економских и финансијских последица, насталих услед пандемије COVID-19, Банка поступа у складу са Законом о утврђивању гарантне шеме као мере подршке привреди за ублажавање последица пандемије болести COVID-19 изазване вирусом SARS-CoV-2 („Службени гласник РС”, бр. 153/20 и 40/21) и Законом о утврђивању друге гарантне шеме као мера додатне подршке привреди услед продуженог негативног утицаја пандемије </w:t>
      </w:r>
      <w:r w:rsidRPr="00604ED1">
        <w:rPr>
          <w:rFonts w:ascii="Calibri" w:eastAsia="MS PGothic" w:hAnsi="Calibri" w:cs="Calibri"/>
          <w:color w:val="44546A"/>
          <w:szCs w:val="20"/>
          <w:lang w:val="sr-Cyrl-RS" w:eastAsia="ja-JP"/>
        </w:rPr>
        <w:lastRenderedPageBreak/>
        <w:t>болести COVID-19 изазване вирусом SARS-CoV-2 („Службени гласник РС”, бр. 40/21 и 129/21).</w:t>
      </w:r>
    </w:p>
    <w:p w14:paraId="61D4B76D" w14:textId="5A1B57F1"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Српска банка. У складу са Владином стратегијом за државне банке, формирана је Стручна радна група за трансформацију Српске банке у специјализовану финансијску институцију за пружање свих врста финансијских услуга и подршке наменској индустрији Републике Србије дана 21. јануара 2019. године и почела је са формалним радом у марту 2019. године када је одржана конститутивна седница. Због наставка пандемије COVID-19, као и кризе изазване ратом у Украјини и текућих активности у оквиру Министарства финансија током кризе, очекује се да ће активности усмерене на трансформацију Српске банке бити настављене током 2023 године.</w:t>
      </w:r>
    </w:p>
    <w:p w14:paraId="388DAB43"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Реформа прописа који уређују српски финансијски систем спроведена је фебруара 2015. године. Једна од карактеристика те реформе јесте и пренос надлежности праћења резултата пословања и рада органа управљања у банкама, друштвима за осигурање и другим финансијским институцијама чији је акционар Република Србија, као и организовање и спровођење поступка продаје акција у њима, са АОД на Министарство финансија, почев од 1. априла 2015. године. Реформом прописа је у домаћу регулативу транспонована и Директива о реструктурирању банака (</w:t>
      </w:r>
      <w:r w:rsidRPr="005644BF">
        <w:rPr>
          <w:rFonts w:ascii="Calibri" w:eastAsia="MS PGothic" w:hAnsi="Calibri" w:cs="Calibri"/>
          <w:i/>
          <w:color w:val="44546A"/>
          <w:szCs w:val="20"/>
          <w:lang w:val="sr-Cyrl-RS" w:eastAsia="ja-JP"/>
        </w:rPr>
        <w:t>Bank Recovery and Resolution Directive – BRRD</w:t>
      </w:r>
      <w:r w:rsidRPr="00604ED1">
        <w:rPr>
          <w:rFonts w:ascii="Calibri" w:eastAsia="MS PGothic" w:hAnsi="Calibri" w:cs="Calibri"/>
          <w:color w:val="44546A"/>
          <w:szCs w:val="20"/>
          <w:lang w:val="sr-Cyrl-RS" w:eastAsia="ja-JP"/>
        </w:rPr>
        <w:t xml:space="preserve">) и функција реструктурирања банака поверена је НБС. У децембру 2016. године усвојен је сет прописа којима се у домаћи регулаторни оквир имплементирају Базел III стандарди, чиме је постигнут значајан степен усклађености домаћих прописа са релевантним прописима ЕУ у овој области, а током 2017. године се наставило са активностима на унапређењу домаћих прописа којима се уређује пословање банака, а у циљу њиховог даљег усклађивања са прописима ЕУ. Основни циљеви усвајања ових прописа су повећање отпорности банкарског сектора повећањем квалитета капитала и увођењем заштитних слојева капитала, боље праћење и контрола изложености банке ризику ликвидности, даље јачање тржишне дисциплине и транспарентности пословања банака у Републици Србији објављивањем свих релевантних информација о пословању банке, као и </w:t>
      </w:r>
      <w:r w:rsidRPr="00604ED1">
        <w:rPr>
          <w:rFonts w:ascii="Calibri" w:eastAsia="MS PGothic" w:hAnsi="Calibri" w:cs="Calibri"/>
          <w:color w:val="44546A"/>
          <w:szCs w:val="20"/>
          <w:lang w:val="sr-Cyrl-RS" w:eastAsia="ja-JP"/>
        </w:rPr>
        <w:t>прилагођавање извештајног система новим регулаторним решењима.</w:t>
      </w:r>
    </w:p>
    <w:p w14:paraId="2DEFFAF0"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Један од ограничавајућих фактора за раст кредитне активности представљао је релативно висок ниво проблематичних кредита. У августу 2015. године усвојена је Стратегија за решавање проблематичних кредита која се спроводи имплементацијом два трогодишња акциона плана, један припремљен од стране Владе и други припремљен од стране НБС, у циљу спуштања нивоа проблематичних кредита. Кључне области имплементације подразумевале су јачање капацитета банака за решавање проблематичних кредита, унапређење регулативе за процену вредности средстава обезбеђења, развој тржишта проблематичних кредита и др.</w:t>
      </w:r>
    </w:p>
    <w:p w14:paraId="6A7A9B9B"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На иницијативу Народне банке Србије, 2014. године усвојен је нови Закон о осигурању на основу кога је током 2014. и 2015. године извршена регулаторна реформа у сектору осигурања, које представља други најважнији сегмент на домаћем финансијском тржишту. Регулаторном реформом створени су предуслови за даљи развој тржишта осигурања кроз имплементацију модерних стандарда прилагођених потребама домаћег тржишта. Нови регулаторни оквир омогућио је, између осталог, позитивне резултате који се огледају у расту укупне премије осигурања на тржишту Републике Србије и даљем развоју финансијског тржишта. Исто тако, реформа прописа у овој области је омогућила увођење квалитетнијих услуга друштава за осигурање и бољу заштиту грађана и привредних субјеката који те услуге користе. У току 2021. усвојене су измене и допуна Закона о осигурању, којима је уређена промена власничких права на друштвеном капиталу у друштвима за осигурање. Постојећим прописима којима се уређује делатност осигурања у Републици Србији створени су предуслови за даљу конвергенцију сектора осигурања у Републици Србији на ниво развијености тог сектора у ЕУ. Значајне промене регулаторног оквира у области надзора делатности осигурања тек се очекују с пуним усклађивањем прописа с Директивом о дистрибуцији осигурања (</w:t>
      </w:r>
      <w:r w:rsidRPr="005644BF">
        <w:rPr>
          <w:rFonts w:ascii="Calibri" w:eastAsia="MS PGothic" w:hAnsi="Calibri" w:cs="Calibri"/>
          <w:i/>
          <w:color w:val="44546A"/>
          <w:szCs w:val="20"/>
          <w:lang w:val="sr-Cyrl-RS" w:eastAsia="ja-JP"/>
        </w:rPr>
        <w:t>Directive (EU) 2016/97 — the Insurance Distribution Directive - IDD</w:t>
      </w:r>
      <w:r w:rsidRPr="00604ED1">
        <w:rPr>
          <w:rFonts w:ascii="Calibri" w:eastAsia="MS PGothic" w:hAnsi="Calibri" w:cs="Calibri"/>
          <w:color w:val="44546A"/>
          <w:szCs w:val="20"/>
          <w:lang w:val="sr-Cyrl-RS" w:eastAsia="ja-JP"/>
        </w:rPr>
        <w:t>) и применом Солвентности II (</w:t>
      </w:r>
      <w:r w:rsidRPr="005644BF">
        <w:rPr>
          <w:rFonts w:ascii="Calibri" w:eastAsia="MS PGothic" w:hAnsi="Calibri" w:cs="Calibri"/>
          <w:i/>
          <w:color w:val="44546A"/>
          <w:szCs w:val="20"/>
          <w:lang w:val="sr-Cyrl-RS" w:eastAsia="ja-JP"/>
        </w:rPr>
        <w:t xml:space="preserve">Directive 2009/138/EC </w:t>
      </w:r>
      <w:r w:rsidRPr="005644BF">
        <w:rPr>
          <w:rFonts w:ascii="Calibri" w:eastAsia="MS PGothic" w:hAnsi="Calibri" w:cs="Calibri"/>
          <w:i/>
          <w:color w:val="44546A"/>
          <w:szCs w:val="20"/>
          <w:lang w:val="sr-Cyrl-RS" w:eastAsia="ja-JP"/>
        </w:rPr>
        <w:lastRenderedPageBreak/>
        <w:t>of the European Parliament and of the Council on taking-up and pursuit of the business of Insurance and Reinsurance</w:t>
      </w:r>
      <w:r w:rsidRPr="00604ED1">
        <w:rPr>
          <w:rFonts w:ascii="Calibri" w:eastAsia="MS PGothic" w:hAnsi="Calibri" w:cs="Calibri"/>
          <w:color w:val="44546A"/>
          <w:szCs w:val="20"/>
          <w:lang w:val="sr-Cyrl-RS" w:eastAsia="ja-JP"/>
        </w:rPr>
        <w:t>).</w:t>
      </w:r>
    </w:p>
    <w:p w14:paraId="7CB08204"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 xml:space="preserve">Од доношења поменуте стратегије, усвојен је и измењен већи број законских и подзаконских аката, унапређен је институционални капацитет и спроведене су бројне мере за лакши отпис и пренос ненаплативих потраживања и то: усвајањем Закона о изменама и допунама Закона о хипотеци (2015. године) чија решења су омогућила реафирмацију вансудског поступка намирења из вредности добијене продајом хипотековане непокретности, али и довела до вишег степена правне и економске сигурности учесника у пословима који подразумевају успостављање хипотеке, као средства обезбеђења потраживања; кроз доношење Закона о проценитељима вредности непокретности (почетак примене закона – јун 2017. године) који је, између осталог, увео нову професију – лиценциране проценитеље вредности непокретности и прописао обавезну процену која се спроводи у случајевима који се односе на Закон о хипотеци и Закон о стечају, као и приликом вршења процена за потребе кредитних послова који су обезбеђени хипотеком; образовање Стручног одбора (стручно тело које треба да допринесе уређењу и унапређењу професије проценитеља вредности непокретности) и доношење Националних стандарда, кодекса етике и правила професионалног понашања лиценцираног проценитеља (првобитни у јулу 2017. године, а ажурирани у априлу 2023. године) који, између осталог, дефинишу основе процене вредности непокретности, поступак вршења процене, претпоставке и чињенице од значаја које се морају узети у обзир приликом израде извештаја процене, минимални садржај извештаја o процени и правила професионалног понашања лиценцираног проценитеља; усвајање измена и допуна Закона о порезу на добит правних лица и Закона о порезу на доходак грађана што је омогућило релаксиранију пореску политику за одобравање и отпис банкарских потраживања (крај 2017. године); усвајање амандмана на Закон о стечају којима је скраћен стечајни поступак и побољшан положај осигураних поверилаца </w:t>
      </w:r>
      <w:r w:rsidRPr="00604ED1">
        <w:rPr>
          <w:rFonts w:ascii="Calibri" w:eastAsia="MS PGothic" w:hAnsi="Calibri" w:cs="Calibri"/>
          <w:color w:val="44546A"/>
          <w:szCs w:val="20"/>
          <w:lang w:val="sr-Cyrl-RS" w:eastAsia="ja-JP"/>
        </w:rPr>
        <w:t>(децембра 2017. године); припрему студије о могућностима увођења банкрота приватних појединаца и предузетника у Републици Србији, усвојен је Закон о изменама Закона о парничном поступку и друго. На основу Закона о проценитељима вредности непокретности и Одлуке о садржају, роковима и начину достављања извештаја о проценама вредности непокретности које су предмет хипотеке и кредитима обезбеђеним хипотеком, НБС од 2015. године води базу података о проценама вредности непокретности које су предмет хипотеке. У складу с поменутим законом и одлуком, банке и лиценцирани проценитељи могу остварити увид у одређене податке о проценама вредности непокретности које су предмет хипотеке. Крајем 2018. године НБС је усвојила сет подзаконских аката реагујући проактивно на све учесталију појаву ненаменског кредитирања становништва по неоправдано дугим роковима. Ови прописи имају за циљ да допринесу спречавању настанка проблематичних кредита у банкарском сектору и подстакну опрезно преузимање ризика од стране банака њиховим усмеравањем на одрживо кредитирање и избегавање прекомерне изложености одређеним врстама кредитних производа, не нарушавајући тренд раста кредитне активности и водећи рачуна о правима и интересима корисника услуга које пружају банке, а све ради очувања и јачања финансијске стабилности у Републици Србији.</w:t>
      </w:r>
    </w:p>
    <w:p w14:paraId="6BCF086C" w14:textId="58FF3F58" w:rsidR="0024160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У циљу унапређења и даљег развоја тржишта капитала, у периоду од 2019. до 2021. године, на предлог Министарства финансија донети су нови следећи закони: Закон о алтернативним инвестиционим фондовима („Сл. гласник РС”, број 73/19) – усвојен у Народној скупштини 10. октобра 2019. године, почео са применом у априлу 2020. године; Закон о отвореним инвестиционим фондовима са јавном понудом („Сл. гласник РС”, број 73/19) - усвојен у Народној скупштини 10. октобра 2019. године, почео са применом у априлу 2020. године; и Закон o тржишту капитала („Сл. гласник РС”, број 129/21) - усвојен у Народној скупштини 23. децембра 2021. године, почео са применом 5. јануара 2023. године.</w:t>
      </w:r>
    </w:p>
    <w:p w14:paraId="532DFD71" w14:textId="77777777" w:rsidR="00241601" w:rsidRDefault="00241601" w:rsidP="002A2551">
      <w:pPr>
        <w:rPr>
          <w:rFonts w:ascii="Calibri" w:eastAsia="MS PGothic" w:hAnsi="Calibri" w:cs="Calibri"/>
          <w:color w:val="44546A"/>
          <w:szCs w:val="20"/>
          <w:lang w:val="sr-Cyrl-RS" w:eastAsia="ja-JP"/>
        </w:rPr>
        <w:sectPr w:rsidR="00241601" w:rsidSect="002A2551">
          <w:type w:val="continuous"/>
          <w:pgSz w:w="12240" w:h="15840"/>
          <w:pgMar w:top="1440" w:right="1440" w:bottom="1440" w:left="1440" w:header="720" w:footer="720" w:gutter="0"/>
          <w:cols w:num="2" w:space="720"/>
          <w:docGrid w:linePitch="360"/>
        </w:sectPr>
      </w:pPr>
    </w:p>
    <w:p w14:paraId="1A78C532" w14:textId="04527E97" w:rsidR="005967FD" w:rsidRPr="00604ED1" w:rsidRDefault="005967FD" w:rsidP="002A2551">
      <w:pPr>
        <w:rPr>
          <w:rFonts w:ascii="Calibri" w:eastAsia="MS PGothic" w:hAnsi="Calibri" w:cs="Calibri"/>
          <w:color w:val="44546A"/>
          <w:szCs w:val="20"/>
          <w:lang w:val="sr-Cyrl-RS" w:eastAsia="ja-JP"/>
        </w:rPr>
      </w:pPr>
    </w:p>
    <w:p w14:paraId="2631DED1" w14:textId="77777777" w:rsidR="005967FD" w:rsidRPr="00604ED1" w:rsidRDefault="005967FD" w:rsidP="002A2551">
      <w:pPr>
        <w:rPr>
          <w:rFonts w:ascii="Calibri" w:eastAsia="MS PGothic" w:hAnsi="Calibri" w:cs="Calibri"/>
          <w:color w:val="44546A"/>
          <w:szCs w:val="20"/>
          <w:lang w:val="sr-Cyrl-RS" w:eastAsia="ja-JP"/>
        </w:rPr>
      </w:pPr>
    </w:p>
    <w:p w14:paraId="623DAE9F"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lastRenderedPageBreak/>
        <w:t>Влада је 27. децембра 2018. године донела Програм за решавање проблематичних кредита за период 2018–2020. године (у даљем тексту: Програм) заједно са Акционим планом за спровођење тог програма чиме је успешно испуњен и реформски циљ унутар програма сарадње са ММФ и зацртан пут за даљи успешан рад на решавању питања проблематичних потраживања.</w:t>
      </w:r>
    </w:p>
    <w:p w14:paraId="7360FA87"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Главни фокус поменутог документа јавне политике представља решавање питања проблематичних пласмана банака у стечају и пласмана у име и за рачун Републике Србије, којима управља АОД. У складу са тим, усвојени су стратешки и годишњи оперативни планови за АОД, Резолуција портфеља проблематичних пласмана, и развијени су унутрашњи капацитети за њихово решавање. У јуну 2019. године, АОД успешно је окончала продају првог, „пилот портфеља”, номиналне вредности од око 242 милиона евра, док је дана 30. септембра 2019. године објавила оглас за уступање другог, „великог портфеља”, номиналне вредности од 1,82 милијарде евра. У складу са Закључком Владе 05 Број: 401-1646/2021 од 25. фебруара 2021. године, Закључком Покрајинске владе 127 Број 422-6/2021 од 3. марта 2021. године и одлукама Одбора поверилаца свих финансијских институција у стечају, чија потраживања су предмет уступања, изабрана је најбоља понуда у поступку уступања портфеља потраживања уз накнаду, методом јавног прикупљања понуда тендером и поступак уступања „великог” портфеља је успешно окончан дана 19. априла 2021. године, потписивањем Оквирних уговора о уступању портфеља потраживања и исплатом накнаде за уступање.</w:t>
      </w:r>
    </w:p>
    <w:p w14:paraId="6A77F50B"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Након успешно спроведена два поступка уступања потраживања, започете су активности на решавању преосталог портфолија, у складу са тачком 2.3.3. Програма и Акционог плана, а којом је дефинисано да је, након спровођења продаје пилот и великог портфеља, потребно предузети низ активности у погледу реализације преосталог потраживања државних поверилаца.</w:t>
      </w:r>
    </w:p>
    <w:p w14:paraId="17008555" w14:textId="3317283D"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 xml:space="preserve">У складу са одлукама Одбора директора и Управног одбора Агенције за осигурање депозита, закључцима Владе и Покрајинске владе, као и </w:t>
      </w:r>
      <w:r w:rsidRPr="00604ED1">
        <w:rPr>
          <w:rFonts w:ascii="Calibri" w:eastAsia="MS PGothic" w:hAnsi="Calibri" w:cs="Calibri"/>
          <w:color w:val="44546A"/>
          <w:szCs w:val="20"/>
          <w:lang w:val="sr-Cyrl-RS" w:eastAsia="ja-JP"/>
        </w:rPr>
        <w:t>одлукама Одбора поверилаца свих финансијских институција чија потраживања су предмет уступања, дана 20.12.2022. године објављен је Оглас за уступање портфеља потраживања уз накнаду, методом јавног прикупљања понуда (шифра Јавног позива: ЈПП-1/22). Портфељ који је предмет уступања, са стањем на дан 30.4.2022. године, укупно износи 317.805.038,18 евра и чине га потраживања Агенције у име и за рачун државе и седам финансијских институција од укупно 497 дужника (653 партије). Поступак уступања портфеља потраживања се спроводи кроз двофазни процес – поступак прелиминарне анализе Портфеља и поступак подношења обавезујућих понуда. Отварање обавезујућих понуда извршено је 27. априла 2023. године, а примљене су четири обавезујуће понуде. Окончање поступка уступања портфеља се очекује до краја 2023. године.</w:t>
      </w:r>
    </w:p>
    <w:p w14:paraId="0A07DBA8" w14:textId="2D48C230"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 xml:space="preserve">Имплементација других мера за решавање проблематичних кредита, како из Стратегије за решавање проблематичних кредита, тако и из горепоменутог Програма, наставља да даје резултате. Захваљујући примени Стратегије за решавање проблематичних кредита, као и другим регулаторним активностима Народне банке Србије, учешће проблематичних кредита у укупним кредитима банкарског сектора у протеклом периоду знатно је смањено, а затим и задржано на рекордно ниском нивоу упркос вишедимензионалној кризи с којом се Република Србија суочава у протекле три године. На крају </w:t>
      </w:r>
      <w:r w:rsidR="00BD368C">
        <w:rPr>
          <w:rFonts w:ascii="Calibri" w:eastAsia="MS PGothic" w:hAnsi="Calibri" w:cs="Calibri"/>
          <w:color w:val="44546A"/>
          <w:szCs w:val="20"/>
          <w:lang w:val="sr-Cyrl-RS" w:eastAsia="ja-JP"/>
        </w:rPr>
        <w:t>јула</w:t>
      </w:r>
      <w:r w:rsidRPr="00604ED1">
        <w:rPr>
          <w:rFonts w:ascii="Calibri" w:eastAsia="MS PGothic" w:hAnsi="Calibri" w:cs="Calibri"/>
          <w:color w:val="44546A"/>
          <w:szCs w:val="20"/>
          <w:lang w:val="sr-Cyrl-RS" w:eastAsia="ja-JP"/>
        </w:rPr>
        <w:t xml:space="preserve"> 2023. године, учешће проблематичних кредита износило је 3,</w:t>
      </w:r>
      <w:r w:rsidR="00B3766C">
        <w:rPr>
          <w:rFonts w:ascii="Calibri" w:eastAsia="MS PGothic" w:hAnsi="Calibri" w:cs="Calibri"/>
          <w:color w:val="44546A"/>
          <w:szCs w:val="20"/>
          <w:lang w:val="sr-Latn-RS" w:eastAsia="ja-JP"/>
        </w:rPr>
        <w:t>1</w:t>
      </w:r>
      <w:r w:rsidRPr="00604ED1">
        <w:rPr>
          <w:rFonts w:ascii="Calibri" w:eastAsia="MS PGothic" w:hAnsi="Calibri" w:cs="Calibri"/>
          <w:color w:val="44546A"/>
          <w:szCs w:val="20"/>
          <w:lang w:val="sr-Cyrl-RS" w:eastAsia="ja-JP"/>
        </w:rPr>
        <w:t>%, чак 19,</w:t>
      </w:r>
      <w:r w:rsidR="005A242E">
        <w:rPr>
          <w:rFonts w:ascii="Calibri" w:eastAsia="MS PGothic" w:hAnsi="Calibri" w:cs="Calibri"/>
          <w:color w:val="44546A"/>
          <w:szCs w:val="20"/>
          <w:lang w:val="sr-Latn-RS" w:eastAsia="ja-JP"/>
        </w:rPr>
        <w:t>2</w:t>
      </w:r>
      <w:r w:rsidRPr="00604ED1">
        <w:rPr>
          <w:rFonts w:ascii="Calibri" w:eastAsia="MS PGothic" w:hAnsi="Calibri" w:cs="Calibri"/>
          <w:color w:val="44546A"/>
          <w:szCs w:val="20"/>
          <w:lang w:val="sr-Cyrl-RS" w:eastAsia="ja-JP"/>
        </w:rPr>
        <w:t xml:space="preserve"> процентн</w:t>
      </w:r>
      <w:r w:rsidR="00EE7449">
        <w:rPr>
          <w:rFonts w:ascii="Calibri" w:eastAsia="MS PGothic" w:hAnsi="Calibri" w:cs="Calibri"/>
          <w:color w:val="44546A"/>
          <w:szCs w:val="20"/>
          <w:lang w:val="sr-Cyrl-RS" w:eastAsia="ja-JP"/>
        </w:rPr>
        <w:t>а</w:t>
      </w:r>
      <w:r w:rsidRPr="00604ED1">
        <w:rPr>
          <w:rFonts w:ascii="Calibri" w:eastAsia="MS PGothic" w:hAnsi="Calibri" w:cs="Calibri"/>
          <w:color w:val="44546A"/>
          <w:szCs w:val="20"/>
          <w:lang w:val="sr-Cyrl-RS" w:eastAsia="ja-JP"/>
        </w:rPr>
        <w:t xml:space="preserve"> поен</w:t>
      </w:r>
      <w:r w:rsidR="00EE7449">
        <w:rPr>
          <w:rFonts w:ascii="Calibri" w:eastAsia="MS PGothic" w:hAnsi="Calibri" w:cs="Calibri"/>
          <w:color w:val="44546A"/>
          <w:szCs w:val="20"/>
          <w:lang w:val="sr-Cyrl-RS" w:eastAsia="ja-JP"/>
        </w:rPr>
        <w:t>а</w:t>
      </w:r>
      <w:r w:rsidRPr="00604ED1">
        <w:rPr>
          <w:rFonts w:ascii="Calibri" w:eastAsia="MS PGothic" w:hAnsi="Calibri" w:cs="Calibri"/>
          <w:color w:val="44546A"/>
          <w:szCs w:val="20"/>
          <w:lang w:val="sr-Cyrl-RS" w:eastAsia="ja-JP"/>
        </w:rPr>
        <w:t xml:space="preserve"> мање него у августу 2015. године, када је усвојена поменута стратегија. То је конкретна потврда да су мере добро дефинисане и да су дале одличне ефекте.</w:t>
      </w:r>
    </w:p>
    <w:p w14:paraId="6A828456" w14:textId="7F67CF5A"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 xml:space="preserve">НБС је деловала и изван оквира Стратегије, попут доношења Одлуке о рачуноводственом отпису билансне активе банке, што је употпунило регулаторне активности. И покривеност проблематичних кредита припадајућим исправкама вредности у складу са међународним рачуноводственим стандардима, која је на нивоу од </w:t>
      </w:r>
      <w:r w:rsidR="004169E8">
        <w:rPr>
          <w:rFonts w:ascii="Calibri" w:eastAsia="MS PGothic" w:hAnsi="Calibri" w:cs="Calibri"/>
          <w:color w:val="44546A"/>
          <w:szCs w:val="20"/>
          <w:lang w:val="sr-Latn-RS" w:eastAsia="ja-JP"/>
        </w:rPr>
        <w:t>57,9</w:t>
      </w:r>
      <w:r w:rsidRPr="00604ED1">
        <w:rPr>
          <w:rFonts w:ascii="Calibri" w:eastAsia="MS PGothic" w:hAnsi="Calibri" w:cs="Calibri"/>
          <w:color w:val="44546A"/>
          <w:szCs w:val="20"/>
          <w:lang w:val="sr-Cyrl-RS" w:eastAsia="ja-JP"/>
        </w:rPr>
        <w:t xml:space="preserve">% на крају </w:t>
      </w:r>
      <w:r w:rsidR="004169E8">
        <w:rPr>
          <w:rFonts w:ascii="Calibri" w:eastAsia="MS PGothic" w:hAnsi="Calibri" w:cs="Calibri"/>
          <w:color w:val="44546A"/>
          <w:szCs w:val="20"/>
          <w:lang w:val="sr-Cyrl-RS" w:eastAsia="ja-JP"/>
        </w:rPr>
        <w:t>другог</w:t>
      </w:r>
      <w:r w:rsidRPr="00604ED1">
        <w:rPr>
          <w:rFonts w:ascii="Calibri" w:eastAsia="MS PGothic" w:hAnsi="Calibri" w:cs="Calibri"/>
          <w:color w:val="44546A"/>
          <w:szCs w:val="20"/>
          <w:lang w:val="sr-Cyrl-RS" w:eastAsia="ja-JP"/>
        </w:rPr>
        <w:t xml:space="preserve"> квартала 2023. године, недвосмислено, уз све друге показатеље здравља </w:t>
      </w:r>
      <w:r w:rsidRPr="00604ED1">
        <w:rPr>
          <w:rFonts w:ascii="Calibri" w:eastAsia="MS PGothic" w:hAnsi="Calibri" w:cs="Calibri"/>
          <w:color w:val="44546A"/>
          <w:szCs w:val="20"/>
          <w:lang w:val="sr-Cyrl-RS" w:eastAsia="ja-JP"/>
        </w:rPr>
        <w:lastRenderedPageBreak/>
        <w:t>финансијског система, потврђује стабилност нашег банкарског сектора.</w:t>
      </w:r>
    </w:p>
    <w:p w14:paraId="2C1BBBF3"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Стварањем стабилних услова пословања, наша економија је ушла у инвестициони циклус 2015. године, и од тада инвестиције по обиму представљају добар део раста економије. Профитабилност привреде расте у условима релативно стабилног курса. Све су то били кључни фактори за одрживо решавање питања проблематичних кредита. То се јасно види и из чињенице да је у гранама које су и носиоци нашег раста, забележен и највећи пад проблематичних кредита – што је евидентно у прерађивачкој индустрији и грађевинарству.</w:t>
      </w:r>
    </w:p>
    <w:p w14:paraId="3F06118D"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Осигурање депозита је механизам који доприноси очувању финансијске стабилности и обезбеђује заштиту депонената. Систем осигурања депозита обезбеђује да се сваком заштићеном депоненту исплати целокупан износ улога у свакој банци до осигураног износа од 50.000 евра у случају стечаја или ликвидације банке. Осигурање депозита регулисано је Законом о осигурању депозита.</w:t>
      </w:r>
    </w:p>
    <w:p w14:paraId="66DC1182"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У октобру 2019. године, усвојен је Закон о изменама и допунама Закона о осигурању депозита из 2019. године, којим се настојало да се систем осигурања депозита додатно усклади са најбољом међународном праксом и стандардима, као и правним тековинама ЕУ и то у погледу: метода обрачуна премије (увођење могућности обрачуна премије на основу нивоа ризика у пословању банака), основице за обрачун премије, висине ванредне премије, заштите депонената спојених или припојених банака, циљног износа фонда за осигурање депозита и др, све са циљем доприноса финансијској стабилности кроз подстицај смањењу ризика у пословању банака, јачање поверења јавности у финансијски систем и повећање ефикасности система осигурања депозита.</w:t>
      </w:r>
    </w:p>
    <w:p w14:paraId="2398866A"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 xml:space="preserve">Уважавајући одредбе Закона о изменама и допунама Закона о осигурању депозита, премија осигурања депозита се почев од наплате премије за први квартал 2020. године обрачунава на измењену основицу, односно на основу просечног стања укупних осигураних износа до 50.000 евра (осигурањем покривени износ депозита) у банци у </w:t>
      </w:r>
      <w:r w:rsidRPr="00604ED1">
        <w:rPr>
          <w:rFonts w:ascii="Calibri" w:eastAsia="MS PGothic" w:hAnsi="Calibri" w:cs="Calibri"/>
          <w:color w:val="44546A"/>
          <w:szCs w:val="20"/>
          <w:lang w:val="sr-Cyrl-RS" w:eastAsia="ja-JP"/>
        </w:rPr>
        <w:t>претходном тромесечју, уместо на основу просечног стања укупних осигураних депозита. Овом изменом, смањене су обавезе банака по основу плаћања премије осигурања депозита у просеку за око 30%, чиме се посредно омогућила већа инвестициона активност банака.</w:t>
      </w:r>
    </w:p>
    <w:p w14:paraId="2D695059"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Како је законом уведена и могућност обрачуна премије на основу нивоа ризика у пословању банака, прописана је обавеза Агенцији да донесе Методологију за обрачун премије осигурања депозита на основу нивоа ризика у пословању банака у року од годину дана од дана ступања на снагу овог закона. Управни одбор Агенције усвојио је текст Методологије 15. октобра 2020. године уз претходну сагласност НБС, чиме је испуњена законска обавеза у прописаном року, а посебном одлуком Управног одбора Агенције ће се одлучити о почетку примене Методологије.</w:t>
      </w:r>
    </w:p>
    <w:p w14:paraId="3C3C36E1"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У систему осигурања депозита Република Србија је ултимативни гарант исплате осигураних депозита. У сврху обезбеђивања средстава за осигурање депозита АОД наплаћује премију осигурања депозита од банака за рачун Фонда за осигурање депозита, управља имовином фонда и исплаћује депозите до осигураног износа у случају стечаја или ликвидације банке. Додатно, средства фонда се могу користити и за финансирање поступка реструктурирања банака у обиму и под условима утврђеним законом којим се уређују банке. У случају недостајућих средстава у фонду за осигурање депозита, Република Србија обезбеђује исплату било средствима из буџета, било давањем гаранције за задуживање АОД.</w:t>
      </w:r>
    </w:p>
    <w:p w14:paraId="6D1239B1"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 xml:space="preserve">Влада је дана 24. марта 2020. године донела Уредбу о улагању за време ванредног стања девизних средстава којима управља Агенција за осигурање депозита, којом је прописано да за време ванредног стања насталог услед болести COVID-19 изазване вирусом SARS-CoV-2 Агенција може улагати више од четвртине девизних средстава Фонда у девизне дужничке хартије од вредности које издаје Република Србија. У складу с Уредбом, Агенција је у року од годину дана од дана престанка ванредног стања (до 6. маја 2021. године) износ девизних средстава Фонда уложених у девизне дужничке хартије од вредности које издаје Република Србија, </w:t>
      </w:r>
      <w:r w:rsidRPr="00604ED1">
        <w:rPr>
          <w:rFonts w:ascii="Calibri" w:eastAsia="MS PGothic" w:hAnsi="Calibri" w:cs="Calibri"/>
          <w:color w:val="44546A"/>
          <w:szCs w:val="20"/>
          <w:lang w:val="sr-Cyrl-RS" w:eastAsia="ja-JP"/>
        </w:rPr>
        <w:lastRenderedPageBreak/>
        <w:t>ускладила на ниво законског лимита од 1/4 укупних девизних средстава Фонда.</w:t>
      </w:r>
    </w:p>
    <w:p w14:paraId="6F3C20FA"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Гаранција исплате осигураних депозита од стране државе, било директно средствима из буџета, или индиректно издавањем гаранција за задуживање АОД, извор је фискалних ризика и могућих фискалних трошкова. Међутим, захваљујући постигнутој стабилности банкарског сектора, од 2015. године није било потребе за коришћењем средстава фонда за осигурање депозита, нити државе по основу исплата осигураних износа депозита.</w:t>
      </w:r>
    </w:p>
    <w:p w14:paraId="70CA0364"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Умањење фискалних ризика по овом основу зависи од стабилности и одрживости банкарског система. Надзор над банкарским системом, обазривост у пласирању средстава и унапређење квалитета имовине банака су основни стубови стабилног банкарског система.</w:t>
      </w:r>
    </w:p>
    <w:p w14:paraId="10F0F4D0" w14:textId="2A73E07A"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Остварени резултати банкарског сектора Републике Србије у 2021. години приказују растућу профитабилност банака. Банкарски сектор Републике Србије је у 2021. години пословао профитабилно, са нето добитком пре опорезивања у износу од 53,9 милијарди динара, што је за 17% више од позитивног резултата оствареног у 2020. години када је нето добитак пре опорезивања износио 46,1 милијарди динара. Банкарски сектор Србије остварио је позитиван финансијски резултат у 2022. години. Нето добитак пре опорезивања на нивоу банкарског сектора у 2022. износио је 99,6 млрд динара, што је за 45,8 млрд динара (или 84,9%) више него претходне године.</w:t>
      </w:r>
      <w:r>
        <w:rPr>
          <w:rFonts w:ascii="Calibri" w:eastAsia="MS PGothic" w:hAnsi="Calibri" w:cs="Calibri"/>
          <w:color w:val="44546A"/>
          <w:szCs w:val="20"/>
          <w:lang w:val="sr-Cyrl-RS" w:eastAsia="ja-JP"/>
        </w:rPr>
        <w:t xml:space="preserve"> </w:t>
      </w:r>
      <w:r w:rsidRPr="00604ED1">
        <w:rPr>
          <w:rFonts w:ascii="Calibri" w:eastAsia="MS PGothic" w:hAnsi="Calibri" w:cs="Calibri"/>
          <w:color w:val="44546A"/>
          <w:szCs w:val="20"/>
          <w:lang w:val="sr-Cyrl-RS" w:eastAsia="ja-JP"/>
        </w:rPr>
        <w:t xml:space="preserve">Банкарски сектор Републике Србије адекватно је капитализован како са становишта оствареног нивоа показатеља адекватности капитала тако и са становишта структуре регулаторног капитала. </w:t>
      </w:r>
      <w:r w:rsidR="00B3766C" w:rsidRPr="00B3766C">
        <w:rPr>
          <w:rFonts w:ascii="Calibri" w:eastAsia="MS PGothic" w:hAnsi="Calibri" w:cs="Calibri"/>
          <w:color w:val="44546A"/>
          <w:szCs w:val="20"/>
          <w:lang w:val="sr-Cyrl-RS" w:eastAsia="ja-JP"/>
        </w:rPr>
        <w:t>На крају 2020. и 2021. године, просечна вредност показатеља адекватности капитала на нивоу банкарског сектора Републике Србије износила је 22,42%, односно 20,8%. Током 2022. године очувана је висока адекватност капитала банкарског сектора (показатељ адекватности капитала износи 20,2%), уз повољну структуру капитала (скоро 95% чини најквалитетнији основни акцијски капитал)</w:t>
      </w:r>
      <w:r w:rsidRPr="00604ED1">
        <w:rPr>
          <w:rFonts w:ascii="Calibri" w:eastAsia="MS PGothic" w:hAnsi="Calibri" w:cs="Calibri"/>
          <w:color w:val="44546A"/>
          <w:szCs w:val="20"/>
          <w:lang w:val="sr-Cyrl-RS" w:eastAsia="ja-JP"/>
        </w:rPr>
        <w:t xml:space="preserve">. На крају другог тромесечја 2023. године показатељ адекватности капитала на нивоу банкарског </w:t>
      </w:r>
      <w:r w:rsidRPr="00604ED1">
        <w:rPr>
          <w:rFonts w:ascii="Calibri" w:eastAsia="MS PGothic" w:hAnsi="Calibri" w:cs="Calibri"/>
          <w:color w:val="44546A"/>
          <w:szCs w:val="20"/>
          <w:lang w:val="sr-Cyrl-RS" w:eastAsia="ja-JP"/>
        </w:rPr>
        <w:t>сектора износио је 22,3%, што је значајно изнад прописаног регулаторног минимума од 8% и више него довољно за покриће свих ризика којима је сектор изложен, што потврђују и макропруденцијални стрес тестови које НБС редовно спроводи.</w:t>
      </w:r>
    </w:p>
    <w:p w14:paraId="06EC8F2E" w14:textId="47BE7EA8"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Имајући у виду ситуацију насталу проглашењем ванредног стања у Републици Србији, како би се омогућило ублажавање економских и финансијских последица насталих услед пандемије COVID-19 предузете су мере подршке привреди које су имале за циљ повећање ликвидности привредних субјеката. Једна од мера јесте била и доношење Уредбе о утврђивању гарантне шеме као мера подршке привреди за ублажавање последица пандемије болести COVID-19 изазване вирусом SARS-CоV-2. Овом уредбом је конституисано утврђивање националне гарантне шеме. Повећање ликвидности привредних субјеката кроз механизам гарантовања Републике Србије за кредите које банке одобравају привредним субјектима за финансирање ликвидности и обртних средстава, а које се омогућава закључењем Уговора о гаранцији Републике Србије за кредитирање привреде с циљем ублажавања негативних последица пандемије болести COVID-19 изазване вирусом SARS-CoV-2, јесте мера која у себи сублимира изузетно важан и нужан механизам ефеката за сва лица са седиштем у Републици Србији укључујући и пољопривредна газдинства, која су регистрована у АПР и класификована као предузетник, или микро, мало и средње привредно друштво у складу са законом којим се уређује рачуноводство, а чија је ликвидност предуслов функционисања привреде Републике Србије.</w:t>
      </w:r>
    </w:p>
    <w:p w14:paraId="3C3D935B"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Банке могу да за реализацију кредита пласирају износ до две милијарде евра, при чему је износ од једне милијарде евра, односно износ иницијалног максималног осигураног портфолија по банкама утврђен сходно тржишном учешћу банке према извештају НБС на дан 29. фебруар 2020. године.</w:t>
      </w:r>
    </w:p>
    <w:p w14:paraId="214AD404" w14:textId="79F3243F"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 xml:space="preserve">С обзиром на чињеницу да је преко пословних банака, до краја новембра 2020. године, привреди пласирано око 1,5 милијарди евра, од укупно расположиве две милијарде евра, а да је Уредбом </w:t>
      </w:r>
      <w:r w:rsidRPr="00604ED1">
        <w:rPr>
          <w:rFonts w:ascii="Calibri" w:eastAsia="MS PGothic" w:hAnsi="Calibri" w:cs="Calibri"/>
          <w:color w:val="44546A"/>
          <w:szCs w:val="20"/>
          <w:lang w:val="sr-Cyrl-RS" w:eastAsia="ja-JP"/>
        </w:rPr>
        <w:lastRenderedPageBreak/>
        <w:t>било прописано да уговор о кредиту мора бити закључен најкасније до 31. децембра 2020. године, као и да уговор o кредиту мора бити пуштен у течај најкасније до 31. јануара 2021. године, јавила се потреба за продужењем рока до када уговор о кредиту мора бити закључен, односно до када уговор o кредиту мора бити пуштен у течај.</w:t>
      </w:r>
    </w:p>
    <w:p w14:paraId="4EB45BA5"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У складу са тим, Народној скупштини предложено је доношење Закона о утврђивању гарантне шеме као мере подршке привреди за ублажавање последица пандемије болести COVID-19 изазване вирусом SARS-CoV-2, који је донет на седници одржаној дана 17. децембра 2020. године и исти је објављен у „Службеном гласнику Републике Србије” број 153/20 од 21. децембра 2020. године. Република Србија је препознала потребу за одобравањем додатних 500 милиона евра помоћи, у циљу одржавања ликвидности чиме ће укупан износ средстава пласираних путем I гарантне шеме достићи износ од 2.5 милијарде евра. С тим у вези, донет је Закон о изменама Закона о утврђивању гарантне шеме као мера подршке привреди за ублажавање последица пандемије болести COVID-19 изазване вирусом SARS-CoV-2 („Службени гласник РС”, број 40/21), којим је, између осталог, продужен рок за пуштање кредита у течај најкасније до 31. јула 2022. године.</w:t>
      </w:r>
    </w:p>
    <w:p w14:paraId="782C99A3"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 xml:space="preserve">Уговор о гаранцији Републике Србије за кредитирање привреде с циљем ублажавања негативних последица пандемије болести COVID-19 изазване вирусом SARS-CoV-2 са Републиком Србијом и НБС до сада су потписале 24 банке. Република Србија је пласирала Банкама предвиђених 2,5 милијарди евра, док су Банке, до 31. јула 2022. године, пласирале клијентима око 2,49 милијарди евра. Истовремено, Република Србија је препознала потребу за додатну помоћ најугроженијим предузећима која имају пад пословних прихода већи од 20% у 2020. години, у односу на исти период у 2019. години, те је 22. априла 2021. године донет Закон о утврђивању друге гарантне шеме као мере додатне подршке привреди услед продуженог негативног утицаја пандемије болести COVID-19 изазване вирусом SARS-CoV-2 („Службени гласник РС”, број 40/21) чиме је одобрено додатних 500 милиона евра </w:t>
      </w:r>
      <w:r w:rsidRPr="00604ED1">
        <w:rPr>
          <w:rFonts w:ascii="Calibri" w:eastAsia="MS PGothic" w:hAnsi="Calibri" w:cs="Calibri"/>
          <w:color w:val="44546A"/>
          <w:szCs w:val="20"/>
          <w:lang w:val="sr-Cyrl-RS" w:eastAsia="ja-JP"/>
        </w:rPr>
        <w:t>помоћи. У децембру 2021. године донет је Закон о измени и допуни Закона о утврђивању друге гарантне шеме као мера додатне подршке привреди услед продуженог негативног утицаја пандемије болести COVID-19 изазване вирусом SARS-CоV-2 („Службени гласник РС”, број 129/21), којим је предвиђен изузетак да кориснику кредита који спада у предузетнике, микро, мала и средња предузећа која послују у секторима путничког транспорта, угоститељства, туристичких агенција и хотелијерства у градовима, може бити одобрен кредит обезбеђен гаранцијом, у складу са овим законом, и када је укупан износ кредита који је одобрен на основу Закона о утврђивању прве гарантне шеме и кредита одобреног на основу овог закона већи од прописаних прагова и ако су испуњени услови да је корисник превремено и у целости измирио обавезе по кредиту обезбеђеном гаранцијом у складу са Законом о утврђивању прве гарантне шеме, као и да је максимални износ кредита обезбеђеног гаранцијом износ који је једнак мањем од два износа утврђених овим законом.</w:t>
      </w:r>
    </w:p>
    <w:p w14:paraId="620EF41B" w14:textId="24C7E5A1"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Услед смањеног одобравања кредита у оквиру друге гарантне шеме, као и евидентно продуженог негативног утицаја пандемије COVID-19, те да је, услед ратних дешавања у Украјини, дошло до промене околности које се нису могле предвидети избијањем пандемије COVID-19, а које паралелно негативно утичу на привредну активност, предвиђена је могућност рефинансирања кредита из прве гаранте шеме кредитима из друге гарантне шеме, привредним субјектима код којих је дошло до смањења или обуставе пословних активности везаних за извоз и увоз роба и услуга на тржишта Украјине, Русије или Белорусије. Рок за пуштање средстава у оквиру друге гарантне шеме истекао је 31. јула 2022. године, а евентуално продужавање прописаних законских рокова условљено је покретањем поступка измене Закона о утврђивању друге гарантне шеме као мера додатне подршке привреди услед продуженог негативног утицаја пандемије болести COVID-19. У оквиру друге гарантне шеме банке су пласирале клијентима до краја јула 2022. године ЕУР 52,4 милиона.</w:t>
      </w:r>
    </w:p>
    <w:p w14:paraId="72B78D3E"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 xml:space="preserve">У складу са изнетим, пројекције фискалних бруто одлива буџета Републике Србије, а на основу </w:t>
      </w:r>
      <w:r w:rsidRPr="00604ED1">
        <w:rPr>
          <w:rFonts w:ascii="Calibri" w:eastAsia="MS PGothic" w:hAnsi="Calibri" w:cs="Calibri"/>
          <w:color w:val="44546A"/>
          <w:szCs w:val="20"/>
          <w:lang w:val="sr-Cyrl-RS" w:eastAsia="ja-JP"/>
        </w:rPr>
        <w:lastRenderedPageBreak/>
        <w:t>модела развијеног у сарадњи са ММФ-ом, по основу предметне националне Гарантне шеме износе 60 милиона евра за 2023. годину, 14 милион евра за 2024. годину и 2 милиона евра за 2025. годину. Пројекција фискалног бруто одлива буџета Републике Србије по основу друге Гарантне шеме износи 1,8 милиона евра за 2024. годину, и 1,4 милиона евра за 2025. годину. По основу обе гарантне шеме реализовано је 2,54 милијарде евра кредита, док је на име активираних гаранција на дан 31. август 2023. године исплаћено 56,6 милиона евра. На исти пресечни датум на име протестованих гаранција, по обе гарантне шеме, наплаћено је ЕУР 2,36 милиона.</w:t>
      </w:r>
    </w:p>
    <w:p w14:paraId="06B270C6"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Што се тиче других финансијских институција, Република Србија има директан удео у капиталу Компаније Дунав осигурање а.д.о. Београд (у даљем тексту: Дунав осигурање) и Дунав Ре а.д.о. Београд (у даљем тексту. Дунав Ре, као и у Националној корпорацији за осигурање стамбених кредита (у даљем тексту: Корпорација).</w:t>
      </w:r>
    </w:p>
    <w:p w14:paraId="069D091E"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Успешним и ефикасним спровођењем одредаба закона који је усвојен крајем априла 2021. године – Закона о измени и допунама Закона о осигурању („Службени гласник РС”, број 44/21), а који је био основ за промену власничких права на друштвеном капиталу у друштвима за осигурање, директно учешће Републике Србије у капиталу Дунав је порасло на 76,70%. Такође, како је и у укупном капиталу Дунав Ре постојало мање учешће друштвеног капитала, након промене власничких права у складу са наведеним законом Република Србија је стекла директно учешће од око 4,76% у Дунав Ре.</w:t>
      </w:r>
    </w:p>
    <w:p w14:paraId="51736551" w14:textId="703A4E8B"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 xml:space="preserve">Иначе, до краја 2014. године учешће друштвеног капитала у укупном капиталу Дунав осигурања је износило 94,61%, што је имало неповољан утицај на пословање Дунав осигурања (пре свега кроз компликовану управљачку структуру), на шта су указивали и ревизорски извештаји за 2012. и 2013. годину у којима је изражено мишљење ревизора са резервом. Имајући у виду значај Дунав осигурања на тржишту осигурања (највећа осигуравајућа компанија), Република Србија је у децембру 2014. године извршила докапитализацију Дунав осигурања са 4,8 милијарди динара, чиме је учешће друштвеног </w:t>
      </w:r>
      <w:r w:rsidRPr="00604ED1">
        <w:rPr>
          <w:rFonts w:ascii="Calibri" w:eastAsia="MS PGothic" w:hAnsi="Calibri" w:cs="Calibri"/>
          <w:color w:val="44546A"/>
          <w:szCs w:val="20"/>
          <w:lang w:val="sr-Cyrl-RS" w:eastAsia="ja-JP"/>
        </w:rPr>
        <w:t>капитала сведено на 51,86%. Последњих година пословање Дунав осигурања је стабилно, уз константно побољшање већине показатеља. Приметан је тренд раста добити из године у годину (и редовна исплата дивиденди). Дунав осигурање није имало негативних последица у пословању (гледајући кроз најзначајније показатеље) због болести COVID-19. Као највећи изазов у предстојећем периоду истиче се усклађивање (организационо, управљачки, капитално итд.) са новим регулаторним стандардом Солвентност 2 које очекује све учеснике на тржишту осигурања у Републици Србији.</w:t>
      </w:r>
    </w:p>
    <w:p w14:paraId="5302AEB7"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Законом о Националној корпорацији за осигурање стамбених кредита („Службени гласник РС”, број 55/04) основана је Корпорација, као правно лице специјализовано за осигурање потраживања по основу стамбених кредита које одобравају банке и друге финансијске организације, која су обезбеђена хипотеком, као и за обављање других послова у вези са тим осигурањем. Оснивач Корпорације је Република Србија која има директно учешће од 100% у капиталу Корпорације (законом је остављена могућност да се Корпорација организује као акционарско друштво, с тим да вредност државног капитала у укупном капиталу Корпорације не може да буде мање од 51%). Законом је, такође, утврђено да укупан номинални износ обавеза Корпорације које произилазе из обављања делатности Корпорације може бити највише до 16 пута већи од износа капитала Корпорације, али и да Влада може да, на образложен захтев Корпорације, да сагласност за повећање обима обавеза Корпорације које произилазе из обављања делатности Корпорације и за преко 16 пута од капитала Корпорације, за одређени временски период.</w:t>
      </w:r>
    </w:p>
    <w:p w14:paraId="28F5779A"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 xml:space="preserve">Од самог оснивања, Корпорација је имала значајан утицај у креирању тржишних услова и стандарда кредитирања, што је било нужно да би се хипотекарно тржиште уопште развило. То је довело до смањења ризика и обезбеђења интереса, како кредитора, тако и зајмотражилаца, кроз снижавање каматних стопа, што је довело да раста тражње за стамбеним непокретностима (са позитивним ефектом на грађевинску индустрију) и </w:t>
      </w:r>
      <w:r w:rsidRPr="00604ED1">
        <w:rPr>
          <w:rFonts w:ascii="Calibri" w:eastAsia="MS PGothic" w:hAnsi="Calibri" w:cs="Calibri"/>
          <w:color w:val="44546A"/>
          <w:szCs w:val="20"/>
          <w:lang w:val="sr-Cyrl-RS" w:eastAsia="ja-JP"/>
        </w:rPr>
        <w:lastRenderedPageBreak/>
        <w:t>тиме допринело повећању броја станова купљених на кредит.</w:t>
      </w:r>
    </w:p>
    <w:p w14:paraId="6BFA0F9B" w14:textId="77777777" w:rsidR="005967FD" w:rsidRPr="00604ED1"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У протеклом периоду, није вршена докапитализација Корпорације из средстава буџета Републике Србије, већ је повећање капитала вршено из остварене добити Корпорације. Међутим, како повећање капитала није пратило раст осигураних кредита, Влада је, у складу са законом, сваке године давала сагласност за повећање обима обавеза Корпорације које произилазе из обављања делатности Корпорације и за преко 16 пута од капитала Корпорације. Ово повећање се из године у годину смањује (нпр. за 2015. годину обим обавеза Корпорације које произилазе из обављања делатности Корпорације је могао да буде до 30 пута већи од капитала Корпорације, док за 2023. годину може да износи до 18 пута више од капитала Корпорације) тако да се може очекивати да у наредном периоду укупан номинални износ обавеза Корпорације које произилазе из обављања делатности Корпорације буде у законским оквирима (до 16 пута већи од износа капитала Корпорације).</w:t>
      </w:r>
    </w:p>
    <w:p w14:paraId="7335A424" w14:textId="17013FD9" w:rsidR="005967FD" w:rsidRDefault="005967FD" w:rsidP="002A2551">
      <w:pPr>
        <w:rPr>
          <w:rFonts w:ascii="Calibri" w:eastAsia="MS PGothic" w:hAnsi="Calibri" w:cs="Calibri"/>
          <w:color w:val="44546A"/>
          <w:szCs w:val="20"/>
          <w:lang w:val="sr-Cyrl-RS" w:eastAsia="ja-JP"/>
        </w:rPr>
      </w:pPr>
      <w:r w:rsidRPr="00604ED1">
        <w:rPr>
          <w:rFonts w:ascii="Calibri" w:eastAsia="MS PGothic" w:hAnsi="Calibri" w:cs="Calibri"/>
          <w:color w:val="44546A"/>
          <w:szCs w:val="20"/>
          <w:lang w:val="sr-Cyrl-RS" w:eastAsia="ja-JP"/>
        </w:rPr>
        <w:t>Као потенцијални ризик се појављује велики број тужби клијената против банака у вези са плаћањем премије осигурања Корпорацији. Иако Корпорација није тужена страна, нити Република Србија гарантује за обавезе Корпорације (Корпорација гарантује за своје обавезе до висине свог капитала), потенцијално негативан исход ових спорова може да утиче на евентуалну потребу одређених издатака из буџета. Такође, услед промењених тржишних услова дошло је до спорова са одређеним бројем банака (отказ уговора са Корпорацијом од стране банака), што доводи до значајног смањења осигураних кредита, а тиме и до смањења прихода Корпорације. Имајући у виду дугорочност потенцијалних обавеза које Корпорација преузима (осигурање потраживања по основу стамбених кредита који се одобравају на период и од 30 година), наставак тренда значајног смањења осигураних кредита исто може да утиче на евентуалну потребу одређених издатака из буџета у будућности.</w:t>
      </w:r>
    </w:p>
    <w:p w14:paraId="25FB1EC2" w14:textId="77777777" w:rsidR="00FC02C8" w:rsidRPr="00604ED1" w:rsidRDefault="00FC02C8" w:rsidP="002A2551">
      <w:pPr>
        <w:rPr>
          <w:rFonts w:ascii="Calibri" w:eastAsia="MS PGothic" w:hAnsi="Calibri" w:cs="Calibri"/>
          <w:color w:val="44546A"/>
          <w:szCs w:val="20"/>
          <w:lang w:val="sr-Cyrl-RS" w:eastAsia="ja-JP"/>
        </w:rPr>
      </w:pPr>
    </w:p>
    <w:p w14:paraId="6BE6FC93" w14:textId="77777777" w:rsidR="005967FD" w:rsidRPr="00604ED1" w:rsidRDefault="005967FD" w:rsidP="002A2551">
      <w:pPr>
        <w:rPr>
          <w:rFonts w:cstheme="minorHAnsi"/>
          <w:b/>
          <w:bCs/>
          <w:color w:val="2F5496" w:themeColor="accent1" w:themeShade="BF"/>
          <w:sz w:val="22"/>
          <w:szCs w:val="20"/>
          <w:lang w:val="sr-Cyrl-RS"/>
        </w:rPr>
      </w:pPr>
      <w:r w:rsidRPr="00604ED1">
        <w:rPr>
          <w:rFonts w:cstheme="minorHAnsi"/>
          <w:b/>
          <w:bCs/>
          <w:color w:val="2F5496" w:themeColor="accent1" w:themeShade="BF"/>
          <w:sz w:val="22"/>
          <w:szCs w:val="20"/>
          <w:lang w:val="sr-Cyrl-RS"/>
        </w:rPr>
        <w:t>Судски поступци</w:t>
      </w:r>
    </w:p>
    <w:p w14:paraId="17748B37" w14:textId="2701160F" w:rsidR="005967FD" w:rsidRDefault="005967FD" w:rsidP="002A2551">
      <w:pPr>
        <w:rPr>
          <w:rFonts w:eastAsia="MS PGothic" w:cstheme="minorHAnsi"/>
          <w:szCs w:val="20"/>
          <w:lang w:val="sr-Cyrl-RS" w:eastAsia="ja-JP"/>
        </w:rPr>
      </w:pPr>
      <w:r w:rsidRPr="00604ED1">
        <w:rPr>
          <w:rFonts w:eastAsia="MS PGothic" w:cstheme="minorHAnsi"/>
          <w:szCs w:val="20"/>
          <w:lang w:val="sr-Cyrl-RS" w:eastAsia="ja-JP"/>
        </w:rPr>
        <w:t>Услед бројних судских поступака, пред домаћим и међународним судовима, где је терет плаћања на Републици Србији као туженој страни, идентификовани су различити фискални ризици који постоје услед неизвесности у вези са исходом ових процеса.</w:t>
      </w:r>
    </w:p>
    <w:p w14:paraId="667217AC" w14:textId="77777777" w:rsidR="00981E8E" w:rsidRPr="00981E8E" w:rsidRDefault="00981E8E" w:rsidP="00981E8E">
      <w:pPr>
        <w:spacing w:line="256" w:lineRule="auto"/>
        <w:rPr>
          <w:rFonts w:ascii="Calibri" w:eastAsia="MS PGothic" w:hAnsi="Calibri" w:cs="Calibri"/>
          <w:color w:val="auto"/>
          <w:szCs w:val="20"/>
          <w:lang w:val="sr-Cyrl-CS" w:eastAsia="ja-JP"/>
        </w:rPr>
      </w:pPr>
      <w:r w:rsidRPr="00981E8E">
        <w:rPr>
          <w:rFonts w:ascii="Calibri" w:eastAsia="MS PGothic" w:hAnsi="Calibri" w:cs="Calibri"/>
          <w:color w:val="auto"/>
          <w:szCs w:val="20"/>
          <w:lang w:val="sr-Cyrl-CS" w:eastAsia="ja-JP"/>
        </w:rPr>
        <w:t>У периоду од 2017. до 2022. године, учешће решених предмета у укупном броју предмета износи 30,</w:t>
      </w:r>
      <w:r w:rsidRPr="00981E8E">
        <w:rPr>
          <w:rFonts w:ascii="Calibri" w:eastAsia="MS PGothic" w:hAnsi="Calibri" w:cs="Calibri"/>
          <w:color w:val="auto"/>
          <w:szCs w:val="20"/>
          <w:lang w:val="sr-Latn-RS" w:eastAsia="ja-JP"/>
        </w:rPr>
        <w:t>6</w:t>
      </w:r>
      <w:r w:rsidRPr="00981E8E">
        <w:rPr>
          <w:rFonts w:ascii="Calibri" w:eastAsia="MS PGothic" w:hAnsi="Calibri" w:cs="Calibri"/>
          <w:color w:val="auto"/>
          <w:szCs w:val="20"/>
          <w:lang w:val="sr-Cyrl-CS" w:eastAsia="ja-JP"/>
        </w:rPr>
        <w:t xml:space="preserve">% просечно годишње. </w:t>
      </w:r>
    </w:p>
    <w:p w14:paraId="42030F54" w14:textId="77777777" w:rsidR="00981E8E" w:rsidRPr="00981E8E" w:rsidRDefault="00981E8E" w:rsidP="00981E8E">
      <w:pPr>
        <w:spacing w:line="256" w:lineRule="auto"/>
        <w:rPr>
          <w:rFonts w:ascii="Calibri" w:eastAsia="MS PGothic" w:hAnsi="Calibri" w:cs="Calibri"/>
          <w:color w:val="44546A"/>
          <w:szCs w:val="20"/>
          <w:lang w:val="sr-Cyrl-CS" w:eastAsia="ja-JP"/>
        </w:rPr>
      </w:pPr>
      <w:r w:rsidRPr="00981E8E">
        <w:rPr>
          <w:rFonts w:ascii="Calibri" w:eastAsia="MS PGothic" w:hAnsi="Calibri" w:cs="Calibri"/>
          <w:color w:val="auto"/>
          <w:szCs w:val="20"/>
          <w:lang w:val="sr-Cyrl-CS" w:eastAsia="ja-JP"/>
        </w:rPr>
        <w:t>На дан 31.12.2020. године је против Републике Србије и свих корисника јавних средстава било укупно 324.253 активних предмета, на исти дан 2021. године 267.502 активна предмета, а на дан 31.12.2022. године 306.</w:t>
      </w:r>
      <w:r w:rsidRPr="00981E8E">
        <w:rPr>
          <w:rFonts w:ascii="Calibri" w:eastAsia="MS PGothic" w:hAnsi="Calibri" w:cs="Calibri"/>
          <w:color w:val="auto"/>
          <w:szCs w:val="20"/>
          <w:lang w:eastAsia="ja-JP"/>
        </w:rPr>
        <w:t>7</w:t>
      </w:r>
      <w:r w:rsidRPr="00981E8E">
        <w:rPr>
          <w:rFonts w:ascii="Calibri" w:eastAsia="MS PGothic" w:hAnsi="Calibri" w:cs="Calibri"/>
          <w:color w:val="auto"/>
          <w:szCs w:val="20"/>
          <w:lang w:val="sr-Cyrl-CS" w:eastAsia="ja-JP"/>
        </w:rPr>
        <w:t xml:space="preserve">27 активних предмета. На дан 30.06.2023.године број судских поступака против Републике Србије и свих КЈС износио је 310.247. Тренд броја судских поступака – </w:t>
      </w:r>
      <w:r w:rsidRPr="00981E8E">
        <w:rPr>
          <w:rFonts w:ascii="Calibri" w:eastAsia="MS PGothic" w:hAnsi="Calibri" w:cs="Calibri"/>
          <w:color w:val="44546A"/>
          <w:szCs w:val="20"/>
          <w:lang w:val="sr-Cyrl-CS" w:eastAsia="ja-JP"/>
        </w:rPr>
        <w:t>активних предмета у раду, у периоду од 2017 – 30.06.2023. године се може представити графичким приказом:</w:t>
      </w:r>
    </w:p>
    <w:p w14:paraId="0A6FEE4C" w14:textId="77777777" w:rsidR="00981E8E" w:rsidRPr="00981E8E" w:rsidRDefault="00981E8E" w:rsidP="00981E8E">
      <w:pPr>
        <w:spacing w:after="0" w:line="240" w:lineRule="auto"/>
        <w:jc w:val="center"/>
        <w:rPr>
          <w:rFonts w:ascii="Calibri" w:eastAsia="MS PGothic" w:hAnsi="Calibri" w:cs="Calibri"/>
          <w:b/>
          <w:bCs/>
          <w:color w:val="2F5496"/>
          <w:szCs w:val="20"/>
          <w:lang w:val="sr-Cyrl-RS" w:eastAsia="ja-JP"/>
        </w:rPr>
      </w:pPr>
      <w:r w:rsidRPr="00981E8E">
        <w:rPr>
          <w:rFonts w:ascii="Calibri" w:eastAsia="MS PGothic" w:hAnsi="Calibri" w:cs="Calibri"/>
          <w:b/>
          <w:bCs/>
          <w:color w:val="2F5496"/>
          <w:szCs w:val="20"/>
          <w:lang w:val="sr-Cyrl-RS" w:eastAsia="ja-JP"/>
        </w:rPr>
        <w:t xml:space="preserve">Укупан број активних предмета – судских поступака против Републике Србије </w:t>
      </w:r>
    </w:p>
    <w:p w14:paraId="031598DA" w14:textId="77777777" w:rsidR="00981E8E" w:rsidRPr="00981E8E" w:rsidRDefault="00981E8E" w:rsidP="00981E8E">
      <w:pPr>
        <w:spacing w:after="120" w:line="240" w:lineRule="auto"/>
        <w:jc w:val="center"/>
        <w:rPr>
          <w:rFonts w:ascii="Calibri" w:eastAsia="MS PGothic" w:hAnsi="Calibri" w:cs="Calibri"/>
          <w:b/>
          <w:bCs/>
          <w:color w:val="2F5496"/>
          <w:szCs w:val="20"/>
          <w:lang w:val="sr-Cyrl-RS" w:eastAsia="ja-JP"/>
        </w:rPr>
      </w:pPr>
      <w:r w:rsidRPr="00981E8E">
        <w:rPr>
          <w:rFonts w:ascii="Calibri" w:eastAsia="MS PGothic" w:hAnsi="Calibri" w:cs="Calibri"/>
          <w:b/>
          <w:bCs/>
          <w:color w:val="2F5496"/>
          <w:szCs w:val="20"/>
          <w:lang w:val="sr-Cyrl-RS" w:eastAsia="ja-JP"/>
        </w:rPr>
        <w:t>и свих КЈС</w:t>
      </w:r>
    </w:p>
    <w:p w14:paraId="6E95A25B" w14:textId="77777777" w:rsidR="00981E8E" w:rsidRPr="00981E8E" w:rsidRDefault="00981E8E" w:rsidP="00981E8E">
      <w:pPr>
        <w:spacing w:after="0" w:line="240" w:lineRule="auto"/>
        <w:rPr>
          <w:rFonts w:ascii="Calibri" w:eastAsia="MS PGothic" w:hAnsi="Calibri" w:cs="Calibri"/>
          <w:color w:val="44546A"/>
          <w:szCs w:val="20"/>
          <w:lang w:val="sr-Cyrl-CS" w:eastAsia="ja-JP"/>
        </w:rPr>
      </w:pPr>
      <w:r w:rsidRPr="00981E8E">
        <w:rPr>
          <w:rFonts w:ascii="Calibri" w:eastAsia="Calibri" w:hAnsi="Calibri" w:cs="Times New Roman"/>
          <w:noProof/>
          <w:color w:val="44546A"/>
        </w:rPr>
        <w:drawing>
          <wp:inline distT="0" distB="0" distL="0" distR="0" wp14:anchorId="12C173F2" wp14:editId="2289C4D6">
            <wp:extent cx="2743200" cy="1965325"/>
            <wp:effectExtent l="0" t="0" r="0" b="15875"/>
            <wp:docPr id="19"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69"/>
              </a:graphicData>
            </a:graphic>
          </wp:inline>
        </w:drawing>
      </w:r>
    </w:p>
    <w:p w14:paraId="7D8281FB" w14:textId="77777777" w:rsidR="00981E8E" w:rsidRPr="00981E8E" w:rsidRDefault="00981E8E" w:rsidP="00981E8E">
      <w:pPr>
        <w:spacing w:line="256" w:lineRule="auto"/>
        <w:rPr>
          <w:rFonts w:ascii="Calibri" w:eastAsia="MS PGothic" w:hAnsi="Calibri" w:cs="Calibri"/>
          <w:color w:val="0070C0"/>
          <w:sz w:val="18"/>
          <w:szCs w:val="18"/>
          <w:lang w:val="sr-Cyrl-RS" w:eastAsia="ja-JP"/>
        </w:rPr>
      </w:pPr>
      <w:r w:rsidRPr="00981E8E">
        <w:rPr>
          <w:rFonts w:ascii="Calibri" w:eastAsia="MS PGothic" w:hAnsi="Calibri" w:cs="Calibri"/>
          <w:color w:val="0070C0"/>
          <w:sz w:val="18"/>
          <w:szCs w:val="18"/>
          <w:lang w:val="sr-Cyrl-CS" w:eastAsia="ja-JP"/>
        </w:rPr>
        <w:t xml:space="preserve">Извор: Државно правобранилаштво </w:t>
      </w:r>
      <w:r w:rsidRPr="00981E8E">
        <w:rPr>
          <w:rFonts w:ascii="Calibri" w:eastAsia="MS PGothic" w:hAnsi="Calibri" w:cs="Calibri"/>
          <w:color w:val="0070C0"/>
          <w:sz w:val="18"/>
          <w:szCs w:val="18"/>
          <w:lang w:val="sr-Cyrl-RS" w:eastAsia="ja-JP"/>
        </w:rPr>
        <w:t>Републике Србије</w:t>
      </w:r>
    </w:p>
    <w:p w14:paraId="57953465"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 xml:space="preserve">У циљу смањења трошкова у тзв. „буџетским” поступцима, у току 2019. године дошло је до измена Закона о извршењу и обезбеђењу („Службени гласник РС”, бр. 106/15, 106/15 – аутентично тумачење, 113/17 – аутентично тумачење и 54/19), који је ступио на снагу 1. јануара 2020. године. Чланом 300. наведеног закона, између осталог је прописано да је извршни поверилац дужан да о намери подношења предлога за извршење писменим путем обавести </w:t>
      </w:r>
      <w:r w:rsidRPr="00604ED1">
        <w:rPr>
          <w:rFonts w:eastAsia="MS PGothic" w:cstheme="minorHAnsi"/>
          <w:szCs w:val="20"/>
          <w:lang w:val="sr-Cyrl-RS" w:eastAsia="ja-JP"/>
        </w:rPr>
        <w:lastRenderedPageBreak/>
        <w:t>министарство надлежно за финансије најкасније 30 дана пре подношења предлога за извршење, уколико се као извршни дужник појављује Република Србија, аутономна покрајина, јединица локалне самоуправе, директни или индиректни корисник буџетских средстава.</w:t>
      </w:r>
    </w:p>
    <w:p w14:paraId="1207E5A1" w14:textId="2EB337C6"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 xml:space="preserve">Намера је била да се наведеном мером подстакне добровољно плаћање обавезе од стране надлежног органа, како би се избегли трошкови принудне наплате. Министарству финансија </w:t>
      </w:r>
      <w:r w:rsidR="007911BC">
        <w:rPr>
          <w:rFonts w:eastAsia="MS PGothic" w:cstheme="minorHAnsi"/>
          <w:szCs w:val="20"/>
          <w:lang w:val="sr-Cyrl-RS" w:eastAsia="ja-JP"/>
        </w:rPr>
        <w:t>–</w:t>
      </w:r>
      <w:r w:rsidRPr="00604ED1">
        <w:rPr>
          <w:rFonts w:eastAsia="MS PGothic" w:cstheme="minorHAnsi"/>
          <w:szCs w:val="20"/>
          <w:lang w:val="sr-Cyrl-RS" w:eastAsia="ja-JP"/>
        </w:rPr>
        <w:t xml:space="preserve"> Управи за трезор је у 2020. години поднето 51.757 обавештења о намери подношења предлога за извршење, у 2021. години је поднето 54.270 ових обавештења, у 2022. годин</w:t>
      </w:r>
      <w:r w:rsidR="00FC043C">
        <w:rPr>
          <w:rFonts w:eastAsia="MS PGothic" w:cstheme="minorHAnsi"/>
          <w:szCs w:val="20"/>
          <w:lang w:val="sr-Cyrl-RS" w:eastAsia="ja-JP"/>
        </w:rPr>
        <w:t>и 49.080, а у периоду од 1.1. до 30.</w:t>
      </w:r>
      <w:r w:rsidRPr="00604ED1">
        <w:rPr>
          <w:rFonts w:eastAsia="MS PGothic" w:cstheme="minorHAnsi"/>
          <w:szCs w:val="20"/>
          <w:lang w:val="sr-Cyrl-RS" w:eastAsia="ja-JP"/>
        </w:rPr>
        <w:t>6.2023. године, 23.556 ових обавештења.</w:t>
      </w:r>
    </w:p>
    <w:p w14:paraId="46F46038" w14:textId="5D4744AC"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Република Србија је по основу новчаних казни и пенала по решењу судова (економска класификација 483), као и накнаде штете за повреде или штету нанету од стране државних органа (економска класификација 485) у периоду 2009 - 2020. године укупно платила 121 млрд динара. У 2021. години је из буџета Републике Србије по том основу плаћено 16,9 млрд динара, у 2022. години је плаћено 26,8 млрд динара, д</w:t>
      </w:r>
      <w:r w:rsidR="007911BC">
        <w:rPr>
          <w:rFonts w:eastAsia="MS PGothic" w:cstheme="minorHAnsi"/>
          <w:szCs w:val="20"/>
          <w:lang w:val="sr-Cyrl-RS" w:eastAsia="ja-JP"/>
        </w:rPr>
        <w:t>ок је извршење за период јануар–</w:t>
      </w:r>
      <w:r w:rsidRPr="00604ED1">
        <w:rPr>
          <w:rFonts w:eastAsia="MS PGothic" w:cstheme="minorHAnsi"/>
          <w:szCs w:val="20"/>
          <w:lang w:val="sr-Cyrl-RS" w:eastAsia="ja-JP"/>
        </w:rPr>
        <w:t>јун 2023.</w:t>
      </w:r>
      <w:r w:rsidR="0017645D">
        <w:rPr>
          <w:rFonts w:eastAsia="MS PGothic" w:cstheme="minorHAnsi"/>
          <w:szCs w:val="20"/>
          <w:lang w:val="sr-Latn-RS" w:eastAsia="ja-JP"/>
        </w:rPr>
        <w:t xml:space="preserve"> </w:t>
      </w:r>
      <w:r w:rsidRPr="00604ED1">
        <w:rPr>
          <w:rFonts w:eastAsia="MS PGothic" w:cstheme="minorHAnsi"/>
          <w:szCs w:val="20"/>
          <w:lang w:val="sr-Cyrl-RS" w:eastAsia="ja-JP"/>
        </w:rPr>
        <w:t>године износило 15,6 млрд динара.</w:t>
      </w:r>
    </w:p>
    <w:p w14:paraId="281C2C0C" w14:textId="77777777" w:rsidR="005967FD" w:rsidRPr="00604ED1" w:rsidRDefault="005967FD" w:rsidP="002A2551">
      <w:pPr>
        <w:spacing w:after="0" w:line="240" w:lineRule="auto"/>
        <w:jc w:val="center"/>
        <w:rPr>
          <w:rFonts w:eastAsia="MS PGothic" w:cstheme="minorHAnsi"/>
          <w:b/>
          <w:bCs/>
          <w:color w:val="002060"/>
          <w:szCs w:val="20"/>
          <w:lang w:val="sr-Cyrl-RS" w:eastAsia="ja-JP"/>
        </w:rPr>
      </w:pPr>
      <w:r>
        <w:rPr>
          <w:rFonts w:eastAsia="MS PGothic" w:cstheme="minorHAnsi"/>
          <w:b/>
          <w:bCs/>
          <w:color w:val="002060"/>
          <w:szCs w:val="20"/>
          <w:lang w:val="sr-Cyrl-RS" w:eastAsia="ja-JP"/>
        </w:rPr>
        <w:br w:type="column"/>
      </w:r>
      <w:r w:rsidRPr="00604ED1">
        <w:rPr>
          <w:rFonts w:eastAsia="MS PGothic" w:cstheme="minorHAnsi"/>
          <w:b/>
          <w:bCs/>
          <w:color w:val="002060"/>
          <w:szCs w:val="20"/>
          <w:lang w:val="sr-Cyrl-RS" w:eastAsia="ja-JP"/>
        </w:rPr>
        <w:t>План, апропријације и извршење буџета Републике Србије по ек. класификацијама 483 и 485 у периоду од 2018 до 30.06. 2023. године</w:t>
      </w:r>
    </w:p>
    <w:p w14:paraId="5BD28AD2" w14:textId="77777777" w:rsidR="005967FD" w:rsidRPr="00EC2350" w:rsidRDefault="005967FD" w:rsidP="002A2551">
      <w:pPr>
        <w:spacing w:after="0" w:line="240" w:lineRule="auto"/>
        <w:rPr>
          <w:lang w:val="sr-Cyrl-RS"/>
        </w:rPr>
      </w:pPr>
      <w:r w:rsidRPr="00EC2350">
        <w:rPr>
          <w:noProof/>
        </w:rPr>
        <w:drawing>
          <wp:inline distT="0" distB="0" distL="0" distR="0" wp14:anchorId="46A97940" wp14:editId="7AA1F550">
            <wp:extent cx="2705100" cy="2447925"/>
            <wp:effectExtent l="0" t="0" r="0" b="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0"/>
              </a:graphicData>
            </a:graphic>
          </wp:inline>
        </w:drawing>
      </w:r>
    </w:p>
    <w:p w14:paraId="3724788D" w14:textId="77777777" w:rsidR="005967FD" w:rsidRPr="00604ED1" w:rsidRDefault="005967FD" w:rsidP="002A2551">
      <w:pPr>
        <w:rPr>
          <w:rFonts w:eastAsia="MS PGothic" w:cstheme="minorHAnsi"/>
          <w:sz w:val="16"/>
          <w:szCs w:val="18"/>
          <w:lang w:val="sr-Cyrl-RS" w:eastAsia="ja-JP"/>
        </w:rPr>
      </w:pPr>
      <w:r w:rsidRPr="00604ED1">
        <w:rPr>
          <w:rFonts w:eastAsia="MS PGothic" w:cstheme="minorHAnsi"/>
          <w:sz w:val="16"/>
          <w:szCs w:val="18"/>
          <w:lang w:val="sr-Cyrl-RS" w:eastAsia="ja-JP"/>
        </w:rPr>
        <w:t>Извор: Министарство финансија, Управа за трезор</w:t>
      </w:r>
    </w:p>
    <w:p w14:paraId="0D318009"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У 2023. години и даље се ради на унапређењу система за праћење фискалних ризика по основу судских поступака са циљем прецизније идентификације и оцене ризика.</w:t>
      </w:r>
    </w:p>
    <w:p w14:paraId="3F097F55" w14:textId="77777777" w:rsidR="005967FD" w:rsidRPr="00604ED1" w:rsidRDefault="005967FD" w:rsidP="002A2551">
      <w:pPr>
        <w:rPr>
          <w:rFonts w:cstheme="minorHAnsi"/>
          <w:b/>
          <w:bCs/>
          <w:color w:val="2F5496" w:themeColor="accent1" w:themeShade="BF"/>
          <w:sz w:val="22"/>
          <w:szCs w:val="20"/>
          <w:lang w:val="sr-Cyrl-RS"/>
        </w:rPr>
      </w:pPr>
      <w:r w:rsidRPr="00604ED1">
        <w:rPr>
          <w:rFonts w:cstheme="minorHAnsi"/>
          <w:b/>
          <w:bCs/>
          <w:color w:val="2F5496" w:themeColor="accent1" w:themeShade="BF"/>
          <w:sz w:val="22"/>
          <w:szCs w:val="20"/>
          <w:lang w:val="sr-Cyrl-RS"/>
        </w:rPr>
        <w:t>Остали фискални ризици</w:t>
      </w:r>
    </w:p>
    <w:p w14:paraId="6A66C435"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Поред наведених фискалних ризика постоје и друге околности које, уколико се реализују, могу довести до фискалних трошкова. Њихово идентификовање помаже сагледавању могућих утицаја на фискалну позицију земље у одређеном периоду.</w:t>
      </w:r>
    </w:p>
    <w:p w14:paraId="0382076A" w14:textId="0341F1F3" w:rsidR="005967FD" w:rsidRDefault="005967FD" w:rsidP="002A2551">
      <w:pPr>
        <w:rPr>
          <w:lang w:val="sr-Cyrl-RS" w:eastAsia="ja-JP"/>
        </w:rPr>
      </w:pPr>
      <w:r w:rsidRPr="00604ED1">
        <w:rPr>
          <w:lang w:val="sr-Cyrl-RS" w:eastAsia="ja-JP"/>
        </w:rPr>
        <w:t xml:space="preserve">Пословање јединица локалне самоуправе може имати фискалне импликације на буџет </w:t>
      </w:r>
      <w:r w:rsidR="00372772">
        <w:rPr>
          <w:lang w:val="sr-Cyrl-RS" w:eastAsia="ja-JP"/>
        </w:rPr>
        <w:t>сектора</w:t>
      </w:r>
      <w:r w:rsidRPr="00604ED1">
        <w:rPr>
          <w:lang w:val="sr-Cyrl-RS" w:eastAsia="ja-JP"/>
        </w:rPr>
        <w:t xml:space="preserve"> државе. Посебним фискалним правилима за локалне самоуправе постављено је тзв. „златно правило” да је дефицит могућ само за реализацију капиталних инвестиција. Постоје и правила о висини задужености јединица локалне самоуправе чија доследна примена одржава стабилност јавних финансија на локалном нивоу. У пракси се дешавало да нереалним планирањем како прихода, тако и расхода дође до кумулације доспелих, а неизмирених обавеза које угрожавају функционисање појединих градова и општина.</w:t>
      </w:r>
    </w:p>
    <w:p w14:paraId="2E631F09" w14:textId="77777777" w:rsidR="005967FD" w:rsidRDefault="005967FD">
      <w:pPr>
        <w:jc w:val="left"/>
        <w:rPr>
          <w:lang w:val="sr-Cyrl-RS" w:eastAsia="ja-JP"/>
        </w:rPr>
      </w:pPr>
      <w:r>
        <w:rPr>
          <w:lang w:val="sr-Cyrl-RS" w:eastAsia="ja-JP"/>
        </w:rPr>
        <w:br w:type="page"/>
      </w:r>
    </w:p>
    <w:p w14:paraId="2BAA7895"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lastRenderedPageBreak/>
        <w:t>Како би се избегла реализација фискалних ризика по овом основу, Министарство финансија унапређује систем контроле јавних финансија локалних самоуправа у циљу поштовања постављених правила – од планирања до реализације буџета на локалном нивоу.</w:t>
      </w:r>
    </w:p>
    <w:p w14:paraId="45E0BD93"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На основу Методологије за праћење фискалних ризика по буџет Републике Србије који произилазе из вршења надлежности јединица локалне самоуправе, Сектор за праћење фискалних ризика министарства финансија је израдио радни модел за анализу, оцену и праћење фискалних ризика, чија се примена очекује у наредном периоду.</w:t>
      </w:r>
    </w:p>
    <w:p w14:paraId="59D59B40" w14:textId="7E4BD96D"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Стално присутан ризик од елементарних непогода и природних катастрофа налаже улагања у програме превенције, како би се умањили потенцијални фискални трошкови за отклањање штета насталих по том основу. Превенција обухвата укључивање ширег спектра финансијских инструмената, као што су резервни фондови, потенцијалне кредитне линије и осигурање имовине. Република Србија се у 2014. години суочила са катастрофалним последицама поплава, чија је укупна штета (са губицима) процењена на више од 1,7 млрд евра. Влада је у децембру 2014. године усвојила Национални програм за управљање ризицима од елементарних непогода, који се спроводи у сарадњи са Светском банком, Уједињеним нацијама и Европском унијом. У складу са наведеним програмом, новембра 2018. године донет је Закон о смањењу ризика од катастрофа и управљању ванредним ситуацијама („Службени гласник РС”, број 87/18). У току 2022. године посебна радна група отпочела је процес ревидирања Стратегије смањења ризика од катастрофа и управљања ванредним ситуацијама у Републици Србији</w:t>
      </w:r>
      <w:r w:rsidR="00167CB4">
        <w:rPr>
          <w:rFonts w:eastAsia="MS PGothic" w:cstheme="minorHAnsi"/>
          <w:szCs w:val="20"/>
          <w:lang w:val="sr-Cyrl-RS" w:eastAsia="ja-JP"/>
        </w:rPr>
        <w:t xml:space="preserve"> (2023-2030)</w:t>
      </w:r>
      <w:r w:rsidRPr="00604ED1">
        <w:rPr>
          <w:rFonts w:eastAsia="MS PGothic" w:cstheme="minorHAnsi"/>
          <w:szCs w:val="20"/>
          <w:lang w:val="sr-Cyrl-RS" w:eastAsia="ja-JP"/>
        </w:rPr>
        <w:t>, са циљем израде новог Акционог плана за период 202</w:t>
      </w:r>
      <w:r w:rsidR="00167CB4">
        <w:rPr>
          <w:rFonts w:eastAsia="MS PGothic" w:cstheme="minorHAnsi"/>
          <w:szCs w:val="20"/>
          <w:lang w:val="sr-Cyrl-RS" w:eastAsia="ja-JP"/>
        </w:rPr>
        <w:t>3</w:t>
      </w:r>
      <w:r w:rsidRPr="00604ED1">
        <w:rPr>
          <w:rFonts w:eastAsia="MS PGothic" w:cstheme="minorHAnsi"/>
          <w:szCs w:val="20"/>
          <w:lang w:val="sr-Cyrl-RS" w:eastAsia="ja-JP"/>
        </w:rPr>
        <w:t>–20</w:t>
      </w:r>
      <w:r w:rsidR="00167CB4">
        <w:rPr>
          <w:rFonts w:eastAsia="MS PGothic" w:cstheme="minorHAnsi"/>
          <w:szCs w:val="20"/>
          <w:lang w:val="sr-Cyrl-RS" w:eastAsia="ja-JP"/>
        </w:rPr>
        <w:t>30</w:t>
      </w:r>
      <w:r w:rsidRPr="00604ED1">
        <w:rPr>
          <w:rFonts w:eastAsia="MS PGothic" w:cstheme="minorHAnsi"/>
          <w:szCs w:val="20"/>
          <w:lang w:val="sr-Cyrl-RS" w:eastAsia="ja-JP"/>
        </w:rPr>
        <w:t>. године. Такође, у поступку израде је и нова Јединствена методологија за процену штета и губитака од елементарних и других непогода.</w:t>
      </w:r>
    </w:p>
    <w:p w14:paraId="72B1C0D6"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 xml:space="preserve">Република Србија је у 2018. години платила из буџета 2,0 млрд динара, а у 2019. години 4,2 млрд </w:t>
      </w:r>
      <w:r w:rsidRPr="00604ED1">
        <w:rPr>
          <w:rFonts w:eastAsia="MS PGothic" w:cstheme="minorHAnsi"/>
          <w:szCs w:val="20"/>
          <w:lang w:val="sr-Cyrl-RS" w:eastAsia="ja-JP"/>
        </w:rPr>
        <w:t>динара на име накнаде штете за повреде или штете настале услед елементарних непогода или других природних узрока. У току 2020. године за ову намену, по економској класификацији 484 (без интервенцијских средстава за ублажавање последица болести COVID-19) издвојено је 2,9 млрд динара, док је за 2021. годину износ потрошен на ове намене смањен и износио је 520,3 милиона динара. Издвојена средства за ову намену током 2022. године износила су 263,9 милиона динара.</w:t>
      </w:r>
    </w:p>
    <w:p w14:paraId="283FC2BC" w14:textId="77777777" w:rsidR="005967FD" w:rsidRPr="00604ED1" w:rsidRDefault="005967FD" w:rsidP="002A2551">
      <w:pPr>
        <w:spacing w:after="0" w:line="240" w:lineRule="auto"/>
        <w:jc w:val="center"/>
        <w:rPr>
          <w:rFonts w:eastAsia="MS PGothic" w:cstheme="minorHAnsi"/>
          <w:b/>
          <w:bCs/>
          <w:color w:val="002060"/>
          <w:szCs w:val="20"/>
          <w:lang w:val="sr-Cyrl-RS" w:eastAsia="ja-JP"/>
        </w:rPr>
      </w:pPr>
      <w:r w:rsidRPr="00604ED1">
        <w:rPr>
          <w:rFonts w:eastAsia="MS PGothic" w:cstheme="minorHAnsi"/>
          <w:b/>
          <w:bCs/>
          <w:color w:val="002060"/>
          <w:szCs w:val="20"/>
          <w:lang w:val="sr-Cyrl-RS" w:eastAsia="ja-JP"/>
        </w:rPr>
        <w:t xml:space="preserve">Расходи буџета Републике Србије по основу екон. класификације 484 </w:t>
      </w:r>
      <w:r>
        <w:rPr>
          <w:rFonts w:eastAsia="MS PGothic" w:cstheme="minorHAnsi"/>
          <w:b/>
          <w:bCs/>
          <w:color w:val="002060"/>
          <w:szCs w:val="20"/>
          <w:lang w:val="sr-Cyrl-RS" w:eastAsia="ja-JP"/>
        </w:rPr>
        <w:t>–</w:t>
      </w:r>
      <w:r w:rsidRPr="00604ED1">
        <w:rPr>
          <w:rFonts w:eastAsia="MS PGothic" w:cstheme="minorHAnsi"/>
          <w:b/>
          <w:bCs/>
          <w:color w:val="002060"/>
          <w:szCs w:val="20"/>
          <w:lang w:val="sr-Cyrl-RS" w:eastAsia="ja-JP"/>
        </w:rPr>
        <w:t xml:space="preserve"> „Накнада штете за повреде или штету насталу услед елементарних непогода или других природних узрока”</w:t>
      </w:r>
    </w:p>
    <w:p w14:paraId="311E7CD7" w14:textId="77777777" w:rsidR="005967FD" w:rsidRPr="00604ED1" w:rsidRDefault="005967FD" w:rsidP="002A2551">
      <w:pPr>
        <w:spacing w:after="0" w:line="240" w:lineRule="auto"/>
        <w:jc w:val="center"/>
        <w:rPr>
          <w:lang w:val="sr-Cyrl-RS"/>
        </w:rPr>
      </w:pPr>
      <w:r w:rsidRPr="00604ED1">
        <w:rPr>
          <w:noProof/>
        </w:rPr>
        <w:drawing>
          <wp:inline distT="0" distB="0" distL="0" distR="0" wp14:anchorId="28930452" wp14:editId="0A93CBEF">
            <wp:extent cx="2743200" cy="2619375"/>
            <wp:effectExtent l="0" t="0" r="0" b="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1"/>
              </a:graphicData>
            </a:graphic>
          </wp:inline>
        </w:drawing>
      </w:r>
    </w:p>
    <w:p w14:paraId="79A81613" w14:textId="77777777" w:rsidR="005967FD" w:rsidRPr="00604ED1" w:rsidRDefault="005967FD" w:rsidP="002A2551">
      <w:pPr>
        <w:rPr>
          <w:rFonts w:eastAsia="MS PGothic" w:cstheme="minorHAnsi"/>
          <w:sz w:val="16"/>
          <w:szCs w:val="18"/>
          <w:lang w:val="sr-Cyrl-RS" w:eastAsia="ja-JP"/>
        </w:rPr>
      </w:pPr>
      <w:r w:rsidRPr="00604ED1">
        <w:rPr>
          <w:rFonts w:eastAsia="MS PGothic" w:cstheme="minorHAnsi"/>
          <w:sz w:val="16"/>
          <w:szCs w:val="18"/>
          <w:lang w:val="sr-Cyrl-RS" w:eastAsia="ja-JP"/>
        </w:rPr>
        <w:t>Извор: Министарство финансија, Управа за трезор</w:t>
      </w:r>
    </w:p>
    <w:p w14:paraId="4063CC2A" w14:textId="77777777"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У периоду јануар–јун 2023. године, за ове намене је издвојено 53,7 милиона динара.</w:t>
      </w:r>
    </w:p>
    <w:p w14:paraId="4F9C4B70" w14:textId="63A3E68A" w:rsidR="005967FD" w:rsidRPr="00604ED1" w:rsidRDefault="005967FD" w:rsidP="002A2551">
      <w:pPr>
        <w:rPr>
          <w:rFonts w:eastAsia="MS PGothic" w:cstheme="minorHAnsi"/>
          <w:szCs w:val="20"/>
          <w:lang w:val="sr-Cyrl-RS" w:eastAsia="ja-JP"/>
        </w:rPr>
      </w:pPr>
      <w:r w:rsidRPr="00604ED1">
        <w:rPr>
          <w:rFonts w:eastAsia="MS PGothic" w:cstheme="minorHAnsi"/>
          <w:szCs w:val="20"/>
          <w:lang w:val="sr-Cyrl-RS" w:eastAsia="ja-JP"/>
        </w:rPr>
        <w:t xml:space="preserve">Закључком Владе 05 Број: 40-9575/2021 од 21. октобра 2021. године усвојена је Јединствена методологија за праћење фискалних ризика у Републици Србији која, између осталог, обухвата и Методологију за праћење фискалних ризика који се јављају као последица елементарних непогода. </w:t>
      </w:r>
      <w:r w:rsidR="00167CB4">
        <w:rPr>
          <w:rFonts w:eastAsia="MS PGothic" w:cstheme="minorHAnsi"/>
          <w:szCs w:val="20"/>
          <w:lang w:val="sr-Cyrl-RS" w:eastAsia="ja-JP"/>
        </w:rPr>
        <w:t>На крају</w:t>
      </w:r>
      <w:r w:rsidRPr="00604ED1">
        <w:rPr>
          <w:rFonts w:eastAsia="MS PGothic" w:cstheme="minorHAnsi"/>
          <w:szCs w:val="20"/>
          <w:lang w:val="sr-Cyrl-RS" w:eastAsia="ja-JP"/>
        </w:rPr>
        <w:t xml:space="preserve"> 2022. године је, у сарадњи са Светском банком, развијен модел за процену фискалних ризика од елементарних непогода и одржана прва обука за коришћење модела и анализу резултата.</w:t>
      </w:r>
    </w:p>
    <w:p w14:paraId="3A06DBE8" w14:textId="77777777" w:rsidR="005967FD" w:rsidRPr="00604ED1" w:rsidRDefault="005967FD" w:rsidP="002A2551">
      <w:pPr>
        <w:rPr>
          <w:rFonts w:eastAsia="MS PGothic" w:cstheme="minorHAnsi"/>
          <w:szCs w:val="20"/>
          <w:lang w:val="sr-Cyrl-RS" w:eastAsia="ja-JP"/>
        </w:rPr>
        <w:sectPr w:rsidR="005967FD" w:rsidRPr="00604ED1" w:rsidSect="002A2551">
          <w:type w:val="continuous"/>
          <w:pgSz w:w="12240" w:h="15840"/>
          <w:pgMar w:top="1440" w:right="1440" w:bottom="1440" w:left="1440" w:header="720" w:footer="720" w:gutter="0"/>
          <w:cols w:num="2" w:space="720"/>
          <w:docGrid w:linePitch="360"/>
        </w:sectPr>
      </w:pPr>
    </w:p>
    <w:p w14:paraId="342F336A" w14:textId="77777777" w:rsidR="005967FD" w:rsidRPr="00604ED1" w:rsidRDefault="005967FD" w:rsidP="002A2551">
      <w:pPr>
        <w:rPr>
          <w:lang w:val="sr-Cyrl-RS"/>
        </w:rPr>
      </w:pPr>
    </w:p>
    <w:p w14:paraId="2BE9CCDA" w14:textId="5C2B3D1F" w:rsidR="009A471F" w:rsidRDefault="009A471F" w:rsidP="005967FD">
      <w:pPr>
        <w:rPr>
          <w:color w:val="2F5496" w:themeColor="accent1" w:themeShade="BF"/>
          <w:szCs w:val="26"/>
          <w:lang w:val="sr-Cyrl-RS"/>
        </w:rPr>
      </w:pPr>
      <w:r>
        <w:rPr>
          <w:lang w:val="sr-Cyrl-RS"/>
        </w:rPr>
        <w:br w:type="page"/>
      </w:r>
    </w:p>
    <w:p w14:paraId="13BA51B8" w14:textId="4CD9C03B" w:rsidR="00252AA2" w:rsidRPr="00E13B1A" w:rsidRDefault="001F03F4" w:rsidP="000D3688">
      <w:pPr>
        <w:pStyle w:val="Heading2"/>
        <w:spacing w:before="0" w:after="240"/>
        <w:jc w:val="center"/>
        <w:rPr>
          <w:rFonts w:asciiTheme="minorHAnsi" w:eastAsia="MS PGothic" w:hAnsiTheme="minorHAnsi" w:cstheme="minorHAnsi"/>
          <w:b/>
          <w:sz w:val="24"/>
          <w:lang w:val="sr-Cyrl-RS" w:eastAsia="ja-JP"/>
        </w:rPr>
        <w:sectPr w:rsidR="00252AA2" w:rsidRPr="00E13B1A" w:rsidSect="000D3688">
          <w:headerReference w:type="even" r:id="rId172"/>
          <w:footerReference w:type="even" r:id="rId173"/>
          <w:footerReference w:type="default" r:id="rId174"/>
          <w:headerReference w:type="first" r:id="rId175"/>
          <w:type w:val="continuous"/>
          <w:pgSz w:w="12240" w:h="15840" w:code="1"/>
          <w:pgMar w:top="1440" w:right="1440" w:bottom="1440" w:left="1440" w:header="720" w:footer="720" w:gutter="0"/>
          <w:cols w:space="720"/>
          <w:titlePg/>
          <w:docGrid w:linePitch="360"/>
        </w:sectPr>
      </w:pPr>
      <w:bookmarkStart w:id="58" w:name="_Toc146277919"/>
      <w:r w:rsidRPr="000979D4">
        <w:rPr>
          <w:rFonts w:asciiTheme="minorHAnsi" w:eastAsia="Times New Roman" w:hAnsiTheme="minorHAnsi" w:cstheme="minorHAnsi"/>
          <w:b/>
          <w:sz w:val="24"/>
          <w:lang w:val="sr-Cyrl-RS"/>
        </w:rPr>
        <w:lastRenderedPageBreak/>
        <w:t>5</w:t>
      </w:r>
      <w:r w:rsidR="00252AA2" w:rsidRPr="00E13B1A">
        <w:rPr>
          <w:rFonts w:asciiTheme="minorHAnsi" w:eastAsia="Times New Roman" w:hAnsiTheme="minorHAnsi" w:cstheme="minorHAnsi"/>
          <w:b/>
          <w:sz w:val="24"/>
          <w:lang w:val="sr-Cyrl-RS"/>
        </w:rPr>
        <w:t xml:space="preserve">. </w:t>
      </w:r>
      <w:r w:rsidR="00252AA2" w:rsidRPr="00E13B1A">
        <w:rPr>
          <w:rFonts w:asciiTheme="minorHAnsi" w:eastAsia="MS PGothic" w:hAnsiTheme="minorHAnsi" w:cstheme="minorHAnsi"/>
          <w:b/>
          <w:sz w:val="24"/>
          <w:lang w:val="sr-Cyrl-RS" w:eastAsia="ja-JP"/>
        </w:rPr>
        <w:t>Циклично прилагођени и структурни фискални биланс</w:t>
      </w:r>
      <w:bookmarkEnd w:id="48"/>
      <w:bookmarkEnd w:id="49"/>
      <w:bookmarkEnd w:id="58"/>
    </w:p>
    <w:p w14:paraId="6DDDC7D9" w14:textId="77777777" w:rsidR="00252AA2" w:rsidRPr="00E13B1A" w:rsidRDefault="00252AA2" w:rsidP="00E124CF">
      <w:pPr>
        <w:spacing w:after="120"/>
        <w:rPr>
          <w:rFonts w:ascii="Calibri" w:eastAsia="MS PGothic" w:hAnsi="Calibri" w:cs="Calibri"/>
          <w:szCs w:val="20"/>
          <w:lang w:val="sr-Cyrl-RS" w:eastAsia="ja-JP"/>
        </w:rPr>
      </w:pPr>
      <w:bookmarkStart w:id="59" w:name="_Toc499650054"/>
      <w:bookmarkStart w:id="60" w:name="_Toc530635110"/>
      <w:bookmarkStart w:id="61" w:name="_Toc11155996"/>
      <w:r w:rsidRPr="00E13B1A">
        <w:rPr>
          <w:rFonts w:eastAsia="MS PGothic" w:cstheme="minorHAnsi"/>
          <w:szCs w:val="20"/>
          <w:lang w:val="sr-Cyrl-RS" w:eastAsia="ja-JP"/>
        </w:rPr>
        <w:t>Циклично прилагођени фискални биланс је фискални биланс из кога је искључен изоловани утицај привредног циклуса, а</w:t>
      </w:r>
      <w:r w:rsidRPr="00E13B1A">
        <w:rPr>
          <w:rFonts w:ascii="Calibri" w:eastAsia="MS PGothic" w:hAnsi="Calibri" w:cs="Calibri"/>
          <w:szCs w:val="20"/>
          <w:lang w:val="sr-Cyrl-RS" w:eastAsia="ja-JP"/>
        </w:rPr>
        <w:t xml:space="preserve"> идентитет од кога се полази је следећи</w:t>
      </w:r>
      <w:r w:rsidRPr="00E13B1A">
        <w:rPr>
          <w:rFonts w:ascii="Calibri" w:eastAsia="MS PGothic" w:hAnsi="Calibri" w:cs="Calibri"/>
          <w:szCs w:val="20"/>
          <w:vertAlign w:val="superscript"/>
          <w:lang w:val="sr-Cyrl-RS" w:eastAsia="ja-JP"/>
        </w:rPr>
        <w:footnoteReference w:id="9"/>
      </w:r>
      <w:r w:rsidRPr="00E13B1A">
        <w:rPr>
          <w:rFonts w:ascii="Calibri" w:eastAsia="MS PGothic" w:hAnsi="Calibri" w:cs="Calibri"/>
          <w:szCs w:val="20"/>
          <w:lang w:val="sr-Cyrl-RS" w:eastAsia="ja-JP"/>
        </w:rPr>
        <w:t>:</w:t>
      </w:r>
    </w:p>
    <w:p w14:paraId="7048BF06" w14:textId="77777777" w:rsidR="00252AA2" w:rsidRPr="00E13B1A" w:rsidRDefault="00252AA2" w:rsidP="00E124CF">
      <w:pPr>
        <w:spacing w:after="120"/>
        <w:jc w:val="center"/>
        <w:rPr>
          <w:rFonts w:ascii="Calibri" w:eastAsia="MS PGothic" w:hAnsi="Calibri" w:cs="Calibri"/>
          <w:szCs w:val="20"/>
          <w:lang w:val="sr-Cyrl-RS" w:eastAsia="ja-JP"/>
        </w:rPr>
      </w:pPr>
      <w:r w:rsidRPr="00E13B1A">
        <w:rPr>
          <w:rFonts w:ascii="Calibri" w:eastAsia="MS PGothic" w:hAnsi="Calibri" w:cs="Calibri"/>
          <w:szCs w:val="20"/>
          <w:lang w:val="sr-Cyrl-RS" w:eastAsia="ja-JP"/>
        </w:rPr>
        <w:t>FB = CB + CAB</w:t>
      </w:r>
    </w:p>
    <w:p w14:paraId="31D5384D" w14:textId="77777777" w:rsidR="00252AA2" w:rsidRPr="00E13B1A" w:rsidRDefault="00252AA2" w:rsidP="00E124CF">
      <w:pPr>
        <w:spacing w:after="120"/>
        <w:rPr>
          <w:rFonts w:eastAsia="MS PGothic" w:cstheme="minorHAnsi"/>
          <w:szCs w:val="20"/>
          <w:lang w:val="sr-Cyrl-RS" w:eastAsia="ja-JP"/>
        </w:rPr>
      </w:pPr>
      <w:r w:rsidRPr="00E13B1A">
        <w:rPr>
          <w:rFonts w:ascii="Calibri" w:eastAsia="MS PGothic" w:hAnsi="Calibri" w:cs="Calibri"/>
          <w:szCs w:val="20"/>
          <w:lang w:val="sr-Cyrl-RS" w:eastAsia="ja-JP"/>
        </w:rPr>
        <w:t>Део фискалног биланса (FB)</w:t>
      </w:r>
      <w:r w:rsidRPr="00E13B1A">
        <w:rPr>
          <w:rFonts w:ascii="Calibri" w:eastAsia="MS PGothic" w:hAnsi="Calibri" w:cs="Calibri"/>
          <w:i/>
          <w:szCs w:val="20"/>
          <w:lang w:val="sr-Cyrl-RS" w:eastAsia="ja-JP"/>
        </w:rPr>
        <w:t xml:space="preserve"> </w:t>
      </w:r>
      <w:r w:rsidRPr="00E13B1A">
        <w:rPr>
          <w:rFonts w:ascii="Calibri" w:eastAsia="MS PGothic" w:hAnsi="Calibri" w:cs="Calibri"/>
          <w:szCs w:val="20"/>
          <w:lang w:val="sr-Cyrl-RS" w:eastAsia="ja-JP"/>
        </w:rPr>
        <w:t>који није под утицајем цикличних флуктуација назива се циклично прилагођени фискални биланс (CAB),</w:t>
      </w:r>
      <w:r w:rsidRPr="00E13B1A">
        <w:rPr>
          <w:rFonts w:ascii="Calibri" w:eastAsia="MS PGothic" w:hAnsi="Calibri" w:cs="Calibri"/>
          <w:i/>
          <w:szCs w:val="20"/>
          <w:lang w:val="sr-Cyrl-RS" w:eastAsia="ja-JP"/>
        </w:rPr>
        <w:t xml:space="preserve"> </w:t>
      </w:r>
      <w:r w:rsidRPr="00E13B1A">
        <w:rPr>
          <w:rFonts w:ascii="Calibri" w:eastAsia="MS PGothic" w:hAnsi="Calibri" w:cs="Calibri"/>
          <w:szCs w:val="20"/>
          <w:lang w:val="sr-Cyrl-RS" w:eastAsia="ja-JP"/>
        </w:rPr>
        <w:t xml:space="preserve">а циљ ове процедуре је изоловање цикличне компоненте </w:t>
      </w:r>
      <w:r w:rsidRPr="00E13B1A">
        <w:rPr>
          <w:rFonts w:eastAsia="MS PGothic" w:cstheme="minorHAnsi"/>
          <w:szCs w:val="20"/>
          <w:lang w:val="sr-Cyrl-RS" w:eastAsia="ja-JP"/>
        </w:rPr>
        <w:t>фискалног биланса (CB) која је резултат дејства производног јаза. Стварни фискални биланс биће једнак циклично прилагођеном у случају да је производни јаз једнак нули, тј. ако је стопа раста реалног БДП једнака потенцијалној. Структурни фискални биланс се даље рачунски добија елиминацијом једнократних ефеката на приходној и расходној страни, и тако показује структурну (трајну) фискалну позицију.</w:t>
      </w:r>
    </w:p>
    <w:p w14:paraId="5BDDA3D5" w14:textId="77777777" w:rsidR="00252AA2" w:rsidRPr="00E13B1A" w:rsidRDefault="00252AA2" w:rsidP="00E124CF">
      <w:pPr>
        <w:spacing w:after="120"/>
        <w:rPr>
          <w:rFonts w:eastAsia="MS PGothic" w:cstheme="minorHAnsi"/>
          <w:szCs w:val="20"/>
          <w:lang w:val="sr-Cyrl-RS" w:eastAsia="ja-JP"/>
        </w:rPr>
      </w:pPr>
      <w:r w:rsidRPr="00E13B1A">
        <w:rPr>
          <w:rFonts w:ascii="Calibri" w:eastAsia="MS PGothic" w:hAnsi="Calibri" w:cs="Calibri"/>
          <w:szCs w:val="20"/>
          <w:lang w:val="sr-Cyrl-RS" w:eastAsia="ja-JP"/>
        </w:rPr>
        <w:t>Ф</w:t>
      </w:r>
      <w:r w:rsidRPr="00E13B1A">
        <w:rPr>
          <w:rFonts w:eastAsia="MS PGothic" w:cstheme="minorHAnsi"/>
          <w:szCs w:val="20"/>
          <w:lang w:val="sr-Cyrl-RS" w:eastAsia="ja-JP"/>
        </w:rPr>
        <w:t>искални простор креиран у претходном периоду и значајно структурно унапређена фискална позиција земље, омогућили су релаксацију фискалне политике у кризним временима.</w:t>
      </w:r>
    </w:p>
    <w:p w14:paraId="60E3159E" w14:textId="77777777" w:rsidR="00252AA2" w:rsidRPr="00E13B1A" w:rsidRDefault="00252AA2" w:rsidP="000D3688">
      <w:pPr>
        <w:spacing w:after="120"/>
        <w:rPr>
          <w:rFonts w:ascii="Calibri" w:eastAsia="Calibri" w:hAnsi="Calibri" w:cs="Calibri"/>
          <w:szCs w:val="20"/>
          <w:lang w:val="sr-Cyrl-RS"/>
        </w:rPr>
      </w:pPr>
      <w:r w:rsidRPr="00E13B1A">
        <w:rPr>
          <w:rFonts w:ascii="Calibri" w:eastAsia="MS PGothic" w:hAnsi="Calibri" w:cs="Calibri"/>
          <w:spacing w:val="-2"/>
          <w:szCs w:val="20"/>
          <w:lang w:val="sr-Cyrl-RS" w:eastAsia="ja-JP"/>
        </w:rPr>
        <w:t xml:space="preserve">Избијањем пандемије COVID-19 почетком 2020. године и увођењем мера за здравствену заштиту становништва, глобална економија је ушла у кризу без преседана. </w:t>
      </w:r>
      <w:r w:rsidRPr="00E13B1A">
        <w:rPr>
          <w:rFonts w:ascii="Calibri" w:eastAsia="Calibri" w:hAnsi="Calibri" w:cs="Calibri"/>
          <w:szCs w:val="20"/>
          <w:lang w:val="sr-Cyrl-RS"/>
        </w:rPr>
        <w:t>Утицај на фискалну позицију је био видљив кроз смањене прихода буџета, који су последица успоравања економске активности услед пандемије, и драматично већих расхода условљених већим трошковима здравствене заштите и доношењем обимног пакета помоћи привреди и грађанима. У таквој ситуацији, уобичајена анализа привредног циклуса, квантификација фискалних мултипликатора и оцена еластичности фискалног баланса у односу на производни јаз не даје сасвим коректне оцене фискалне позиције земље.</w:t>
      </w:r>
      <w:r w:rsidRPr="00E13B1A">
        <w:rPr>
          <w:rFonts w:ascii="Calibri" w:eastAsia="Calibri" w:hAnsi="Calibri" w:cs="Calibri"/>
          <w:spacing w:val="-2"/>
          <w:szCs w:val="20"/>
          <w:lang w:val="sr-Cyrl-RS"/>
        </w:rPr>
        <w:t xml:space="preserve"> </w:t>
      </w:r>
      <w:r w:rsidRPr="00E13B1A">
        <w:rPr>
          <w:rFonts w:ascii="Calibri" w:eastAsia="Calibri" w:hAnsi="Calibri" w:cs="Calibri"/>
          <w:szCs w:val="20"/>
          <w:lang w:val="sr-Cyrl-RS"/>
        </w:rPr>
        <w:t>Одговор фискалне политике на сложену економску ситуацију узроковану пандемијом коронавируса у 2020. и 2021. години, представљен је опсежним пакетом мера помоћи привреди. У случају одсуства мера подршке привреди и становништву благ пад БДП у 2020. години и снажан опоравак током 2021. године би изостао, а већа контракција привреде би утицала на знатно спорији опоравак у наредном средњорочном периоду.</w:t>
      </w:r>
    </w:p>
    <w:p w14:paraId="02C1362E" w14:textId="77777777" w:rsidR="00252AA2" w:rsidRPr="00E13B1A" w:rsidRDefault="00252AA2" w:rsidP="00E124CF">
      <w:pPr>
        <w:spacing w:after="120"/>
        <w:rPr>
          <w:rFonts w:ascii="Calibri" w:eastAsia="Calibri" w:hAnsi="Calibri" w:cs="Calibri"/>
          <w:szCs w:val="20"/>
          <w:lang w:val="sr-Cyrl-RS"/>
        </w:rPr>
        <w:sectPr w:rsidR="00252AA2" w:rsidRPr="00E13B1A" w:rsidSect="000D3688">
          <w:type w:val="continuous"/>
          <w:pgSz w:w="12240" w:h="15840" w:code="1"/>
          <w:pgMar w:top="1417" w:right="1417" w:bottom="1417" w:left="1417" w:header="720" w:footer="720" w:gutter="0"/>
          <w:cols w:num="2" w:space="720"/>
          <w15:footnoteColumns w:val="1"/>
        </w:sectPr>
      </w:pPr>
    </w:p>
    <w:p w14:paraId="494825C7" w14:textId="77777777" w:rsidR="00252AA2" w:rsidRPr="00E13B1A" w:rsidRDefault="00252AA2" w:rsidP="00E124CF">
      <w:pPr>
        <w:jc w:val="left"/>
        <w:rPr>
          <w:rFonts w:ascii="Calibri" w:eastAsia="MS PGothic" w:hAnsi="Calibri" w:cs="Calibri"/>
          <w:b/>
          <w:bCs/>
          <w:lang w:val="sr-Cyrl-RS"/>
        </w:rPr>
      </w:pPr>
    </w:p>
    <w:p w14:paraId="6FDE1D6E" w14:textId="77777777" w:rsidR="00252AA2" w:rsidRPr="00E13B1A" w:rsidRDefault="00252AA2" w:rsidP="000D3688">
      <w:pPr>
        <w:rPr>
          <w:lang w:val="sr-Cyrl-RS"/>
        </w:rPr>
      </w:pPr>
      <w:r w:rsidRPr="00E13B1A">
        <w:rPr>
          <w:lang w:val="sr-Cyrl-RS"/>
        </w:rPr>
        <w:br w:type="page"/>
      </w:r>
    </w:p>
    <w:p w14:paraId="371C0983" w14:textId="77777777" w:rsidR="00252AA2" w:rsidRPr="00E13B1A" w:rsidRDefault="00252AA2" w:rsidP="00E124CF">
      <w:pPr>
        <w:jc w:val="center"/>
        <w:rPr>
          <w:rFonts w:ascii="Calibri" w:eastAsia="MS PGothic" w:hAnsi="Calibri" w:cs="Calibri"/>
          <w:b/>
          <w:bCs/>
          <w:color w:val="002060"/>
          <w:lang w:val="sr-Cyrl-RS"/>
        </w:rPr>
      </w:pPr>
      <w:r w:rsidRPr="00E13B1A">
        <w:rPr>
          <w:rFonts w:ascii="Calibri" w:eastAsia="MS PGothic" w:hAnsi="Calibri" w:cs="Calibri"/>
          <w:b/>
          <w:bCs/>
          <w:color w:val="002060"/>
          <w:lang w:val="sr-Cyrl-RS"/>
        </w:rPr>
        <w:lastRenderedPageBreak/>
        <w:t xml:space="preserve">Табела 19. Фискални биланс и компоненте за обрачун циклично прилагођеног биланса </w:t>
      </w:r>
      <w:r w:rsidRPr="00E13B1A">
        <w:rPr>
          <w:rFonts w:ascii="Calibri" w:eastAsia="MS PGothic" w:hAnsi="Calibri" w:cs="Calibri"/>
          <w:b/>
          <w:bCs/>
          <w:color w:val="002060"/>
          <w:lang w:val="sr-Cyrl-RS"/>
        </w:rPr>
        <w:br w:type="textWrapping" w:clear="all"/>
        <w:t>у периоду 2005–2026. године, % БДП*</w:t>
      </w:r>
    </w:p>
    <w:tbl>
      <w:tblPr>
        <w:tblStyle w:val="LightShading-Accent337"/>
        <w:tblpPr w:leftFromText="180" w:rightFromText="180" w:vertAnchor="text" w:horzAnchor="margin" w:tblpXSpec="center" w:tblpY="28"/>
        <w:tblW w:w="4914" w:type="pct"/>
        <w:tblLook w:val="04A0" w:firstRow="1" w:lastRow="0" w:firstColumn="1" w:lastColumn="0" w:noHBand="0" w:noVBand="1"/>
      </w:tblPr>
      <w:tblGrid>
        <w:gridCol w:w="683"/>
        <w:gridCol w:w="1061"/>
        <w:gridCol w:w="1056"/>
        <w:gridCol w:w="1058"/>
        <w:gridCol w:w="1106"/>
        <w:gridCol w:w="1106"/>
        <w:gridCol w:w="1058"/>
        <w:gridCol w:w="1058"/>
        <w:gridCol w:w="1058"/>
      </w:tblGrid>
      <w:tr w:rsidR="00252AA2" w:rsidRPr="00E13B1A" w14:paraId="278AFE33" w14:textId="77777777" w:rsidTr="000D3688">
        <w:trPr>
          <w:cnfStyle w:val="100000000000" w:firstRow="1" w:lastRow="0" w:firstColumn="0" w:lastColumn="0" w:oddVBand="0" w:evenVBand="0" w:oddHBand="0" w:evenHBand="0" w:firstRowFirstColumn="0" w:firstRowLastColumn="0" w:lastRowFirstColumn="0" w:lastRowLastColumn="0"/>
          <w:trHeight w:val="731"/>
        </w:trPr>
        <w:tc>
          <w:tcPr>
            <w:cnfStyle w:val="001000000000" w:firstRow="0" w:lastRow="0" w:firstColumn="1" w:lastColumn="0" w:oddVBand="0" w:evenVBand="0" w:oddHBand="0" w:evenHBand="0" w:firstRowFirstColumn="0" w:firstRowLastColumn="0" w:lastRowFirstColumn="0" w:lastRowLastColumn="0"/>
            <w:tcW w:w="369" w:type="pct"/>
            <w:tcBorders>
              <w:top w:val="single" w:sz="4" w:space="0" w:color="002060"/>
              <w:bottom w:val="single" w:sz="4" w:space="0" w:color="002060"/>
            </w:tcBorders>
            <w:noWrap/>
            <w:hideMark/>
          </w:tcPr>
          <w:p w14:paraId="49A5A681" w14:textId="77777777" w:rsidR="00252AA2" w:rsidRPr="00E13B1A" w:rsidRDefault="00252AA2" w:rsidP="00E124CF">
            <w:pPr>
              <w:spacing w:line="256" w:lineRule="auto"/>
              <w:rPr>
                <w:rFonts w:ascii="Calibri" w:eastAsia="MS PGothic" w:hAnsi="Calibri" w:cs="Calibri"/>
                <w:color w:val="002060"/>
                <w:sz w:val="18"/>
                <w:szCs w:val="18"/>
                <w:lang w:val="sr-Cyrl-RS" w:eastAsia="ja-JP"/>
              </w:rPr>
            </w:pPr>
          </w:p>
        </w:tc>
        <w:tc>
          <w:tcPr>
            <w:tcW w:w="574" w:type="pct"/>
            <w:tcBorders>
              <w:top w:val="single" w:sz="4" w:space="0" w:color="002060"/>
              <w:bottom w:val="single" w:sz="4" w:space="0" w:color="002060"/>
            </w:tcBorders>
          </w:tcPr>
          <w:p w14:paraId="72F17A60" w14:textId="77777777" w:rsidR="00252AA2" w:rsidRPr="00E13B1A" w:rsidRDefault="00252AA2"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Производни јаз</w:t>
            </w:r>
          </w:p>
        </w:tc>
        <w:tc>
          <w:tcPr>
            <w:tcW w:w="571" w:type="pct"/>
            <w:tcBorders>
              <w:top w:val="single" w:sz="4" w:space="0" w:color="002060"/>
              <w:bottom w:val="single" w:sz="4" w:space="0" w:color="002060"/>
            </w:tcBorders>
            <w:hideMark/>
          </w:tcPr>
          <w:p w14:paraId="34F0BB13" w14:textId="77777777" w:rsidR="00252AA2" w:rsidRPr="00E13B1A" w:rsidRDefault="00252AA2"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 xml:space="preserve">Фискални </w:t>
            </w:r>
            <w:r w:rsidRPr="00E13B1A">
              <w:rPr>
                <w:rFonts w:ascii="Calibri" w:hAnsi="Calibri" w:cs="Calibri"/>
                <w:b w:val="0"/>
                <w:color w:val="002060"/>
                <w:sz w:val="16"/>
                <w:szCs w:val="16"/>
                <w:lang w:val="sr-Cyrl-RS"/>
              </w:rPr>
              <w:br/>
              <w:t>биланс</w:t>
            </w:r>
          </w:p>
        </w:tc>
        <w:tc>
          <w:tcPr>
            <w:tcW w:w="572" w:type="pct"/>
            <w:tcBorders>
              <w:top w:val="single" w:sz="4" w:space="0" w:color="002060"/>
              <w:bottom w:val="single" w:sz="4" w:space="0" w:color="002060"/>
            </w:tcBorders>
            <w:hideMark/>
          </w:tcPr>
          <w:p w14:paraId="124587AB" w14:textId="77777777" w:rsidR="00252AA2" w:rsidRPr="00E13B1A" w:rsidRDefault="00252AA2"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Примарни фискални биланс</w:t>
            </w:r>
          </w:p>
        </w:tc>
        <w:tc>
          <w:tcPr>
            <w:tcW w:w="598" w:type="pct"/>
            <w:tcBorders>
              <w:top w:val="single" w:sz="4" w:space="0" w:color="002060"/>
              <w:bottom w:val="single" w:sz="4" w:space="0" w:color="002060"/>
            </w:tcBorders>
            <w:hideMark/>
          </w:tcPr>
          <w:p w14:paraId="107274B4" w14:textId="77777777" w:rsidR="00252AA2" w:rsidRPr="00E13B1A" w:rsidRDefault="00252AA2"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 xml:space="preserve">Циклично </w:t>
            </w:r>
            <w:r w:rsidRPr="00E13B1A">
              <w:rPr>
                <w:rFonts w:ascii="Calibri" w:hAnsi="Calibri" w:cs="Calibri"/>
                <w:b w:val="0"/>
                <w:color w:val="002060"/>
                <w:sz w:val="16"/>
                <w:szCs w:val="16"/>
                <w:lang w:val="sr-Cyrl-RS"/>
              </w:rPr>
              <w:br/>
              <w:t>прилагођени фискални биланс</w:t>
            </w:r>
          </w:p>
        </w:tc>
        <w:tc>
          <w:tcPr>
            <w:tcW w:w="598" w:type="pct"/>
            <w:tcBorders>
              <w:top w:val="single" w:sz="4" w:space="0" w:color="002060"/>
              <w:bottom w:val="single" w:sz="4" w:space="0" w:color="002060"/>
            </w:tcBorders>
            <w:hideMark/>
          </w:tcPr>
          <w:p w14:paraId="11F3DF1B" w14:textId="77777777" w:rsidR="00252AA2" w:rsidRPr="00E13B1A" w:rsidRDefault="00252AA2"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 xml:space="preserve">Циклично </w:t>
            </w:r>
            <w:r w:rsidRPr="00E13B1A">
              <w:rPr>
                <w:rFonts w:ascii="Calibri" w:hAnsi="Calibri" w:cs="Calibri"/>
                <w:b w:val="0"/>
                <w:color w:val="002060"/>
                <w:sz w:val="16"/>
                <w:szCs w:val="16"/>
                <w:lang w:val="sr-Cyrl-RS"/>
              </w:rPr>
              <w:br/>
              <w:t>прилагођени примарни фискални биланс</w:t>
            </w:r>
          </w:p>
        </w:tc>
        <w:tc>
          <w:tcPr>
            <w:tcW w:w="572" w:type="pct"/>
            <w:tcBorders>
              <w:top w:val="single" w:sz="4" w:space="0" w:color="002060"/>
              <w:bottom w:val="single" w:sz="4" w:space="0" w:color="002060"/>
            </w:tcBorders>
          </w:tcPr>
          <w:p w14:paraId="53C2CDBF" w14:textId="77777777" w:rsidR="00252AA2" w:rsidRPr="00E13B1A" w:rsidRDefault="00252AA2"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Структурни фискални биланс</w:t>
            </w:r>
          </w:p>
        </w:tc>
        <w:tc>
          <w:tcPr>
            <w:tcW w:w="572" w:type="pct"/>
            <w:tcBorders>
              <w:top w:val="single" w:sz="4" w:space="0" w:color="002060"/>
              <w:bottom w:val="single" w:sz="4" w:space="0" w:color="002060"/>
            </w:tcBorders>
            <w:hideMark/>
          </w:tcPr>
          <w:p w14:paraId="735C0867" w14:textId="77777777" w:rsidR="00252AA2" w:rsidRPr="00E13B1A" w:rsidRDefault="00252AA2"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Структурни примарни фискални биланс**</w:t>
            </w:r>
          </w:p>
        </w:tc>
        <w:tc>
          <w:tcPr>
            <w:tcW w:w="572" w:type="pct"/>
            <w:tcBorders>
              <w:top w:val="single" w:sz="4" w:space="0" w:color="002060"/>
              <w:bottom w:val="single" w:sz="4" w:space="0" w:color="002060"/>
            </w:tcBorders>
            <w:hideMark/>
          </w:tcPr>
          <w:p w14:paraId="2CBB4677" w14:textId="77777777" w:rsidR="00252AA2" w:rsidRPr="00E13B1A" w:rsidRDefault="00252AA2"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Фискални импулс</w:t>
            </w:r>
          </w:p>
        </w:tc>
      </w:tr>
      <w:tr w:rsidR="00252AA2" w:rsidRPr="00E13B1A" w14:paraId="1CE9C8C9"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single" w:sz="4" w:space="0" w:color="002060"/>
              <w:bottom w:val="nil"/>
            </w:tcBorders>
            <w:shd w:val="clear" w:color="auto" w:fill="FFFFFF" w:themeFill="background1"/>
            <w:noWrap/>
            <w:hideMark/>
          </w:tcPr>
          <w:p w14:paraId="1A46C27F"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2005</w:t>
            </w:r>
          </w:p>
        </w:tc>
        <w:tc>
          <w:tcPr>
            <w:tcW w:w="574" w:type="pct"/>
            <w:tcBorders>
              <w:top w:val="single" w:sz="4" w:space="0" w:color="002060"/>
              <w:bottom w:val="nil"/>
            </w:tcBorders>
            <w:shd w:val="clear" w:color="auto" w:fill="FFFFFF" w:themeFill="background1"/>
          </w:tcPr>
          <w:p w14:paraId="27A03F0E"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0,0</w:t>
            </w:r>
          </w:p>
        </w:tc>
        <w:tc>
          <w:tcPr>
            <w:tcW w:w="571" w:type="pct"/>
            <w:tcBorders>
              <w:top w:val="single" w:sz="4" w:space="0" w:color="002060"/>
              <w:bottom w:val="nil"/>
            </w:tcBorders>
            <w:shd w:val="clear" w:color="auto" w:fill="FFFFFF" w:themeFill="background1"/>
            <w:hideMark/>
          </w:tcPr>
          <w:p w14:paraId="499FC969"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1,1</w:t>
            </w:r>
          </w:p>
        </w:tc>
        <w:tc>
          <w:tcPr>
            <w:tcW w:w="572" w:type="pct"/>
            <w:tcBorders>
              <w:top w:val="single" w:sz="4" w:space="0" w:color="002060"/>
              <w:bottom w:val="nil"/>
            </w:tcBorders>
            <w:shd w:val="clear" w:color="auto" w:fill="FFFFFF" w:themeFill="background1"/>
            <w:hideMark/>
          </w:tcPr>
          <w:p w14:paraId="11FEAC5F"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2,0</w:t>
            </w:r>
          </w:p>
        </w:tc>
        <w:tc>
          <w:tcPr>
            <w:tcW w:w="598" w:type="pct"/>
            <w:tcBorders>
              <w:top w:val="single" w:sz="4" w:space="0" w:color="002060"/>
              <w:bottom w:val="nil"/>
            </w:tcBorders>
            <w:shd w:val="clear" w:color="auto" w:fill="FFFFFF" w:themeFill="background1"/>
            <w:noWrap/>
            <w:hideMark/>
          </w:tcPr>
          <w:p w14:paraId="72276936"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1,1</w:t>
            </w:r>
          </w:p>
        </w:tc>
        <w:tc>
          <w:tcPr>
            <w:tcW w:w="598" w:type="pct"/>
            <w:tcBorders>
              <w:top w:val="single" w:sz="4" w:space="0" w:color="002060"/>
              <w:bottom w:val="nil"/>
            </w:tcBorders>
            <w:shd w:val="clear" w:color="auto" w:fill="FFFFFF" w:themeFill="background1"/>
            <w:noWrap/>
            <w:hideMark/>
          </w:tcPr>
          <w:p w14:paraId="6CFC3F5D"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2,0</w:t>
            </w:r>
          </w:p>
        </w:tc>
        <w:tc>
          <w:tcPr>
            <w:tcW w:w="572" w:type="pct"/>
            <w:tcBorders>
              <w:top w:val="single" w:sz="4" w:space="0" w:color="002060"/>
              <w:bottom w:val="nil"/>
            </w:tcBorders>
            <w:shd w:val="clear" w:color="auto" w:fill="FFFFFF" w:themeFill="background1"/>
          </w:tcPr>
          <w:p w14:paraId="2417D1A4"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1,3</w:t>
            </w:r>
          </w:p>
        </w:tc>
        <w:tc>
          <w:tcPr>
            <w:tcW w:w="572" w:type="pct"/>
            <w:tcBorders>
              <w:top w:val="single" w:sz="4" w:space="0" w:color="002060"/>
              <w:bottom w:val="nil"/>
            </w:tcBorders>
            <w:shd w:val="clear" w:color="auto" w:fill="FFFFFF" w:themeFill="background1"/>
            <w:noWrap/>
            <w:hideMark/>
          </w:tcPr>
          <w:p w14:paraId="40D247FC"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2,2</w:t>
            </w:r>
          </w:p>
        </w:tc>
        <w:tc>
          <w:tcPr>
            <w:tcW w:w="572" w:type="pct"/>
            <w:tcBorders>
              <w:top w:val="single" w:sz="4" w:space="0" w:color="002060"/>
              <w:bottom w:val="nil"/>
            </w:tcBorders>
            <w:shd w:val="clear" w:color="auto" w:fill="FFFFFF" w:themeFill="background1"/>
            <w:noWrap/>
            <w:hideMark/>
          </w:tcPr>
          <w:p w14:paraId="5E206C5B"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p>
        </w:tc>
      </w:tr>
      <w:tr w:rsidR="00252AA2" w:rsidRPr="00E13B1A" w14:paraId="3C18287A"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left w:val="nil"/>
              <w:bottom w:val="nil"/>
              <w:right w:val="nil"/>
            </w:tcBorders>
            <w:shd w:val="clear" w:color="auto" w:fill="FFFFFF" w:themeFill="background1"/>
            <w:noWrap/>
            <w:hideMark/>
          </w:tcPr>
          <w:p w14:paraId="4FC885CF"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2006</w:t>
            </w:r>
          </w:p>
        </w:tc>
        <w:tc>
          <w:tcPr>
            <w:tcW w:w="574" w:type="pct"/>
            <w:tcBorders>
              <w:top w:val="nil"/>
              <w:left w:val="nil"/>
              <w:bottom w:val="nil"/>
              <w:right w:val="nil"/>
            </w:tcBorders>
            <w:shd w:val="clear" w:color="auto" w:fill="FFFFFF" w:themeFill="background1"/>
          </w:tcPr>
          <w:p w14:paraId="5AC23847"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-2,7</w:t>
            </w:r>
          </w:p>
        </w:tc>
        <w:tc>
          <w:tcPr>
            <w:tcW w:w="571" w:type="pct"/>
            <w:tcBorders>
              <w:top w:val="nil"/>
              <w:left w:val="nil"/>
              <w:bottom w:val="nil"/>
              <w:right w:val="nil"/>
            </w:tcBorders>
            <w:shd w:val="clear" w:color="auto" w:fill="FFFFFF" w:themeFill="background1"/>
            <w:hideMark/>
          </w:tcPr>
          <w:p w14:paraId="67F5F314"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-1,4</w:t>
            </w:r>
          </w:p>
        </w:tc>
        <w:tc>
          <w:tcPr>
            <w:tcW w:w="572" w:type="pct"/>
            <w:tcBorders>
              <w:top w:val="nil"/>
              <w:left w:val="nil"/>
              <w:bottom w:val="nil"/>
              <w:right w:val="nil"/>
            </w:tcBorders>
            <w:shd w:val="clear" w:color="auto" w:fill="FFFFFF" w:themeFill="background1"/>
            <w:hideMark/>
          </w:tcPr>
          <w:p w14:paraId="617B26B2"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-0,1</w:t>
            </w:r>
          </w:p>
        </w:tc>
        <w:tc>
          <w:tcPr>
            <w:tcW w:w="598" w:type="pct"/>
            <w:tcBorders>
              <w:top w:val="nil"/>
              <w:left w:val="nil"/>
              <w:bottom w:val="nil"/>
              <w:right w:val="nil"/>
            </w:tcBorders>
            <w:shd w:val="clear" w:color="auto" w:fill="FFFFFF" w:themeFill="background1"/>
            <w:noWrap/>
            <w:hideMark/>
          </w:tcPr>
          <w:p w14:paraId="4C887219"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-0,5</w:t>
            </w:r>
          </w:p>
        </w:tc>
        <w:tc>
          <w:tcPr>
            <w:tcW w:w="598" w:type="pct"/>
            <w:tcBorders>
              <w:top w:val="nil"/>
              <w:left w:val="nil"/>
              <w:bottom w:val="nil"/>
              <w:right w:val="nil"/>
            </w:tcBorders>
            <w:shd w:val="clear" w:color="auto" w:fill="FFFFFF" w:themeFill="background1"/>
            <w:noWrap/>
            <w:hideMark/>
          </w:tcPr>
          <w:p w14:paraId="298E1774"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0,8</w:t>
            </w:r>
          </w:p>
        </w:tc>
        <w:tc>
          <w:tcPr>
            <w:tcW w:w="572" w:type="pct"/>
            <w:tcBorders>
              <w:top w:val="nil"/>
              <w:left w:val="nil"/>
              <w:bottom w:val="nil"/>
              <w:right w:val="nil"/>
            </w:tcBorders>
            <w:shd w:val="clear" w:color="auto" w:fill="FFFFFF" w:themeFill="background1"/>
          </w:tcPr>
          <w:p w14:paraId="4B2685F8"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0,2</w:t>
            </w:r>
          </w:p>
        </w:tc>
        <w:tc>
          <w:tcPr>
            <w:tcW w:w="572" w:type="pct"/>
            <w:tcBorders>
              <w:top w:val="nil"/>
              <w:left w:val="nil"/>
              <w:bottom w:val="nil"/>
              <w:right w:val="nil"/>
            </w:tcBorders>
            <w:shd w:val="clear" w:color="auto" w:fill="FFFFFF" w:themeFill="background1"/>
            <w:noWrap/>
            <w:hideMark/>
          </w:tcPr>
          <w:p w14:paraId="1FEE6A37"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1,5</w:t>
            </w:r>
          </w:p>
        </w:tc>
        <w:tc>
          <w:tcPr>
            <w:tcW w:w="572" w:type="pct"/>
            <w:tcBorders>
              <w:top w:val="nil"/>
              <w:left w:val="nil"/>
              <w:bottom w:val="nil"/>
              <w:right w:val="nil"/>
            </w:tcBorders>
            <w:shd w:val="clear" w:color="auto" w:fill="FFFFFF" w:themeFill="background1"/>
            <w:noWrap/>
            <w:hideMark/>
          </w:tcPr>
          <w:p w14:paraId="186D81C5"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1,2</w:t>
            </w:r>
          </w:p>
        </w:tc>
      </w:tr>
      <w:tr w:rsidR="00252AA2" w:rsidRPr="00E13B1A" w14:paraId="7479CE2B"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hideMark/>
          </w:tcPr>
          <w:p w14:paraId="05D595DC"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2007</w:t>
            </w:r>
          </w:p>
        </w:tc>
        <w:tc>
          <w:tcPr>
            <w:tcW w:w="574" w:type="pct"/>
            <w:tcBorders>
              <w:top w:val="nil"/>
              <w:bottom w:val="nil"/>
            </w:tcBorders>
            <w:shd w:val="clear" w:color="auto" w:fill="FFFFFF" w:themeFill="background1"/>
          </w:tcPr>
          <w:p w14:paraId="6DE2BB9C"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0,8</w:t>
            </w:r>
          </w:p>
        </w:tc>
        <w:tc>
          <w:tcPr>
            <w:tcW w:w="571" w:type="pct"/>
            <w:tcBorders>
              <w:top w:val="nil"/>
              <w:bottom w:val="nil"/>
            </w:tcBorders>
            <w:shd w:val="clear" w:color="auto" w:fill="FFFFFF" w:themeFill="background1"/>
            <w:hideMark/>
          </w:tcPr>
          <w:p w14:paraId="2E4453B2"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-1,8</w:t>
            </w:r>
          </w:p>
        </w:tc>
        <w:tc>
          <w:tcPr>
            <w:tcW w:w="572" w:type="pct"/>
            <w:tcBorders>
              <w:top w:val="nil"/>
              <w:bottom w:val="nil"/>
            </w:tcBorders>
            <w:shd w:val="clear" w:color="auto" w:fill="FFFFFF" w:themeFill="background1"/>
            <w:hideMark/>
          </w:tcPr>
          <w:p w14:paraId="0E4BAF9B"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-1,2</w:t>
            </w:r>
          </w:p>
        </w:tc>
        <w:tc>
          <w:tcPr>
            <w:tcW w:w="598" w:type="pct"/>
            <w:tcBorders>
              <w:top w:val="nil"/>
              <w:bottom w:val="nil"/>
            </w:tcBorders>
            <w:shd w:val="clear" w:color="auto" w:fill="FFFFFF" w:themeFill="background1"/>
            <w:hideMark/>
          </w:tcPr>
          <w:p w14:paraId="089C7BEB"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-2,1</w:t>
            </w:r>
          </w:p>
        </w:tc>
        <w:tc>
          <w:tcPr>
            <w:tcW w:w="598" w:type="pct"/>
            <w:tcBorders>
              <w:top w:val="nil"/>
              <w:bottom w:val="nil"/>
            </w:tcBorders>
            <w:shd w:val="clear" w:color="auto" w:fill="FFFFFF" w:themeFill="background1"/>
            <w:noWrap/>
            <w:hideMark/>
          </w:tcPr>
          <w:p w14:paraId="764A9918"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-1,5</w:t>
            </w:r>
          </w:p>
        </w:tc>
        <w:tc>
          <w:tcPr>
            <w:tcW w:w="572" w:type="pct"/>
            <w:tcBorders>
              <w:top w:val="nil"/>
              <w:bottom w:val="nil"/>
            </w:tcBorders>
            <w:shd w:val="clear" w:color="auto" w:fill="FFFFFF" w:themeFill="background1"/>
          </w:tcPr>
          <w:p w14:paraId="26E02CCD"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-1,7</w:t>
            </w:r>
          </w:p>
        </w:tc>
        <w:tc>
          <w:tcPr>
            <w:tcW w:w="572" w:type="pct"/>
            <w:tcBorders>
              <w:top w:val="nil"/>
              <w:bottom w:val="nil"/>
            </w:tcBorders>
            <w:shd w:val="clear" w:color="auto" w:fill="FFFFFF" w:themeFill="background1"/>
            <w:noWrap/>
            <w:hideMark/>
          </w:tcPr>
          <w:p w14:paraId="01236A5A"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-1,2</w:t>
            </w:r>
          </w:p>
        </w:tc>
        <w:tc>
          <w:tcPr>
            <w:tcW w:w="572" w:type="pct"/>
            <w:tcBorders>
              <w:top w:val="nil"/>
              <w:bottom w:val="nil"/>
            </w:tcBorders>
            <w:shd w:val="clear" w:color="auto" w:fill="FFFFFF" w:themeFill="background1"/>
            <w:noWrap/>
            <w:hideMark/>
          </w:tcPr>
          <w:p w14:paraId="46B3A2D0"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2,3</w:t>
            </w:r>
          </w:p>
        </w:tc>
      </w:tr>
      <w:tr w:rsidR="00252AA2" w:rsidRPr="00E13B1A" w14:paraId="14AC2C48"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left w:val="nil"/>
              <w:bottom w:val="nil"/>
              <w:right w:val="nil"/>
            </w:tcBorders>
            <w:shd w:val="clear" w:color="auto" w:fill="FFFFFF" w:themeFill="background1"/>
            <w:noWrap/>
            <w:hideMark/>
          </w:tcPr>
          <w:p w14:paraId="7FE72D4C"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2008</w:t>
            </w:r>
          </w:p>
        </w:tc>
        <w:tc>
          <w:tcPr>
            <w:tcW w:w="574" w:type="pct"/>
            <w:tcBorders>
              <w:top w:val="nil"/>
              <w:left w:val="nil"/>
              <w:bottom w:val="nil"/>
              <w:right w:val="nil"/>
            </w:tcBorders>
            <w:shd w:val="clear" w:color="auto" w:fill="FFFFFF" w:themeFill="background1"/>
          </w:tcPr>
          <w:p w14:paraId="62C1A92E"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4,1</w:t>
            </w:r>
          </w:p>
        </w:tc>
        <w:tc>
          <w:tcPr>
            <w:tcW w:w="571" w:type="pct"/>
            <w:tcBorders>
              <w:top w:val="nil"/>
              <w:left w:val="nil"/>
              <w:bottom w:val="nil"/>
              <w:right w:val="nil"/>
            </w:tcBorders>
            <w:shd w:val="clear" w:color="auto" w:fill="FFFFFF" w:themeFill="background1"/>
            <w:hideMark/>
          </w:tcPr>
          <w:p w14:paraId="3A842B31"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-2,5</w:t>
            </w:r>
          </w:p>
        </w:tc>
        <w:tc>
          <w:tcPr>
            <w:tcW w:w="572" w:type="pct"/>
            <w:tcBorders>
              <w:top w:val="nil"/>
              <w:left w:val="nil"/>
              <w:bottom w:val="nil"/>
              <w:right w:val="nil"/>
            </w:tcBorders>
            <w:shd w:val="clear" w:color="auto" w:fill="FFFFFF" w:themeFill="background1"/>
            <w:hideMark/>
          </w:tcPr>
          <w:p w14:paraId="7B79DCB3"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-1,9</w:t>
            </w:r>
          </w:p>
        </w:tc>
        <w:tc>
          <w:tcPr>
            <w:tcW w:w="598" w:type="pct"/>
            <w:tcBorders>
              <w:top w:val="nil"/>
              <w:left w:val="nil"/>
              <w:bottom w:val="nil"/>
              <w:right w:val="nil"/>
            </w:tcBorders>
            <w:shd w:val="clear" w:color="auto" w:fill="FFFFFF" w:themeFill="background1"/>
            <w:hideMark/>
          </w:tcPr>
          <w:p w14:paraId="0D14C06F"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-3,9</w:t>
            </w:r>
          </w:p>
        </w:tc>
        <w:tc>
          <w:tcPr>
            <w:tcW w:w="598" w:type="pct"/>
            <w:tcBorders>
              <w:top w:val="nil"/>
              <w:left w:val="nil"/>
              <w:bottom w:val="nil"/>
              <w:right w:val="nil"/>
            </w:tcBorders>
            <w:shd w:val="clear" w:color="auto" w:fill="FFFFFF" w:themeFill="background1"/>
            <w:noWrap/>
            <w:hideMark/>
          </w:tcPr>
          <w:p w14:paraId="70270A1C"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-3,4</w:t>
            </w:r>
          </w:p>
        </w:tc>
        <w:tc>
          <w:tcPr>
            <w:tcW w:w="572" w:type="pct"/>
            <w:tcBorders>
              <w:top w:val="nil"/>
              <w:left w:val="nil"/>
              <w:bottom w:val="nil"/>
              <w:right w:val="nil"/>
            </w:tcBorders>
            <w:shd w:val="clear" w:color="auto" w:fill="FFFFFF" w:themeFill="background1"/>
          </w:tcPr>
          <w:p w14:paraId="24BBBF52"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-4,0</w:t>
            </w:r>
          </w:p>
        </w:tc>
        <w:tc>
          <w:tcPr>
            <w:tcW w:w="572" w:type="pct"/>
            <w:tcBorders>
              <w:top w:val="nil"/>
              <w:left w:val="nil"/>
              <w:bottom w:val="nil"/>
              <w:right w:val="nil"/>
            </w:tcBorders>
            <w:shd w:val="clear" w:color="auto" w:fill="FFFFFF" w:themeFill="background1"/>
            <w:noWrap/>
            <w:hideMark/>
          </w:tcPr>
          <w:p w14:paraId="51A77D09"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-3,4</w:t>
            </w:r>
          </w:p>
        </w:tc>
        <w:tc>
          <w:tcPr>
            <w:tcW w:w="572" w:type="pct"/>
            <w:tcBorders>
              <w:top w:val="nil"/>
              <w:left w:val="nil"/>
              <w:bottom w:val="nil"/>
              <w:right w:val="nil"/>
            </w:tcBorders>
            <w:shd w:val="clear" w:color="auto" w:fill="FFFFFF" w:themeFill="background1"/>
            <w:noWrap/>
            <w:hideMark/>
          </w:tcPr>
          <w:p w14:paraId="2174B0B7"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1,9</w:t>
            </w:r>
          </w:p>
        </w:tc>
      </w:tr>
      <w:tr w:rsidR="00252AA2" w:rsidRPr="00E13B1A" w14:paraId="28A4D1A6"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hideMark/>
          </w:tcPr>
          <w:p w14:paraId="2C2B8ACB"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2009</w:t>
            </w:r>
          </w:p>
        </w:tc>
        <w:tc>
          <w:tcPr>
            <w:tcW w:w="574" w:type="pct"/>
            <w:tcBorders>
              <w:top w:val="nil"/>
              <w:bottom w:val="nil"/>
            </w:tcBorders>
            <w:shd w:val="clear" w:color="auto" w:fill="FFFFFF" w:themeFill="background1"/>
          </w:tcPr>
          <w:p w14:paraId="1D784FE9"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-0,4</w:t>
            </w:r>
          </w:p>
        </w:tc>
        <w:tc>
          <w:tcPr>
            <w:tcW w:w="571" w:type="pct"/>
            <w:tcBorders>
              <w:top w:val="nil"/>
              <w:bottom w:val="nil"/>
            </w:tcBorders>
            <w:shd w:val="clear" w:color="auto" w:fill="FFFFFF" w:themeFill="background1"/>
            <w:hideMark/>
          </w:tcPr>
          <w:p w14:paraId="2B9E6008"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-4,2</w:t>
            </w:r>
          </w:p>
        </w:tc>
        <w:tc>
          <w:tcPr>
            <w:tcW w:w="572" w:type="pct"/>
            <w:tcBorders>
              <w:top w:val="nil"/>
              <w:bottom w:val="nil"/>
            </w:tcBorders>
            <w:shd w:val="clear" w:color="auto" w:fill="FFFFFF" w:themeFill="background1"/>
            <w:hideMark/>
          </w:tcPr>
          <w:p w14:paraId="75D6EA32"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-3,6</w:t>
            </w:r>
          </w:p>
        </w:tc>
        <w:tc>
          <w:tcPr>
            <w:tcW w:w="598" w:type="pct"/>
            <w:tcBorders>
              <w:top w:val="nil"/>
              <w:bottom w:val="nil"/>
            </w:tcBorders>
            <w:shd w:val="clear" w:color="auto" w:fill="FFFFFF" w:themeFill="background1"/>
            <w:hideMark/>
          </w:tcPr>
          <w:p w14:paraId="50E37174"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-4,0</w:t>
            </w:r>
          </w:p>
        </w:tc>
        <w:tc>
          <w:tcPr>
            <w:tcW w:w="598" w:type="pct"/>
            <w:tcBorders>
              <w:top w:val="nil"/>
              <w:bottom w:val="nil"/>
            </w:tcBorders>
            <w:shd w:val="clear" w:color="auto" w:fill="FFFFFF" w:themeFill="background1"/>
            <w:hideMark/>
          </w:tcPr>
          <w:p w14:paraId="4084618E"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-3,4</w:t>
            </w:r>
          </w:p>
        </w:tc>
        <w:tc>
          <w:tcPr>
            <w:tcW w:w="572" w:type="pct"/>
            <w:tcBorders>
              <w:top w:val="nil"/>
              <w:bottom w:val="nil"/>
            </w:tcBorders>
            <w:shd w:val="clear" w:color="auto" w:fill="FFFFFF" w:themeFill="background1"/>
          </w:tcPr>
          <w:p w14:paraId="319F6C70"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-4,1</w:t>
            </w:r>
          </w:p>
        </w:tc>
        <w:tc>
          <w:tcPr>
            <w:tcW w:w="572" w:type="pct"/>
            <w:tcBorders>
              <w:top w:val="nil"/>
              <w:bottom w:val="nil"/>
            </w:tcBorders>
            <w:shd w:val="clear" w:color="auto" w:fill="FFFFFF" w:themeFill="background1"/>
            <w:noWrap/>
            <w:hideMark/>
          </w:tcPr>
          <w:p w14:paraId="4C0FD516"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-3,5</w:t>
            </w:r>
          </w:p>
        </w:tc>
        <w:tc>
          <w:tcPr>
            <w:tcW w:w="572" w:type="pct"/>
            <w:tcBorders>
              <w:top w:val="nil"/>
              <w:bottom w:val="nil"/>
            </w:tcBorders>
            <w:shd w:val="clear" w:color="auto" w:fill="FFFFFF" w:themeFill="background1"/>
            <w:noWrap/>
            <w:hideMark/>
          </w:tcPr>
          <w:p w14:paraId="166E8303"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0,0</w:t>
            </w:r>
          </w:p>
        </w:tc>
      </w:tr>
      <w:tr w:rsidR="00252AA2" w:rsidRPr="00E13B1A" w14:paraId="20ECC494"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left w:val="nil"/>
              <w:bottom w:val="nil"/>
              <w:right w:val="nil"/>
            </w:tcBorders>
            <w:shd w:val="clear" w:color="auto" w:fill="FFFFFF" w:themeFill="background1"/>
            <w:noWrap/>
          </w:tcPr>
          <w:p w14:paraId="560B92B0"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2010</w:t>
            </w:r>
          </w:p>
          <w:p w14:paraId="15074B6C"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p>
        </w:tc>
        <w:tc>
          <w:tcPr>
            <w:tcW w:w="574" w:type="pct"/>
            <w:tcBorders>
              <w:top w:val="nil"/>
              <w:left w:val="nil"/>
              <w:bottom w:val="nil"/>
              <w:right w:val="nil"/>
            </w:tcBorders>
            <w:shd w:val="clear" w:color="auto" w:fill="FFFFFF" w:themeFill="background1"/>
          </w:tcPr>
          <w:p w14:paraId="53E52DC6"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-0,7</w:t>
            </w:r>
          </w:p>
        </w:tc>
        <w:tc>
          <w:tcPr>
            <w:tcW w:w="571" w:type="pct"/>
            <w:tcBorders>
              <w:top w:val="nil"/>
              <w:left w:val="nil"/>
              <w:bottom w:val="nil"/>
              <w:right w:val="nil"/>
            </w:tcBorders>
            <w:shd w:val="clear" w:color="auto" w:fill="FFFFFF" w:themeFill="background1"/>
            <w:hideMark/>
          </w:tcPr>
          <w:p w14:paraId="1A19DFF8"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-4,3</w:t>
            </w:r>
          </w:p>
        </w:tc>
        <w:tc>
          <w:tcPr>
            <w:tcW w:w="572" w:type="pct"/>
            <w:tcBorders>
              <w:top w:val="nil"/>
              <w:left w:val="nil"/>
              <w:bottom w:val="nil"/>
              <w:right w:val="nil"/>
            </w:tcBorders>
            <w:shd w:val="clear" w:color="auto" w:fill="FFFFFF" w:themeFill="background1"/>
            <w:hideMark/>
          </w:tcPr>
          <w:p w14:paraId="6DB1FB2B"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-3,4</w:t>
            </w:r>
          </w:p>
        </w:tc>
        <w:tc>
          <w:tcPr>
            <w:tcW w:w="598" w:type="pct"/>
            <w:tcBorders>
              <w:top w:val="nil"/>
              <w:left w:val="nil"/>
              <w:bottom w:val="nil"/>
              <w:right w:val="nil"/>
            </w:tcBorders>
            <w:shd w:val="clear" w:color="auto" w:fill="FFFFFF" w:themeFill="background1"/>
            <w:hideMark/>
          </w:tcPr>
          <w:p w14:paraId="5FFD84CC"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-4,1</w:t>
            </w:r>
          </w:p>
        </w:tc>
        <w:tc>
          <w:tcPr>
            <w:tcW w:w="598" w:type="pct"/>
            <w:tcBorders>
              <w:top w:val="nil"/>
              <w:left w:val="nil"/>
              <w:bottom w:val="nil"/>
              <w:right w:val="nil"/>
            </w:tcBorders>
            <w:shd w:val="clear" w:color="auto" w:fill="FFFFFF" w:themeFill="background1"/>
            <w:hideMark/>
          </w:tcPr>
          <w:p w14:paraId="1BDC80C5"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-3,1</w:t>
            </w:r>
          </w:p>
        </w:tc>
        <w:tc>
          <w:tcPr>
            <w:tcW w:w="572" w:type="pct"/>
            <w:tcBorders>
              <w:top w:val="nil"/>
              <w:left w:val="nil"/>
              <w:bottom w:val="nil"/>
              <w:right w:val="nil"/>
            </w:tcBorders>
            <w:shd w:val="clear" w:color="auto" w:fill="FFFFFF" w:themeFill="background1"/>
          </w:tcPr>
          <w:p w14:paraId="7544C64D"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-4,2</w:t>
            </w:r>
          </w:p>
        </w:tc>
        <w:tc>
          <w:tcPr>
            <w:tcW w:w="572" w:type="pct"/>
            <w:tcBorders>
              <w:top w:val="nil"/>
              <w:left w:val="nil"/>
              <w:bottom w:val="nil"/>
              <w:right w:val="nil"/>
            </w:tcBorders>
            <w:shd w:val="clear" w:color="auto" w:fill="FFFFFF" w:themeFill="background1"/>
            <w:noWrap/>
            <w:hideMark/>
          </w:tcPr>
          <w:p w14:paraId="6A7875C6"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-3,2</w:t>
            </w:r>
          </w:p>
        </w:tc>
        <w:tc>
          <w:tcPr>
            <w:tcW w:w="572" w:type="pct"/>
            <w:tcBorders>
              <w:top w:val="nil"/>
              <w:left w:val="nil"/>
              <w:bottom w:val="nil"/>
              <w:right w:val="nil"/>
            </w:tcBorders>
            <w:shd w:val="clear" w:color="auto" w:fill="FFFFFF" w:themeFill="background1"/>
            <w:noWrap/>
            <w:hideMark/>
          </w:tcPr>
          <w:p w14:paraId="2A4B2C3C"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-0,3</w:t>
            </w:r>
          </w:p>
        </w:tc>
      </w:tr>
      <w:tr w:rsidR="00252AA2" w:rsidRPr="00E13B1A" w14:paraId="2562CD71"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hideMark/>
          </w:tcPr>
          <w:p w14:paraId="363E1FE2"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2011</w:t>
            </w:r>
          </w:p>
        </w:tc>
        <w:tc>
          <w:tcPr>
            <w:tcW w:w="574" w:type="pct"/>
            <w:tcBorders>
              <w:top w:val="nil"/>
              <w:bottom w:val="nil"/>
            </w:tcBorders>
            <w:shd w:val="clear" w:color="auto" w:fill="FFFFFF" w:themeFill="background1"/>
          </w:tcPr>
          <w:p w14:paraId="0859EAD6"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0,5</w:t>
            </w:r>
          </w:p>
        </w:tc>
        <w:tc>
          <w:tcPr>
            <w:tcW w:w="571" w:type="pct"/>
            <w:tcBorders>
              <w:top w:val="nil"/>
              <w:bottom w:val="nil"/>
            </w:tcBorders>
            <w:shd w:val="clear" w:color="auto" w:fill="FFFFFF" w:themeFill="background1"/>
            <w:hideMark/>
          </w:tcPr>
          <w:p w14:paraId="7C92BD06"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-4,5</w:t>
            </w:r>
          </w:p>
        </w:tc>
        <w:tc>
          <w:tcPr>
            <w:tcW w:w="572" w:type="pct"/>
            <w:tcBorders>
              <w:top w:val="nil"/>
              <w:bottom w:val="nil"/>
            </w:tcBorders>
            <w:shd w:val="clear" w:color="auto" w:fill="FFFFFF" w:themeFill="background1"/>
            <w:hideMark/>
          </w:tcPr>
          <w:p w14:paraId="246A929B"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-3,4</w:t>
            </w:r>
          </w:p>
        </w:tc>
        <w:tc>
          <w:tcPr>
            <w:tcW w:w="598" w:type="pct"/>
            <w:tcBorders>
              <w:top w:val="nil"/>
              <w:bottom w:val="nil"/>
            </w:tcBorders>
            <w:shd w:val="clear" w:color="auto" w:fill="FFFFFF" w:themeFill="background1"/>
            <w:hideMark/>
          </w:tcPr>
          <w:p w14:paraId="27870EDD"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-4,7</w:t>
            </w:r>
          </w:p>
        </w:tc>
        <w:tc>
          <w:tcPr>
            <w:tcW w:w="598" w:type="pct"/>
            <w:tcBorders>
              <w:top w:val="nil"/>
              <w:bottom w:val="nil"/>
            </w:tcBorders>
            <w:shd w:val="clear" w:color="auto" w:fill="FFFFFF" w:themeFill="background1"/>
            <w:hideMark/>
          </w:tcPr>
          <w:p w14:paraId="035203DD"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-3,6</w:t>
            </w:r>
          </w:p>
        </w:tc>
        <w:tc>
          <w:tcPr>
            <w:tcW w:w="572" w:type="pct"/>
            <w:tcBorders>
              <w:top w:val="nil"/>
              <w:bottom w:val="nil"/>
            </w:tcBorders>
            <w:shd w:val="clear" w:color="auto" w:fill="FFFFFF" w:themeFill="background1"/>
          </w:tcPr>
          <w:p w14:paraId="7C6AE503"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-4,9</w:t>
            </w:r>
          </w:p>
        </w:tc>
        <w:tc>
          <w:tcPr>
            <w:tcW w:w="572" w:type="pct"/>
            <w:tcBorders>
              <w:top w:val="nil"/>
              <w:bottom w:val="nil"/>
            </w:tcBorders>
            <w:shd w:val="clear" w:color="auto" w:fill="FFFFFF" w:themeFill="background1"/>
            <w:noWrap/>
            <w:hideMark/>
          </w:tcPr>
          <w:p w14:paraId="2BE098FB"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-3,8</w:t>
            </w:r>
          </w:p>
        </w:tc>
        <w:tc>
          <w:tcPr>
            <w:tcW w:w="572" w:type="pct"/>
            <w:tcBorders>
              <w:top w:val="nil"/>
              <w:bottom w:val="nil"/>
            </w:tcBorders>
            <w:shd w:val="clear" w:color="auto" w:fill="FFFFFF" w:themeFill="background1"/>
            <w:noWrap/>
            <w:hideMark/>
          </w:tcPr>
          <w:p w14:paraId="6259AD86"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0,4</w:t>
            </w:r>
          </w:p>
        </w:tc>
      </w:tr>
      <w:tr w:rsidR="00252AA2" w:rsidRPr="00E13B1A" w14:paraId="661B90F2"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5A7020C5"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2012</w:t>
            </w:r>
          </w:p>
          <w:p w14:paraId="1AA612AA"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p>
        </w:tc>
        <w:tc>
          <w:tcPr>
            <w:tcW w:w="574" w:type="pct"/>
            <w:tcBorders>
              <w:top w:val="nil"/>
              <w:bottom w:val="nil"/>
            </w:tcBorders>
            <w:shd w:val="clear" w:color="auto" w:fill="FFFFFF" w:themeFill="background1"/>
          </w:tcPr>
          <w:p w14:paraId="7026C937"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-0,8</w:t>
            </w:r>
          </w:p>
        </w:tc>
        <w:tc>
          <w:tcPr>
            <w:tcW w:w="571" w:type="pct"/>
            <w:tcBorders>
              <w:top w:val="nil"/>
              <w:bottom w:val="nil"/>
            </w:tcBorders>
            <w:shd w:val="clear" w:color="auto" w:fill="FFFFFF" w:themeFill="background1"/>
          </w:tcPr>
          <w:p w14:paraId="1B022B6F"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-6,4</w:t>
            </w:r>
          </w:p>
        </w:tc>
        <w:tc>
          <w:tcPr>
            <w:tcW w:w="572" w:type="pct"/>
            <w:tcBorders>
              <w:top w:val="nil"/>
              <w:bottom w:val="nil"/>
            </w:tcBorders>
            <w:shd w:val="clear" w:color="auto" w:fill="FFFFFF" w:themeFill="background1"/>
          </w:tcPr>
          <w:p w14:paraId="3D48FCE5"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-4,7</w:t>
            </w:r>
          </w:p>
        </w:tc>
        <w:tc>
          <w:tcPr>
            <w:tcW w:w="598" w:type="pct"/>
            <w:tcBorders>
              <w:top w:val="nil"/>
              <w:bottom w:val="nil"/>
            </w:tcBorders>
            <w:shd w:val="clear" w:color="auto" w:fill="FFFFFF" w:themeFill="background1"/>
          </w:tcPr>
          <w:p w14:paraId="341AA02E"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-6,1</w:t>
            </w:r>
          </w:p>
        </w:tc>
        <w:tc>
          <w:tcPr>
            <w:tcW w:w="598" w:type="pct"/>
            <w:tcBorders>
              <w:top w:val="nil"/>
              <w:bottom w:val="nil"/>
            </w:tcBorders>
            <w:shd w:val="clear" w:color="auto" w:fill="FFFFFF" w:themeFill="background1"/>
          </w:tcPr>
          <w:p w14:paraId="7C7FC705"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-4,4</w:t>
            </w:r>
          </w:p>
        </w:tc>
        <w:tc>
          <w:tcPr>
            <w:tcW w:w="572" w:type="pct"/>
            <w:tcBorders>
              <w:top w:val="nil"/>
              <w:bottom w:val="nil"/>
            </w:tcBorders>
            <w:shd w:val="clear" w:color="auto" w:fill="FFFFFF" w:themeFill="background1"/>
          </w:tcPr>
          <w:p w14:paraId="4D030181"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-6,1</w:t>
            </w:r>
          </w:p>
        </w:tc>
        <w:tc>
          <w:tcPr>
            <w:tcW w:w="572" w:type="pct"/>
            <w:tcBorders>
              <w:top w:val="nil"/>
              <w:bottom w:val="nil"/>
            </w:tcBorders>
            <w:shd w:val="clear" w:color="auto" w:fill="FFFFFF" w:themeFill="background1"/>
            <w:noWrap/>
          </w:tcPr>
          <w:p w14:paraId="075D80EB"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-4,4</w:t>
            </w:r>
          </w:p>
        </w:tc>
        <w:tc>
          <w:tcPr>
            <w:tcW w:w="572" w:type="pct"/>
            <w:tcBorders>
              <w:top w:val="nil"/>
              <w:bottom w:val="nil"/>
            </w:tcBorders>
            <w:shd w:val="clear" w:color="auto" w:fill="FFFFFF" w:themeFill="background1"/>
            <w:noWrap/>
          </w:tcPr>
          <w:p w14:paraId="29275CB0"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0,9</w:t>
            </w:r>
          </w:p>
        </w:tc>
      </w:tr>
      <w:tr w:rsidR="00252AA2" w:rsidRPr="00E13B1A" w14:paraId="19BB9DC2"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4A9478EB"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2013</w:t>
            </w:r>
          </w:p>
        </w:tc>
        <w:tc>
          <w:tcPr>
            <w:tcW w:w="574" w:type="pct"/>
            <w:tcBorders>
              <w:top w:val="nil"/>
              <w:bottom w:val="nil"/>
            </w:tcBorders>
            <w:shd w:val="clear" w:color="auto" w:fill="FFFFFF" w:themeFill="background1"/>
          </w:tcPr>
          <w:p w14:paraId="3CEFA384"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1,2</w:t>
            </w:r>
          </w:p>
        </w:tc>
        <w:tc>
          <w:tcPr>
            <w:tcW w:w="571" w:type="pct"/>
            <w:tcBorders>
              <w:top w:val="nil"/>
              <w:bottom w:val="nil"/>
            </w:tcBorders>
            <w:shd w:val="clear" w:color="auto" w:fill="FFFFFF" w:themeFill="background1"/>
          </w:tcPr>
          <w:p w14:paraId="5060D81E"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-5,1</w:t>
            </w:r>
          </w:p>
        </w:tc>
        <w:tc>
          <w:tcPr>
            <w:tcW w:w="572" w:type="pct"/>
            <w:tcBorders>
              <w:top w:val="nil"/>
              <w:bottom w:val="nil"/>
            </w:tcBorders>
            <w:shd w:val="clear" w:color="auto" w:fill="FFFFFF" w:themeFill="background1"/>
          </w:tcPr>
          <w:p w14:paraId="2E4FD695"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-3,0</w:t>
            </w:r>
          </w:p>
        </w:tc>
        <w:tc>
          <w:tcPr>
            <w:tcW w:w="598" w:type="pct"/>
            <w:tcBorders>
              <w:top w:val="nil"/>
              <w:bottom w:val="nil"/>
            </w:tcBorders>
            <w:shd w:val="clear" w:color="auto" w:fill="FFFFFF" w:themeFill="background1"/>
          </w:tcPr>
          <w:p w14:paraId="47E7EA3F"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-5,6</w:t>
            </w:r>
          </w:p>
        </w:tc>
        <w:tc>
          <w:tcPr>
            <w:tcW w:w="598" w:type="pct"/>
            <w:tcBorders>
              <w:top w:val="nil"/>
              <w:bottom w:val="nil"/>
            </w:tcBorders>
            <w:shd w:val="clear" w:color="auto" w:fill="FFFFFF" w:themeFill="background1"/>
          </w:tcPr>
          <w:p w14:paraId="27123DBE"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-3,4</w:t>
            </w:r>
          </w:p>
        </w:tc>
        <w:tc>
          <w:tcPr>
            <w:tcW w:w="572" w:type="pct"/>
            <w:tcBorders>
              <w:top w:val="nil"/>
              <w:bottom w:val="nil"/>
            </w:tcBorders>
            <w:shd w:val="clear" w:color="auto" w:fill="FFFFFF" w:themeFill="background1"/>
          </w:tcPr>
          <w:p w14:paraId="01D7671D"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-5,3</w:t>
            </w:r>
          </w:p>
        </w:tc>
        <w:tc>
          <w:tcPr>
            <w:tcW w:w="572" w:type="pct"/>
            <w:tcBorders>
              <w:top w:val="nil"/>
              <w:bottom w:val="nil"/>
            </w:tcBorders>
            <w:shd w:val="clear" w:color="auto" w:fill="FFFFFF" w:themeFill="background1"/>
            <w:noWrap/>
          </w:tcPr>
          <w:p w14:paraId="3F9B62C8"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-3,1</w:t>
            </w:r>
          </w:p>
        </w:tc>
        <w:tc>
          <w:tcPr>
            <w:tcW w:w="572" w:type="pct"/>
            <w:tcBorders>
              <w:top w:val="nil"/>
              <w:bottom w:val="nil"/>
            </w:tcBorders>
            <w:shd w:val="clear" w:color="auto" w:fill="FFFFFF" w:themeFill="background1"/>
            <w:noWrap/>
          </w:tcPr>
          <w:p w14:paraId="472962AF"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-1,0</w:t>
            </w:r>
          </w:p>
        </w:tc>
      </w:tr>
      <w:tr w:rsidR="00252AA2" w:rsidRPr="00E13B1A" w14:paraId="4C3D5F07"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4D9FC835"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2014</w:t>
            </w:r>
          </w:p>
        </w:tc>
        <w:tc>
          <w:tcPr>
            <w:tcW w:w="574" w:type="pct"/>
            <w:tcBorders>
              <w:top w:val="nil"/>
              <w:bottom w:val="nil"/>
            </w:tcBorders>
            <w:shd w:val="clear" w:color="auto" w:fill="FFFFFF" w:themeFill="background1"/>
          </w:tcPr>
          <w:p w14:paraId="05D083F5"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-1,4</w:t>
            </w:r>
          </w:p>
        </w:tc>
        <w:tc>
          <w:tcPr>
            <w:tcW w:w="571" w:type="pct"/>
            <w:tcBorders>
              <w:top w:val="nil"/>
              <w:bottom w:val="nil"/>
            </w:tcBorders>
            <w:shd w:val="clear" w:color="auto" w:fill="FFFFFF" w:themeFill="background1"/>
          </w:tcPr>
          <w:p w14:paraId="2B62F44B"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-6,2</w:t>
            </w:r>
          </w:p>
        </w:tc>
        <w:tc>
          <w:tcPr>
            <w:tcW w:w="572" w:type="pct"/>
            <w:tcBorders>
              <w:top w:val="nil"/>
              <w:bottom w:val="nil"/>
            </w:tcBorders>
            <w:shd w:val="clear" w:color="auto" w:fill="FFFFFF" w:themeFill="background1"/>
          </w:tcPr>
          <w:p w14:paraId="0E42B41F"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-3,5</w:t>
            </w:r>
          </w:p>
        </w:tc>
        <w:tc>
          <w:tcPr>
            <w:tcW w:w="598" w:type="pct"/>
            <w:tcBorders>
              <w:top w:val="nil"/>
              <w:bottom w:val="nil"/>
            </w:tcBorders>
            <w:shd w:val="clear" w:color="auto" w:fill="FFFFFF" w:themeFill="background1"/>
          </w:tcPr>
          <w:p w14:paraId="3004B8B1"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-5,7</w:t>
            </w:r>
          </w:p>
        </w:tc>
        <w:tc>
          <w:tcPr>
            <w:tcW w:w="598" w:type="pct"/>
            <w:tcBorders>
              <w:top w:val="nil"/>
              <w:bottom w:val="nil"/>
            </w:tcBorders>
            <w:shd w:val="clear" w:color="auto" w:fill="FFFFFF" w:themeFill="background1"/>
          </w:tcPr>
          <w:p w14:paraId="402E3751"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-3,0</w:t>
            </w:r>
          </w:p>
        </w:tc>
        <w:tc>
          <w:tcPr>
            <w:tcW w:w="572" w:type="pct"/>
            <w:tcBorders>
              <w:top w:val="nil"/>
              <w:bottom w:val="nil"/>
            </w:tcBorders>
            <w:shd w:val="clear" w:color="auto" w:fill="FFFFFF" w:themeFill="background1"/>
          </w:tcPr>
          <w:p w14:paraId="480CF02C"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-4,8</w:t>
            </w:r>
          </w:p>
        </w:tc>
        <w:tc>
          <w:tcPr>
            <w:tcW w:w="572" w:type="pct"/>
            <w:tcBorders>
              <w:top w:val="nil"/>
              <w:bottom w:val="nil"/>
            </w:tcBorders>
            <w:shd w:val="clear" w:color="auto" w:fill="FFFFFF" w:themeFill="background1"/>
            <w:noWrap/>
          </w:tcPr>
          <w:p w14:paraId="3366A858"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-2,2</w:t>
            </w:r>
          </w:p>
        </w:tc>
        <w:tc>
          <w:tcPr>
            <w:tcW w:w="572" w:type="pct"/>
            <w:tcBorders>
              <w:top w:val="nil"/>
              <w:bottom w:val="nil"/>
            </w:tcBorders>
            <w:shd w:val="clear" w:color="auto" w:fill="FFFFFF" w:themeFill="background1"/>
            <w:noWrap/>
          </w:tcPr>
          <w:p w14:paraId="04550214"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-0,4</w:t>
            </w:r>
          </w:p>
        </w:tc>
      </w:tr>
      <w:tr w:rsidR="00252AA2" w:rsidRPr="00E13B1A" w14:paraId="4207A8F0"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69737E5C"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2015</w:t>
            </w:r>
          </w:p>
        </w:tc>
        <w:tc>
          <w:tcPr>
            <w:tcW w:w="574" w:type="pct"/>
            <w:tcBorders>
              <w:top w:val="nil"/>
              <w:bottom w:val="nil"/>
            </w:tcBorders>
            <w:shd w:val="clear" w:color="auto" w:fill="FFFFFF" w:themeFill="background1"/>
          </w:tcPr>
          <w:p w14:paraId="0EC38211"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-1,2</w:t>
            </w:r>
          </w:p>
        </w:tc>
        <w:tc>
          <w:tcPr>
            <w:tcW w:w="571" w:type="pct"/>
            <w:tcBorders>
              <w:top w:val="nil"/>
              <w:bottom w:val="nil"/>
            </w:tcBorders>
            <w:shd w:val="clear" w:color="auto" w:fill="FFFFFF" w:themeFill="background1"/>
          </w:tcPr>
          <w:p w14:paraId="7D617634"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-3,5</w:t>
            </w:r>
          </w:p>
        </w:tc>
        <w:tc>
          <w:tcPr>
            <w:tcW w:w="572" w:type="pct"/>
            <w:tcBorders>
              <w:top w:val="nil"/>
              <w:bottom w:val="nil"/>
            </w:tcBorders>
            <w:shd w:val="clear" w:color="auto" w:fill="FFFFFF" w:themeFill="background1"/>
          </w:tcPr>
          <w:p w14:paraId="1F00934B"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-0,5</w:t>
            </w:r>
          </w:p>
        </w:tc>
        <w:tc>
          <w:tcPr>
            <w:tcW w:w="598" w:type="pct"/>
            <w:tcBorders>
              <w:top w:val="nil"/>
              <w:bottom w:val="nil"/>
            </w:tcBorders>
            <w:shd w:val="clear" w:color="auto" w:fill="FFFFFF" w:themeFill="background1"/>
          </w:tcPr>
          <w:p w14:paraId="741F5506"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-3,0</w:t>
            </w:r>
          </w:p>
        </w:tc>
        <w:tc>
          <w:tcPr>
            <w:tcW w:w="598" w:type="pct"/>
            <w:tcBorders>
              <w:top w:val="nil"/>
              <w:bottom w:val="nil"/>
            </w:tcBorders>
            <w:shd w:val="clear" w:color="auto" w:fill="FFFFFF" w:themeFill="background1"/>
          </w:tcPr>
          <w:p w14:paraId="710DAA88"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0,0</w:t>
            </w:r>
          </w:p>
        </w:tc>
        <w:tc>
          <w:tcPr>
            <w:tcW w:w="572" w:type="pct"/>
            <w:tcBorders>
              <w:top w:val="nil"/>
              <w:bottom w:val="nil"/>
            </w:tcBorders>
            <w:shd w:val="clear" w:color="auto" w:fill="FFFFFF" w:themeFill="background1"/>
          </w:tcPr>
          <w:p w14:paraId="34541E37"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-2,2</w:t>
            </w:r>
          </w:p>
        </w:tc>
        <w:tc>
          <w:tcPr>
            <w:tcW w:w="572" w:type="pct"/>
            <w:tcBorders>
              <w:top w:val="nil"/>
              <w:bottom w:val="nil"/>
            </w:tcBorders>
            <w:shd w:val="clear" w:color="auto" w:fill="FFFFFF" w:themeFill="background1"/>
            <w:noWrap/>
          </w:tcPr>
          <w:p w14:paraId="1A17F2BC"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0,8</w:t>
            </w:r>
          </w:p>
        </w:tc>
        <w:tc>
          <w:tcPr>
            <w:tcW w:w="572" w:type="pct"/>
            <w:tcBorders>
              <w:top w:val="nil"/>
              <w:bottom w:val="nil"/>
            </w:tcBorders>
            <w:shd w:val="clear" w:color="auto" w:fill="FFFFFF" w:themeFill="background1"/>
            <w:noWrap/>
          </w:tcPr>
          <w:p w14:paraId="23C7C61A"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-3,0</w:t>
            </w:r>
          </w:p>
        </w:tc>
      </w:tr>
      <w:tr w:rsidR="00252AA2" w:rsidRPr="00E13B1A" w14:paraId="6BFE5E5D"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3AE8E2B1"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2016</w:t>
            </w:r>
          </w:p>
        </w:tc>
        <w:tc>
          <w:tcPr>
            <w:tcW w:w="574" w:type="pct"/>
            <w:tcBorders>
              <w:top w:val="nil"/>
              <w:bottom w:val="nil"/>
            </w:tcBorders>
            <w:shd w:val="clear" w:color="auto" w:fill="FFFFFF" w:themeFill="background1"/>
          </w:tcPr>
          <w:p w14:paraId="134D8289"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-0,1</w:t>
            </w:r>
          </w:p>
        </w:tc>
        <w:tc>
          <w:tcPr>
            <w:tcW w:w="571" w:type="pct"/>
            <w:tcBorders>
              <w:top w:val="nil"/>
              <w:bottom w:val="nil"/>
            </w:tcBorders>
            <w:shd w:val="clear" w:color="auto" w:fill="FFFFFF" w:themeFill="background1"/>
          </w:tcPr>
          <w:p w14:paraId="1F957A45"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-1,2</w:t>
            </w:r>
          </w:p>
        </w:tc>
        <w:tc>
          <w:tcPr>
            <w:tcW w:w="572" w:type="pct"/>
            <w:tcBorders>
              <w:top w:val="nil"/>
              <w:bottom w:val="nil"/>
            </w:tcBorders>
            <w:shd w:val="clear" w:color="auto" w:fill="FFFFFF" w:themeFill="background1"/>
          </w:tcPr>
          <w:p w14:paraId="44805AE5"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1,7</w:t>
            </w:r>
          </w:p>
        </w:tc>
        <w:tc>
          <w:tcPr>
            <w:tcW w:w="598" w:type="pct"/>
            <w:tcBorders>
              <w:top w:val="nil"/>
              <w:bottom w:val="nil"/>
            </w:tcBorders>
            <w:shd w:val="clear" w:color="auto" w:fill="FFFFFF" w:themeFill="background1"/>
          </w:tcPr>
          <w:p w14:paraId="0B2BD504"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-1,2</w:t>
            </w:r>
          </w:p>
        </w:tc>
        <w:tc>
          <w:tcPr>
            <w:tcW w:w="598" w:type="pct"/>
            <w:tcBorders>
              <w:top w:val="nil"/>
              <w:bottom w:val="nil"/>
            </w:tcBorders>
            <w:shd w:val="clear" w:color="auto" w:fill="FFFFFF" w:themeFill="background1"/>
          </w:tcPr>
          <w:p w14:paraId="2B97BB6B"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1,7</w:t>
            </w:r>
          </w:p>
        </w:tc>
        <w:tc>
          <w:tcPr>
            <w:tcW w:w="572" w:type="pct"/>
            <w:tcBorders>
              <w:top w:val="nil"/>
              <w:bottom w:val="nil"/>
            </w:tcBorders>
            <w:shd w:val="clear" w:color="auto" w:fill="FFFFFF" w:themeFill="background1"/>
          </w:tcPr>
          <w:p w14:paraId="76FDBDDA"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-1,1</w:t>
            </w:r>
          </w:p>
        </w:tc>
        <w:tc>
          <w:tcPr>
            <w:tcW w:w="572" w:type="pct"/>
            <w:tcBorders>
              <w:top w:val="nil"/>
              <w:bottom w:val="nil"/>
            </w:tcBorders>
            <w:shd w:val="clear" w:color="auto" w:fill="FFFFFF" w:themeFill="background1"/>
            <w:noWrap/>
          </w:tcPr>
          <w:p w14:paraId="7F69470F"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1,8</w:t>
            </w:r>
          </w:p>
        </w:tc>
        <w:tc>
          <w:tcPr>
            <w:tcW w:w="572" w:type="pct"/>
            <w:tcBorders>
              <w:top w:val="nil"/>
              <w:bottom w:val="nil"/>
            </w:tcBorders>
            <w:shd w:val="clear" w:color="auto" w:fill="FFFFFF" w:themeFill="background1"/>
            <w:noWrap/>
          </w:tcPr>
          <w:p w14:paraId="04D7F5D3"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-1,8</w:t>
            </w:r>
          </w:p>
        </w:tc>
      </w:tr>
      <w:tr w:rsidR="00252AA2" w:rsidRPr="00E13B1A" w14:paraId="5816B113"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18771744"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2017</w:t>
            </w:r>
          </w:p>
        </w:tc>
        <w:tc>
          <w:tcPr>
            <w:tcW w:w="574" w:type="pct"/>
            <w:tcBorders>
              <w:top w:val="nil"/>
              <w:bottom w:val="nil"/>
            </w:tcBorders>
            <w:shd w:val="clear" w:color="auto" w:fill="FFFFFF" w:themeFill="background1"/>
          </w:tcPr>
          <w:p w14:paraId="2BC43A63"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-0,6</w:t>
            </w:r>
          </w:p>
        </w:tc>
        <w:tc>
          <w:tcPr>
            <w:tcW w:w="571" w:type="pct"/>
            <w:tcBorders>
              <w:top w:val="nil"/>
              <w:bottom w:val="nil"/>
            </w:tcBorders>
            <w:shd w:val="clear" w:color="auto" w:fill="FFFFFF" w:themeFill="background1"/>
          </w:tcPr>
          <w:p w14:paraId="2200A1A9"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1,1</w:t>
            </w:r>
          </w:p>
        </w:tc>
        <w:tc>
          <w:tcPr>
            <w:tcW w:w="572" w:type="pct"/>
            <w:tcBorders>
              <w:top w:val="nil"/>
              <w:bottom w:val="nil"/>
            </w:tcBorders>
            <w:shd w:val="clear" w:color="auto" w:fill="FFFFFF" w:themeFill="background1"/>
          </w:tcPr>
          <w:p w14:paraId="0D46A4FE"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3,6</w:t>
            </w:r>
          </w:p>
        </w:tc>
        <w:tc>
          <w:tcPr>
            <w:tcW w:w="598" w:type="pct"/>
            <w:tcBorders>
              <w:top w:val="nil"/>
              <w:bottom w:val="nil"/>
            </w:tcBorders>
            <w:shd w:val="clear" w:color="auto" w:fill="FFFFFF" w:themeFill="background1"/>
          </w:tcPr>
          <w:p w14:paraId="6A345A85"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1,3</w:t>
            </w:r>
          </w:p>
        </w:tc>
        <w:tc>
          <w:tcPr>
            <w:tcW w:w="598" w:type="pct"/>
            <w:tcBorders>
              <w:top w:val="nil"/>
              <w:bottom w:val="nil"/>
            </w:tcBorders>
            <w:shd w:val="clear" w:color="auto" w:fill="FFFFFF" w:themeFill="background1"/>
          </w:tcPr>
          <w:p w14:paraId="75818DA2"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3,9</w:t>
            </w:r>
          </w:p>
        </w:tc>
        <w:tc>
          <w:tcPr>
            <w:tcW w:w="572" w:type="pct"/>
            <w:tcBorders>
              <w:top w:val="nil"/>
              <w:bottom w:val="nil"/>
            </w:tcBorders>
            <w:shd w:val="clear" w:color="auto" w:fill="FFFFFF" w:themeFill="background1"/>
          </w:tcPr>
          <w:p w14:paraId="06238095"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1,2</w:t>
            </w:r>
          </w:p>
        </w:tc>
        <w:tc>
          <w:tcPr>
            <w:tcW w:w="572" w:type="pct"/>
            <w:tcBorders>
              <w:top w:val="nil"/>
              <w:bottom w:val="nil"/>
            </w:tcBorders>
            <w:shd w:val="clear" w:color="auto" w:fill="FFFFFF" w:themeFill="background1"/>
            <w:noWrap/>
          </w:tcPr>
          <w:p w14:paraId="1B088A01"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3,7</w:t>
            </w:r>
          </w:p>
        </w:tc>
        <w:tc>
          <w:tcPr>
            <w:tcW w:w="572" w:type="pct"/>
            <w:tcBorders>
              <w:top w:val="nil"/>
              <w:bottom w:val="nil"/>
            </w:tcBorders>
            <w:shd w:val="clear" w:color="auto" w:fill="FFFFFF" w:themeFill="background1"/>
            <w:noWrap/>
          </w:tcPr>
          <w:p w14:paraId="31A312D8"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-2,1</w:t>
            </w:r>
          </w:p>
        </w:tc>
      </w:tr>
      <w:tr w:rsidR="00252AA2" w:rsidRPr="00E13B1A" w14:paraId="03456F7F"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7994001D"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2018</w:t>
            </w:r>
          </w:p>
        </w:tc>
        <w:tc>
          <w:tcPr>
            <w:tcW w:w="574" w:type="pct"/>
            <w:tcBorders>
              <w:top w:val="nil"/>
              <w:bottom w:val="nil"/>
            </w:tcBorders>
            <w:shd w:val="clear" w:color="auto" w:fill="FFFFFF" w:themeFill="background1"/>
          </w:tcPr>
          <w:p w14:paraId="3DD54D0D"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0,8</w:t>
            </w:r>
          </w:p>
        </w:tc>
        <w:tc>
          <w:tcPr>
            <w:tcW w:w="571" w:type="pct"/>
            <w:tcBorders>
              <w:top w:val="nil"/>
              <w:bottom w:val="nil"/>
            </w:tcBorders>
            <w:shd w:val="clear" w:color="auto" w:fill="FFFFFF" w:themeFill="background1"/>
          </w:tcPr>
          <w:p w14:paraId="3AF9B095"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0,6</w:t>
            </w:r>
          </w:p>
        </w:tc>
        <w:tc>
          <w:tcPr>
            <w:tcW w:w="572" w:type="pct"/>
            <w:tcBorders>
              <w:top w:val="nil"/>
              <w:bottom w:val="nil"/>
            </w:tcBorders>
            <w:shd w:val="clear" w:color="auto" w:fill="FFFFFF" w:themeFill="background1"/>
          </w:tcPr>
          <w:p w14:paraId="17F81B33"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2,7</w:t>
            </w:r>
          </w:p>
        </w:tc>
        <w:tc>
          <w:tcPr>
            <w:tcW w:w="598" w:type="pct"/>
            <w:tcBorders>
              <w:top w:val="nil"/>
              <w:bottom w:val="nil"/>
            </w:tcBorders>
            <w:shd w:val="clear" w:color="auto" w:fill="FFFFFF" w:themeFill="background1"/>
          </w:tcPr>
          <w:p w14:paraId="2438298D"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0,4</w:t>
            </w:r>
          </w:p>
        </w:tc>
        <w:tc>
          <w:tcPr>
            <w:tcW w:w="598" w:type="pct"/>
            <w:tcBorders>
              <w:top w:val="nil"/>
              <w:bottom w:val="nil"/>
            </w:tcBorders>
            <w:shd w:val="clear" w:color="auto" w:fill="FFFFFF" w:themeFill="background1"/>
          </w:tcPr>
          <w:p w14:paraId="199EDEA4"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2,5</w:t>
            </w:r>
          </w:p>
        </w:tc>
        <w:tc>
          <w:tcPr>
            <w:tcW w:w="572" w:type="pct"/>
            <w:tcBorders>
              <w:top w:val="nil"/>
              <w:bottom w:val="nil"/>
            </w:tcBorders>
            <w:shd w:val="clear" w:color="auto" w:fill="FFFFFF" w:themeFill="background1"/>
          </w:tcPr>
          <w:p w14:paraId="7ECFF9F0"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0,2</w:t>
            </w:r>
          </w:p>
        </w:tc>
        <w:tc>
          <w:tcPr>
            <w:tcW w:w="572" w:type="pct"/>
            <w:tcBorders>
              <w:top w:val="nil"/>
              <w:bottom w:val="nil"/>
            </w:tcBorders>
            <w:shd w:val="clear" w:color="auto" w:fill="FFFFFF" w:themeFill="background1"/>
            <w:noWrap/>
          </w:tcPr>
          <w:p w14:paraId="0BB46D84"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2,3</w:t>
            </w:r>
          </w:p>
        </w:tc>
        <w:tc>
          <w:tcPr>
            <w:tcW w:w="572" w:type="pct"/>
            <w:tcBorders>
              <w:top w:val="nil"/>
              <w:bottom w:val="nil"/>
            </w:tcBorders>
            <w:shd w:val="clear" w:color="auto" w:fill="FFFFFF" w:themeFill="background1"/>
            <w:noWrap/>
          </w:tcPr>
          <w:p w14:paraId="23DA2836"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1,4</w:t>
            </w:r>
          </w:p>
        </w:tc>
      </w:tr>
      <w:tr w:rsidR="00252AA2" w:rsidRPr="00E13B1A" w14:paraId="40DD3EE3"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19D30061"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2019</w:t>
            </w:r>
          </w:p>
          <w:p w14:paraId="4EC24748"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p>
        </w:tc>
        <w:tc>
          <w:tcPr>
            <w:tcW w:w="574" w:type="pct"/>
            <w:tcBorders>
              <w:top w:val="nil"/>
              <w:bottom w:val="nil"/>
            </w:tcBorders>
            <w:shd w:val="clear" w:color="auto" w:fill="FFFFFF" w:themeFill="background1"/>
          </w:tcPr>
          <w:p w14:paraId="0E356EEC"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1,9</w:t>
            </w:r>
          </w:p>
        </w:tc>
        <w:tc>
          <w:tcPr>
            <w:tcW w:w="571" w:type="pct"/>
            <w:tcBorders>
              <w:top w:val="nil"/>
              <w:bottom w:val="nil"/>
            </w:tcBorders>
            <w:shd w:val="clear" w:color="auto" w:fill="FFFFFF" w:themeFill="background1"/>
          </w:tcPr>
          <w:p w14:paraId="32ED1E70"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-0,2</w:t>
            </w:r>
          </w:p>
        </w:tc>
        <w:tc>
          <w:tcPr>
            <w:tcW w:w="572" w:type="pct"/>
            <w:tcBorders>
              <w:top w:val="nil"/>
              <w:bottom w:val="nil"/>
            </w:tcBorders>
            <w:shd w:val="clear" w:color="auto" w:fill="FFFFFF" w:themeFill="background1"/>
          </w:tcPr>
          <w:p w14:paraId="4DB58C33"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1,8</w:t>
            </w:r>
          </w:p>
        </w:tc>
        <w:tc>
          <w:tcPr>
            <w:tcW w:w="598" w:type="pct"/>
            <w:tcBorders>
              <w:top w:val="nil"/>
              <w:bottom w:val="nil"/>
            </w:tcBorders>
            <w:shd w:val="clear" w:color="auto" w:fill="FFFFFF" w:themeFill="background1"/>
          </w:tcPr>
          <w:p w14:paraId="48D04E61"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-0,9</w:t>
            </w:r>
          </w:p>
        </w:tc>
        <w:tc>
          <w:tcPr>
            <w:tcW w:w="598" w:type="pct"/>
            <w:tcBorders>
              <w:top w:val="nil"/>
              <w:bottom w:val="nil"/>
            </w:tcBorders>
            <w:shd w:val="clear" w:color="auto" w:fill="FFFFFF" w:themeFill="background1"/>
          </w:tcPr>
          <w:p w14:paraId="7A5BAE82"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1,1</w:t>
            </w:r>
          </w:p>
        </w:tc>
        <w:tc>
          <w:tcPr>
            <w:tcW w:w="572" w:type="pct"/>
            <w:tcBorders>
              <w:top w:val="nil"/>
              <w:bottom w:val="nil"/>
            </w:tcBorders>
            <w:shd w:val="clear" w:color="auto" w:fill="FFFFFF" w:themeFill="background1"/>
          </w:tcPr>
          <w:p w14:paraId="2A42B82D"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-1,1</w:t>
            </w:r>
          </w:p>
        </w:tc>
        <w:tc>
          <w:tcPr>
            <w:tcW w:w="572" w:type="pct"/>
            <w:tcBorders>
              <w:top w:val="nil"/>
              <w:bottom w:val="nil"/>
            </w:tcBorders>
            <w:shd w:val="clear" w:color="auto" w:fill="FFFFFF" w:themeFill="background1"/>
            <w:noWrap/>
          </w:tcPr>
          <w:p w14:paraId="5CA04F11"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0,9</w:t>
            </w:r>
          </w:p>
        </w:tc>
        <w:tc>
          <w:tcPr>
            <w:tcW w:w="572" w:type="pct"/>
            <w:tcBorders>
              <w:top w:val="nil"/>
              <w:bottom w:val="nil"/>
            </w:tcBorders>
            <w:shd w:val="clear" w:color="auto" w:fill="FFFFFF" w:themeFill="background1"/>
            <w:noWrap/>
          </w:tcPr>
          <w:p w14:paraId="0D062C46"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1,3</w:t>
            </w:r>
          </w:p>
        </w:tc>
      </w:tr>
      <w:tr w:rsidR="00252AA2" w:rsidRPr="00E13B1A" w14:paraId="3E32CFD9"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02C272EB"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2020</w:t>
            </w:r>
          </w:p>
          <w:p w14:paraId="78BF5CC9"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2021</w:t>
            </w:r>
          </w:p>
          <w:p w14:paraId="60578CCC"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2021</w:t>
            </w:r>
          </w:p>
          <w:p w14:paraId="19C14FBE"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202</w:t>
            </w:r>
          </w:p>
        </w:tc>
        <w:tc>
          <w:tcPr>
            <w:tcW w:w="574" w:type="pct"/>
            <w:tcBorders>
              <w:top w:val="nil"/>
              <w:bottom w:val="nil"/>
            </w:tcBorders>
            <w:shd w:val="clear" w:color="auto" w:fill="FFFFFF" w:themeFill="background1"/>
          </w:tcPr>
          <w:p w14:paraId="281CF980"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-2,3</w:t>
            </w:r>
          </w:p>
        </w:tc>
        <w:tc>
          <w:tcPr>
            <w:tcW w:w="571" w:type="pct"/>
            <w:tcBorders>
              <w:top w:val="nil"/>
              <w:bottom w:val="nil"/>
            </w:tcBorders>
            <w:shd w:val="clear" w:color="auto" w:fill="FFFFFF" w:themeFill="background1"/>
          </w:tcPr>
          <w:p w14:paraId="7A9C764B"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-8,0</w:t>
            </w:r>
          </w:p>
        </w:tc>
        <w:tc>
          <w:tcPr>
            <w:tcW w:w="572" w:type="pct"/>
            <w:tcBorders>
              <w:top w:val="nil"/>
              <w:bottom w:val="nil"/>
            </w:tcBorders>
            <w:shd w:val="clear" w:color="auto" w:fill="FFFFFF" w:themeFill="background1"/>
          </w:tcPr>
          <w:p w14:paraId="5F73106F"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-6,0</w:t>
            </w:r>
          </w:p>
        </w:tc>
        <w:tc>
          <w:tcPr>
            <w:tcW w:w="598" w:type="pct"/>
            <w:tcBorders>
              <w:top w:val="nil"/>
              <w:bottom w:val="nil"/>
            </w:tcBorders>
            <w:shd w:val="clear" w:color="auto" w:fill="FFFFFF" w:themeFill="background1"/>
          </w:tcPr>
          <w:p w14:paraId="5C4A4F75"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-7,2</w:t>
            </w:r>
          </w:p>
        </w:tc>
        <w:tc>
          <w:tcPr>
            <w:tcW w:w="598" w:type="pct"/>
            <w:tcBorders>
              <w:top w:val="nil"/>
              <w:bottom w:val="nil"/>
            </w:tcBorders>
            <w:shd w:val="clear" w:color="auto" w:fill="FFFFFF" w:themeFill="background1"/>
          </w:tcPr>
          <w:p w14:paraId="29D7333E"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-5,2</w:t>
            </w:r>
          </w:p>
        </w:tc>
        <w:tc>
          <w:tcPr>
            <w:tcW w:w="572" w:type="pct"/>
            <w:tcBorders>
              <w:top w:val="nil"/>
              <w:bottom w:val="nil"/>
            </w:tcBorders>
            <w:shd w:val="clear" w:color="auto" w:fill="FFFFFF" w:themeFill="background1"/>
          </w:tcPr>
          <w:p w14:paraId="3FD58F0A"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-0,2</w:t>
            </w:r>
          </w:p>
        </w:tc>
        <w:tc>
          <w:tcPr>
            <w:tcW w:w="572" w:type="pct"/>
            <w:tcBorders>
              <w:top w:val="nil"/>
              <w:bottom w:val="nil"/>
            </w:tcBorders>
            <w:shd w:val="clear" w:color="auto" w:fill="FFFFFF" w:themeFill="background1"/>
            <w:noWrap/>
          </w:tcPr>
          <w:p w14:paraId="7EDD5157"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1,8</w:t>
            </w:r>
          </w:p>
        </w:tc>
        <w:tc>
          <w:tcPr>
            <w:tcW w:w="572" w:type="pct"/>
            <w:tcBorders>
              <w:top w:val="nil"/>
              <w:bottom w:val="nil"/>
            </w:tcBorders>
            <w:shd w:val="clear" w:color="auto" w:fill="FFFFFF" w:themeFill="background1"/>
            <w:noWrap/>
          </w:tcPr>
          <w:p w14:paraId="0B86673A"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6,4</w:t>
            </w:r>
          </w:p>
        </w:tc>
      </w:tr>
      <w:tr w:rsidR="00252AA2" w:rsidRPr="00E13B1A" w14:paraId="36E81F68"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3E5C7F04"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2021</w:t>
            </w:r>
          </w:p>
        </w:tc>
        <w:tc>
          <w:tcPr>
            <w:tcW w:w="574" w:type="pct"/>
            <w:tcBorders>
              <w:top w:val="nil"/>
              <w:bottom w:val="nil"/>
            </w:tcBorders>
            <w:shd w:val="clear" w:color="auto" w:fill="FFFFFF" w:themeFill="background1"/>
          </w:tcPr>
          <w:p w14:paraId="7D81855B"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1,7</w:t>
            </w:r>
          </w:p>
        </w:tc>
        <w:tc>
          <w:tcPr>
            <w:tcW w:w="571" w:type="pct"/>
            <w:tcBorders>
              <w:top w:val="nil"/>
              <w:bottom w:val="nil"/>
            </w:tcBorders>
            <w:shd w:val="clear" w:color="auto" w:fill="FFFFFF" w:themeFill="background1"/>
          </w:tcPr>
          <w:p w14:paraId="6CE5EA25"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-4,1</w:t>
            </w:r>
          </w:p>
        </w:tc>
        <w:tc>
          <w:tcPr>
            <w:tcW w:w="572" w:type="pct"/>
            <w:tcBorders>
              <w:top w:val="nil"/>
              <w:bottom w:val="nil"/>
            </w:tcBorders>
            <w:shd w:val="clear" w:color="auto" w:fill="FFFFFF" w:themeFill="background1"/>
          </w:tcPr>
          <w:p w14:paraId="4B547178"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-2,4</w:t>
            </w:r>
          </w:p>
        </w:tc>
        <w:tc>
          <w:tcPr>
            <w:tcW w:w="598" w:type="pct"/>
            <w:tcBorders>
              <w:top w:val="nil"/>
              <w:bottom w:val="nil"/>
            </w:tcBorders>
            <w:shd w:val="clear" w:color="auto" w:fill="FFFFFF" w:themeFill="background1"/>
          </w:tcPr>
          <w:p w14:paraId="0191F552"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-4,7</w:t>
            </w:r>
          </w:p>
        </w:tc>
        <w:tc>
          <w:tcPr>
            <w:tcW w:w="598" w:type="pct"/>
            <w:tcBorders>
              <w:top w:val="nil"/>
              <w:bottom w:val="nil"/>
            </w:tcBorders>
            <w:shd w:val="clear" w:color="auto" w:fill="FFFFFF" w:themeFill="background1"/>
          </w:tcPr>
          <w:p w14:paraId="577CED68"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-3,0</w:t>
            </w:r>
          </w:p>
        </w:tc>
        <w:tc>
          <w:tcPr>
            <w:tcW w:w="572" w:type="pct"/>
            <w:tcBorders>
              <w:top w:val="nil"/>
              <w:bottom w:val="nil"/>
            </w:tcBorders>
            <w:shd w:val="clear" w:color="auto" w:fill="FFFFFF" w:themeFill="background1"/>
          </w:tcPr>
          <w:p w14:paraId="6EAC8579"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-0,7</w:t>
            </w:r>
          </w:p>
        </w:tc>
        <w:tc>
          <w:tcPr>
            <w:tcW w:w="572" w:type="pct"/>
            <w:tcBorders>
              <w:top w:val="nil"/>
              <w:bottom w:val="nil"/>
            </w:tcBorders>
            <w:shd w:val="clear" w:color="auto" w:fill="FFFFFF" w:themeFill="background1"/>
            <w:noWrap/>
          </w:tcPr>
          <w:p w14:paraId="6B895E54"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1,1</w:t>
            </w:r>
          </w:p>
        </w:tc>
        <w:tc>
          <w:tcPr>
            <w:tcW w:w="572" w:type="pct"/>
            <w:tcBorders>
              <w:top w:val="nil"/>
              <w:bottom w:val="nil"/>
            </w:tcBorders>
            <w:shd w:val="clear" w:color="auto" w:fill="FFFFFF" w:themeFill="background1"/>
            <w:noWrap/>
          </w:tcPr>
          <w:p w14:paraId="0FF4A199"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-2,2</w:t>
            </w:r>
          </w:p>
        </w:tc>
      </w:tr>
      <w:tr w:rsidR="00252AA2" w:rsidRPr="00E13B1A" w14:paraId="352E9500"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0209B4CC"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2022</w:t>
            </w:r>
          </w:p>
        </w:tc>
        <w:tc>
          <w:tcPr>
            <w:tcW w:w="574" w:type="pct"/>
            <w:tcBorders>
              <w:top w:val="nil"/>
              <w:bottom w:val="nil"/>
            </w:tcBorders>
            <w:shd w:val="clear" w:color="auto" w:fill="FFFFFF" w:themeFill="background1"/>
          </w:tcPr>
          <w:p w14:paraId="4969ABAF"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0,5</w:t>
            </w:r>
          </w:p>
        </w:tc>
        <w:tc>
          <w:tcPr>
            <w:tcW w:w="571" w:type="pct"/>
            <w:tcBorders>
              <w:top w:val="nil"/>
              <w:bottom w:val="nil"/>
            </w:tcBorders>
            <w:shd w:val="clear" w:color="auto" w:fill="FFFFFF" w:themeFill="background1"/>
          </w:tcPr>
          <w:p w14:paraId="75EC2D8B"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-3,2</w:t>
            </w:r>
          </w:p>
        </w:tc>
        <w:tc>
          <w:tcPr>
            <w:tcW w:w="572" w:type="pct"/>
            <w:tcBorders>
              <w:top w:val="nil"/>
              <w:bottom w:val="nil"/>
            </w:tcBorders>
            <w:shd w:val="clear" w:color="auto" w:fill="FFFFFF" w:themeFill="background1"/>
          </w:tcPr>
          <w:p w14:paraId="009C1D98"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-1,7</w:t>
            </w:r>
          </w:p>
        </w:tc>
        <w:tc>
          <w:tcPr>
            <w:tcW w:w="598" w:type="pct"/>
            <w:tcBorders>
              <w:top w:val="nil"/>
              <w:bottom w:val="nil"/>
            </w:tcBorders>
            <w:shd w:val="clear" w:color="auto" w:fill="FFFFFF" w:themeFill="background1"/>
          </w:tcPr>
          <w:p w14:paraId="0027F982"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-3,4</w:t>
            </w:r>
          </w:p>
        </w:tc>
        <w:tc>
          <w:tcPr>
            <w:tcW w:w="598" w:type="pct"/>
            <w:tcBorders>
              <w:top w:val="nil"/>
              <w:bottom w:val="nil"/>
            </w:tcBorders>
            <w:shd w:val="clear" w:color="auto" w:fill="FFFFFF" w:themeFill="background1"/>
          </w:tcPr>
          <w:p w14:paraId="189BA6EE"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-1,9</w:t>
            </w:r>
          </w:p>
        </w:tc>
        <w:tc>
          <w:tcPr>
            <w:tcW w:w="572" w:type="pct"/>
            <w:tcBorders>
              <w:top w:val="nil"/>
              <w:bottom w:val="nil"/>
            </w:tcBorders>
            <w:shd w:val="clear" w:color="auto" w:fill="FFFFFF" w:themeFill="background1"/>
          </w:tcPr>
          <w:p w14:paraId="265FA801"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0,0</w:t>
            </w:r>
          </w:p>
        </w:tc>
        <w:tc>
          <w:tcPr>
            <w:tcW w:w="572" w:type="pct"/>
            <w:tcBorders>
              <w:top w:val="nil"/>
              <w:bottom w:val="nil"/>
            </w:tcBorders>
            <w:shd w:val="clear" w:color="auto" w:fill="FFFFFF" w:themeFill="background1"/>
            <w:noWrap/>
          </w:tcPr>
          <w:p w14:paraId="3EBCEA88"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1,5</w:t>
            </w:r>
          </w:p>
        </w:tc>
        <w:tc>
          <w:tcPr>
            <w:tcW w:w="572" w:type="pct"/>
            <w:tcBorders>
              <w:top w:val="nil"/>
              <w:bottom w:val="nil"/>
            </w:tcBorders>
            <w:shd w:val="clear" w:color="auto" w:fill="FFFFFF" w:themeFill="background1"/>
            <w:noWrap/>
          </w:tcPr>
          <w:p w14:paraId="707E37C6"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-1,1</w:t>
            </w:r>
          </w:p>
        </w:tc>
      </w:tr>
      <w:tr w:rsidR="00252AA2" w:rsidRPr="00E13B1A" w14:paraId="25B96397"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5716F465"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2023</w:t>
            </w:r>
          </w:p>
        </w:tc>
        <w:tc>
          <w:tcPr>
            <w:tcW w:w="574" w:type="pct"/>
            <w:tcBorders>
              <w:top w:val="nil"/>
              <w:bottom w:val="nil"/>
            </w:tcBorders>
            <w:shd w:val="clear" w:color="auto" w:fill="FFFFFF" w:themeFill="background1"/>
          </w:tcPr>
          <w:p w14:paraId="26AAA6E7"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-0,4</w:t>
            </w:r>
          </w:p>
        </w:tc>
        <w:tc>
          <w:tcPr>
            <w:tcW w:w="571" w:type="pct"/>
            <w:tcBorders>
              <w:top w:val="nil"/>
              <w:bottom w:val="nil"/>
            </w:tcBorders>
            <w:shd w:val="clear" w:color="auto" w:fill="FFFFFF" w:themeFill="background1"/>
          </w:tcPr>
          <w:p w14:paraId="7BD1A815"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-2,8</w:t>
            </w:r>
          </w:p>
        </w:tc>
        <w:tc>
          <w:tcPr>
            <w:tcW w:w="572" w:type="pct"/>
            <w:tcBorders>
              <w:top w:val="nil"/>
              <w:bottom w:val="nil"/>
            </w:tcBorders>
            <w:shd w:val="clear" w:color="auto" w:fill="FFFFFF" w:themeFill="background1"/>
          </w:tcPr>
          <w:p w14:paraId="352A285D"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-1,0</w:t>
            </w:r>
          </w:p>
        </w:tc>
        <w:tc>
          <w:tcPr>
            <w:tcW w:w="598" w:type="pct"/>
            <w:tcBorders>
              <w:top w:val="nil"/>
              <w:bottom w:val="nil"/>
            </w:tcBorders>
            <w:shd w:val="clear" w:color="auto" w:fill="FFFFFF" w:themeFill="background1"/>
          </w:tcPr>
          <w:p w14:paraId="2D5B3FA5"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-2,7</w:t>
            </w:r>
          </w:p>
        </w:tc>
        <w:tc>
          <w:tcPr>
            <w:tcW w:w="598" w:type="pct"/>
            <w:tcBorders>
              <w:top w:val="nil"/>
              <w:bottom w:val="nil"/>
            </w:tcBorders>
            <w:shd w:val="clear" w:color="auto" w:fill="FFFFFF" w:themeFill="background1"/>
          </w:tcPr>
          <w:p w14:paraId="20A557D6"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-0,9</w:t>
            </w:r>
          </w:p>
        </w:tc>
        <w:tc>
          <w:tcPr>
            <w:tcW w:w="572" w:type="pct"/>
            <w:tcBorders>
              <w:top w:val="nil"/>
              <w:bottom w:val="nil"/>
            </w:tcBorders>
            <w:shd w:val="clear" w:color="auto" w:fill="FFFFFF" w:themeFill="background1"/>
          </w:tcPr>
          <w:p w14:paraId="02277DBE"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-2,1</w:t>
            </w:r>
          </w:p>
        </w:tc>
        <w:tc>
          <w:tcPr>
            <w:tcW w:w="572" w:type="pct"/>
            <w:tcBorders>
              <w:top w:val="nil"/>
              <w:bottom w:val="nil"/>
            </w:tcBorders>
            <w:shd w:val="clear" w:color="auto" w:fill="FFFFFF" w:themeFill="background1"/>
            <w:noWrap/>
          </w:tcPr>
          <w:p w14:paraId="400FA310"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-0,3</w:t>
            </w:r>
          </w:p>
        </w:tc>
        <w:tc>
          <w:tcPr>
            <w:tcW w:w="572" w:type="pct"/>
            <w:tcBorders>
              <w:top w:val="nil"/>
              <w:bottom w:val="nil"/>
            </w:tcBorders>
            <w:shd w:val="clear" w:color="auto" w:fill="FFFFFF" w:themeFill="background1"/>
            <w:noWrap/>
          </w:tcPr>
          <w:p w14:paraId="32EF69C4"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-1,0</w:t>
            </w:r>
          </w:p>
        </w:tc>
      </w:tr>
      <w:tr w:rsidR="00252AA2" w:rsidRPr="00E13B1A" w14:paraId="524F08CD"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542E5419" w14:textId="77777777" w:rsidR="00252AA2" w:rsidRPr="00E13B1A" w:rsidRDefault="00252AA2" w:rsidP="006272DB">
            <w:pPr>
              <w:shd w:val="clear" w:color="auto" w:fill="FFFFFF" w:themeFill="background1"/>
              <w:spacing w:line="276" w:lineRule="auto"/>
              <w:jc w:val="left"/>
              <w:rPr>
                <w:rFonts w:ascii="Calibri" w:hAnsi="Calibri" w:cs="Calibri"/>
                <w:color w:val="002060"/>
                <w:sz w:val="16"/>
                <w:szCs w:val="16"/>
                <w:lang w:val="sr-Cyrl-RS"/>
              </w:rPr>
            </w:pPr>
            <w:r w:rsidRPr="00E13B1A">
              <w:rPr>
                <w:rFonts w:ascii="Calibri" w:hAnsi="Calibri" w:cs="Calibri"/>
                <w:b w:val="0"/>
                <w:color w:val="002060"/>
                <w:sz w:val="16"/>
                <w:szCs w:val="16"/>
                <w:lang w:val="sr-Cyrl-RS"/>
              </w:rPr>
              <w:t>2024</w:t>
            </w:r>
          </w:p>
        </w:tc>
        <w:tc>
          <w:tcPr>
            <w:tcW w:w="574" w:type="pct"/>
            <w:tcBorders>
              <w:top w:val="nil"/>
              <w:bottom w:val="nil"/>
            </w:tcBorders>
            <w:shd w:val="clear" w:color="auto" w:fill="FFFFFF" w:themeFill="background1"/>
          </w:tcPr>
          <w:p w14:paraId="105D1E6C"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-0,5</w:t>
            </w:r>
          </w:p>
        </w:tc>
        <w:tc>
          <w:tcPr>
            <w:tcW w:w="571" w:type="pct"/>
            <w:tcBorders>
              <w:top w:val="nil"/>
              <w:bottom w:val="nil"/>
            </w:tcBorders>
            <w:shd w:val="clear" w:color="auto" w:fill="FFFFFF" w:themeFill="background1"/>
          </w:tcPr>
          <w:p w14:paraId="5F64D8D1"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-2,2</w:t>
            </w:r>
          </w:p>
        </w:tc>
        <w:tc>
          <w:tcPr>
            <w:tcW w:w="572" w:type="pct"/>
            <w:tcBorders>
              <w:top w:val="nil"/>
              <w:bottom w:val="nil"/>
            </w:tcBorders>
            <w:shd w:val="clear" w:color="auto" w:fill="FFFFFF" w:themeFill="background1"/>
          </w:tcPr>
          <w:p w14:paraId="3ADEC3FC"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-0,1</w:t>
            </w:r>
          </w:p>
        </w:tc>
        <w:tc>
          <w:tcPr>
            <w:tcW w:w="598" w:type="pct"/>
            <w:tcBorders>
              <w:top w:val="nil"/>
              <w:bottom w:val="nil"/>
            </w:tcBorders>
            <w:shd w:val="clear" w:color="auto" w:fill="FFFFFF" w:themeFill="background1"/>
          </w:tcPr>
          <w:p w14:paraId="0F117045"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-2,0</w:t>
            </w:r>
          </w:p>
        </w:tc>
        <w:tc>
          <w:tcPr>
            <w:tcW w:w="598" w:type="pct"/>
            <w:tcBorders>
              <w:top w:val="nil"/>
              <w:bottom w:val="nil"/>
            </w:tcBorders>
            <w:shd w:val="clear" w:color="auto" w:fill="FFFFFF" w:themeFill="background1"/>
          </w:tcPr>
          <w:p w14:paraId="2B0CB2C0"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0,1</w:t>
            </w:r>
          </w:p>
        </w:tc>
        <w:tc>
          <w:tcPr>
            <w:tcW w:w="572" w:type="pct"/>
            <w:tcBorders>
              <w:top w:val="nil"/>
              <w:bottom w:val="nil"/>
            </w:tcBorders>
            <w:shd w:val="clear" w:color="auto" w:fill="FFFFFF" w:themeFill="background1"/>
          </w:tcPr>
          <w:p w14:paraId="2132459F"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-2,0</w:t>
            </w:r>
          </w:p>
        </w:tc>
        <w:tc>
          <w:tcPr>
            <w:tcW w:w="572" w:type="pct"/>
            <w:tcBorders>
              <w:top w:val="nil"/>
              <w:bottom w:val="nil"/>
            </w:tcBorders>
            <w:shd w:val="clear" w:color="auto" w:fill="FFFFFF" w:themeFill="background1"/>
            <w:noWrap/>
          </w:tcPr>
          <w:p w14:paraId="20A59E62"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0,1</w:t>
            </w:r>
          </w:p>
        </w:tc>
        <w:tc>
          <w:tcPr>
            <w:tcW w:w="572" w:type="pct"/>
            <w:tcBorders>
              <w:top w:val="nil"/>
              <w:bottom w:val="nil"/>
            </w:tcBorders>
            <w:shd w:val="clear" w:color="auto" w:fill="FFFFFF" w:themeFill="background1"/>
            <w:noWrap/>
          </w:tcPr>
          <w:p w14:paraId="0CB9E33B"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-1,0</w:t>
            </w:r>
          </w:p>
        </w:tc>
      </w:tr>
      <w:tr w:rsidR="00252AA2" w:rsidRPr="00E13B1A" w14:paraId="5B93CDF5"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3D118D6B"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2025</w:t>
            </w:r>
          </w:p>
          <w:p w14:paraId="656B1FC1" w14:textId="77777777" w:rsidR="00252AA2" w:rsidRPr="00E13B1A" w:rsidRDefault="00252AA2" w:rsidP="006272DB">
            <w:pPr>
              <w:shd w:val="clear" w:color="auto" w:fill="FFFFFF" w:themeFill="background1"/>
              <w:spacing w:line="276" w:lineRule="auto"/>
              <w:jc w:val="left"/>
              <w:rPr>
                <w:rFonts w:ascii="Calibri" w:hAnsi="Calibri" w:cs="Calibri"/>
                <w:color w:val="002060"/>
                <w:sz w:val="16"/>
                <w:szCs w:val="16"/>
                <w:lang w:val="sr-Cyrl-RS"/>
              </w:rPr>
            </w:pPr>
          </w:p>
        </w:tc>
        <w:tc>
          <w:tcPr>
            <w:tcW w:w="574" w:type="pct"/>
            <w:tcBorders>
              <w:top w:val="nil"/>
              <w:bottom w:val="nil"/>
            </w:tcBorders>
            <w:shd w:val="clear" w:color="auto" w:fill="FFFFFF" w:themeFill="background1"/>
          </w:tcPr>
          <w:p w14:paraId="59AE1FCE"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-0,3</w:t>
            </w:r>
          </w:p>
        </w:tc>
        <w:tc>
          <w:tcPr>
            <w:tcW w:w="571" w:type="pct"/>
            <w:tcBorders>
              <w:top w:val="nil"/>
              <w:bottom w:val="nil"/>
            </w:tcBorders>
            <w:shd w:val="clear" w:color="auto" w:fill="FFFFFF" w:themeFill="background1"/>
          </w:tcPr>
          <w:p w14:paraId="080702DF"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-1,5</w:t>
            </w:r>
          </w:p>
        </w:tc>
        <w:tc>
          <w:tcPr>
            <w:tcW w:w="572" w:type="pct"/>
            <w:tcBorders>
              <w:top w:val="nil"/>
              <w:bottom w:val="nil"/>
            </w:tcBorders>
            <w:shd w:val="clear" w:color="auto" w:fill="FFFFFF" w:themeFill="background1"/>
          </w:tcPr>
          <w:p w14:paraId="1005E11C"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0,6</w:t>
            </w:r>
          </w:p>
        </w:tc>
        <w:tc>
          <w:tcPr>
            <w:tcW w:w="598" w:type="pct"/>
            <w:tcBorders>
              <w:top w:val="nil"/>
              <w:bottom w:val="nil"/>
            </w:tcBorders>
            <w:shd w:val="clear" w:color="auto" w:fill="FFFFFF" w:themeFill="background1"/>
          </w:tcPr>
          <w:p w14:paraId="4C999636"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-1,4</w:t>
            </w:r>
          </w:p>
        </w:tc>
        <w:tc>
          <w:tcPr>
            <w:tcW w:w="598" w:type="pct"/>
            <w:tcBorders>
              <w:top w:val="nil"/>
              <w:bottom w:val="nil"/>
            </w:tcBorders>
            <w:shd w:val="clear" w:color="auto" w:fill="FFFFFF" w:themeFill="background1"/>
          </w:tcPr>
          <w:p w14:paraId="3B246172"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0,8</w:t>
            </w:r>
          </w:p>
        </w:tc>
        <w:tc>
          <w:tcPr>
            <w:tcW w:w="572" w:type="pct"/>
            <w:tcBorders>
              <w:top w:val="nil"/>
              <w:bottom w:val="nil"/>
            </w:tcBorders>
            <w:shd w:val="clear" w:color="auto" w:fill="FFFFFF" w:themeFill="background1"/>
          </w:tcPr>
          <w:p w14:paraId="7DBB255B"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-1,4</w:t>
            </w:r>
          </w:p>
        </w:tc>
        <w:tc>
          <w:tcPr>
            <w:tcW w:w="572" w:type="pct"/>
            <w:tcBorders>
              <w:top w:val="nil"/>
              <w:bottom w:val="nil"/>
            </w:tcBorders>
            <w:shd w:val="clear" w:color="auto" w:fill="FFFFFF" w:themeFill="background1"/>
            <w:noWrap/>
          </w:tcPr>
          <w:p w14:paraId="0F951730"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0,8</w:t>
            </w:r>
          </w:p>
        </w:tc>
        <w:tc>
          <w:tcPr>
            <w:tcW w:w="572" w:type="pct"/>
            <w:tcBorders>
              <w:top w:val="nil"/>
              <w:bottom w:val="nil"/>
            </w:tcBorders>
            <w:shd w:val="clear" w:color="auto" w:fill="FFFFFF" w:themeFill="background1"/>
            <w:noWrap/>
          </w:tcPr>
          <w:p w14:paraId="65A73B1E" w14:textId="77777777" w:rsidR="00252AA2" w:rsidRPr="00E13B1A" w:rsidRDefault="00252AA2" w:rsidP="006272DB">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-0,7</w:t>
            </w:r>
          </w:p>
        </w:tc>
      </w:tr>
      <w:tr w:rsidR="00252AA2" w:rsidRPr="00E13B1A" w14:paraId="09FFC3B5"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single" w:sz="4" w:space="0" w:color="002060"/>
            </w:tcBorders>
            <w:shd w:val="clear" w:color="auto" w:fill="FFFFFF" w:themeFill="background1"/>
            <w:noWrap/>
          </w:tcPr>
          <w:p w14:paraId="50510499" w14:textId="77777777" w:rsidR="00252AA2" w:rsidRPr="00E13B1A" w:rsidRDefault="00252AA2" w:rsidP="006272DB">
            <w:pPr>
              <w:shd w:val="clear" w:color="auto" w:fill="FFFFFF" w:themeFill="background1"/>
              <w:spacing w:line="276" w:lineRule="auto"/>
              <w:jc w:val="left"/>
              <w:rPr>
                <w:rFonts w:ascii="Calibri" w:hAnsi="Calibri" w:cs="Calibri"/>
                <w:b w:val="0"/>
                <w:color w:val="002060"/>
                <w:sz w:val="16"/>
                <w:szCs w:val="16"/>
                <w:lang w:val="sr-Cyrl-RS"/>
              </w:rPr>
            </w:pPr>
            <w:r w:rsidRPr="00E13B1A">
              <w:rPr>
                <w:rFonts w:ascii="Calibri" w:hAnsi="Calibri" w:cs="Calibri"/>
                <w:b w:val="0"/>
                <w:color w:val="002060"/>
                <w:sz w:val="16"/>
                <w:szCs w:val="16"/>
                <w:lang w:val="sr-Cyrl-RS"/>
              </w:rPr>
              <w:t>2026</w:t>
            </w:r>
          </w:p>
        </w:tc>
        <w:tc>
          <w:tcPr>
            <w:tcW w:w="574" w:type="pct"/>
            <w:tcBorders>
              <w:top w:val="nil"/>
              <w:bottom w:val="single" w:sz="4" w:space="0" w:color="002060"/>
            </w:tcBorders>
            <w:shd w:val="clear" w:color="auto" w:fill="FFFFFF" w:themeFill="background1"/>
          </w:tcPr>
          <w:p w14:paraId="4F2A3E31"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0,1</w:t>
            </w:r>
          </w:p>
        </w:tc>
        <w:tc>
          <w:tcPr>
            <w:tcW w:w="571" w:type="pct"/>
            <w:tcBorders>
              <w:top w:val="nil"/>
              <w:bottom w:val="single" w:sz="4" w:space="0" w:color="002060"/>
            </w:tcBorders>
            <w:shd w:val="clear" w:color="auto" w:fill="FFFFFF" w:themeFill="background1"/>
          </w:tcPr>
          <w:p w14:paraId="22A0CB20"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-1,5</w:t>
            </w:r>
          </w:p>
        </w:tc>
        <w:tc>
          <w:tcPr>
            <w:tcW w:w="572" w:type="pct"/>
            <w:tcBorders>
              <w:top w:val="nil"/>
              <w:bottom w:val="single" w:sz="4" w:space="0" w:color="002060"/>
            </w:tcBorders>
            <w:shd w:val="clear" w:color="auto" w:fill="FFFFFF" w:themeFill="background1"/>
          </w:tcPr>
          <w:p w14:paraId="0D9D3EA1"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0,8</w:t>
            </w:r>
          </w:p>
        </w:tc>
        <w:tc>
          <w:tcPr>
            <w:tcW w:w="598" w:type="pct"/>
            <w:tcBorders>
              <w:top w:val="nil"/>
              <w:bottom w:val="single" w:sz="4" w:space="0" w:color="002060"/>
            </w:tcBorders>
            <w:shd w:val="clear" w:color="auto" w:fill="FFFFFF" w:themeFill="background1"/>
          </w:tcPr>
          <w:p w14:paraId="64785C36"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-1,5</w:t>
            </w:r>
          </w:p>
        </w:tc>
        <w:tc>
          <w:tcPr>
            <w:tcW w:w="598" w:type="pct"/>
            <w:tcBorders>
              <w:top w:val="nil"/>
              <w:bottom w:val="single" w:sz="4" w:space="0" w:color="002060"/>
            </w:tcBorders>
            <w:shd w:val="clear" w:color="auto" w:fill="FFFFFF" w:themeFill="background1"/>
          </w:tcPr>
          <w:p w14:paraId="78766685"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0,8</w:t>
            </w:r>
          </w:p>
        </w:tc>
        <w:tc>
          <w:tcPr>
            <w:tcW w:w="572" w:type="pct"/>
            <w:tcBorders>
              <w:top w:val="nil"/>
              <w:bottom w:val="single" w:sz="4" w:space="0" w:color="002060"/>
            </w:tcBorders>
            <w:shd w:val="clear" w:color="auto" w:fill="FFFFFF" w:themeFill="background1"/>
          </w:tcPr>
          <w:p w14:paraId="7147F386"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-1,5</w:t>
            </w:r>
          </w:p>
        </w:tc>
        <w:tc>
          <w:tcPr>
            <w:tcW w:w="572" w:type="pct"/>
            <w:tcBorders>
              <w:top w:val="nil"/>
              <w:bottom w:val="single" w:sz="4" w:space="0" w:color="002060"/>
            </w:tcBorders>
            <w:shd w:val="clear" w:color="auto" w:fill="FFFFFF" w:themeFill="background1"/>
            <w:noWrap/>
          </w:tcPr>
          <w:p w14:paraId="70565B94"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0,8</w:t>
            </w:r>
          </w:p>
        </w:tc>
        <w:tc>
          <w:tcPr>
            <w:tcW w:w="572" w:type="pct"/>
            <w:tcBorders>
              <w:top w:val="nil"/>
              <w:bottom w:val="single" w:sz="4" w:space="0" w:color="002060"/>
            </w:tcBorders>
            <w:shd w:val="clear" w:color="auto" w:fill="FFFFFF" w:themeFill="background1"/>
            <w:noWrap/>
          </w:tcPr>
          <w:p w14:paraId="3C043F5E" w14:textId="77777777" w:rsidR="00252AA2" w:rsidRPr="00E13B1A" w:rsidRDefault="00252AA2" w:rsidP="006272DB">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E13B1A">
              <w:rPr>
                <w:rFonts w:ascii="Calibri" w:hAnsi="Calibri" w:cs="Calibri"/>
                <w:color w:val="002060"/>
                <w:sz w:val="16"/>
                <w:szCs w:val="16"/>
                <w:lang w:val="sr-Cyrl-RS"/>
              </w:rPr>
              <w:t>0,0</w:t>
            </w:r>
          </w:p>
        </w:tc>
      </w:tr>
    </w:tbl>
    <w:p w14:paraId="34039FF7" w14:textId="77777777" w:rsidR="00252AA2" w:rsidRPr="00E13B1A" w:rsidRDefault="00252AA2" w:rsidP="00E124CF">
      <w:pPr>
        <w:shd w:val="clear" w:color="auto" w:fill="FFFFFF" w:themeFill="background1"/>
        <w:spacing w:before="40" w:after="0" w:line="276" w:lineRule="auto"/>
        <w:rPr>
          <w:rFonts w:ascii="Calibri" w:eastAsia="MS PGothic" w:hAnsi="Calibri" w:cs="Calibri"/>
          <w:sz w:val="16"/>
          <w:szCs w:val="16"/>
          <w:lang w:val="sr-Cyrl-RS" w:eastAsia="ja-JP"/>
        </w:rPr>
      </w:pPr>
      <w:r w:rsidRPr="00E13B1A">
        <w:rPr>
          <w:rFonts w:ascii="Calibri" w:eastAsia="MS PGothic" w:hAnsi="Calibri" w:cs="Calibri"/>
          <w:bCs/>
          <w:sz w:val="16"/>
          <w:szCs w:val="16"/>
          <w:lang w:val="sr-Cyrl-RS" w:eastAsia="ja-JP"/>
        </w:rPr>
        <w:t xml:space="preserve">* </w:t>
      </w:r>
      <w:r w:rsidRPr="00E13B1A">
        <w:rPr>
          <w:rFonts w:ascii="Calibri" w:eastAsia="MS PGothic" w:hAnsi="Calibri" w:cs="Calibri"/>
          <w:sz w:val="16"/>
          <w:szCs w:val="16"/>
          <w:lang w:val="sr-Cyrl-RS" w:eastAsia="ja-JP"/>
        </w:rPr>
        <w:t>За период 2023–2026. године приказане су пројектоване вредности.</w:t>
      </w:r>
    </w:p>
    <w:p w14:paraId="0A1C9CD4" w14:textId="77777777" w:rsidR="00252AA2" w:rsidRPr="00E13B1A" w:rsidRDefault="00252AA2" w:rsidP="000D3688">
      <w:pPr>
        <w:shd w:val="clear" w:color="auto" w:fill="FFFFFF" w:themeFill="background1"/>
        <w:spacing w:after="0" w:line="276" w:lineRule="auto"/>
        <w:rPr>
          <w:rFonts w:ascii="Calibri" w:eastAsia="MS PGothic" w:hAnsi="Calibri" w:cs="Calibri"/>
          <w:sz w:val="16"/>
          <w:szCs w:val="16"/>
          <w:lang w:val="sr-Cyrl-RS" w:eastAsia="ja-JP"/>
        </w:rPr>
      </w:pPr>
      <w:r w:rsidRPr="00E13B1A">
        <w:rPr>
          <w:rFonts w:ascii="Calibri" w:eastAsia="MS PGothic" w:hAnsi="Calibri" w:cs="Calibri"/>
          <w:bCs/>
          <w:sz w:val="16"/>
          <w:szCs w:val="16"/>
          <w:lang w:val="sr-Cyrl-RS" w:eastAsia="ja-JP"/>
        </w:rPr>
        <w:t>** Структурни примарни биланс добијен је искључивањем процењених једнократних прихода и расхода</w:t>
      </w:r>
      <w:r w:rsidRPr="00E13B1A">
        <w:rPr>
          <w:rFonts w:ascii="Calibri" w:eastAsia="MS PGothic" w:hAnsi="Calibri" w:cs="Calibri"/>
          <w:sz w:val="16"/>
          <w:szCs w:val="16"/>
          <w:lang w:val="sr-Cyrl-RS" w:eastAsia="ja-JP"/>
        </w:rPr>
        <w:t>. Резултати који приказују промену структурног примарног дефицита не искључују експлицитно ефекте повећања ефикасности наплате прихода, па се оцена структурног прилагођавања у 2015. и 2016. години делимично разликује од претходно приказаних ефеката.</w:t>
      </w:r>
    </w:p>
    <w:p w14:paraId="06B9192E" w14:textId="77777777" w:rsidR="00252AA2" w:rsidRPr="00E13B1A" w:rsidRDefault="00252AA2" w:rsidP="000D3688">
      <w:pPr>
        <w:spacing w:line="276" w:lineRule="auto"/>
        <w:rPr>
          <w:rFonts w:ascii="Calibri" w:eastAsia="Calibri" w:hAnsi="Calibri" w:cs="Calibri"/>
          <w:sz w:val="16"/>
          <w:szCs w:val="20"/>
          <w:lang w:val="sr-Cyrl-RS"/>
        </w:rPr>
      </w:pPr>
      <w:r w:rsidRPr="00E13B1A">
        <w:rPr>
          <w:rFonts w:ascii="Calibri" w:eastAsia="Calibri" w:hAnsi="Calibri" w:cs="Calibri"/>
          <w:sz w:val="16"/>
          <w:szCs w:val="16"/>
          <w:lang w:val="sr-Cyrl-RS"/>
        </w:rPr>
        <w:t xml:space="preserve">Извор: </w:t>
      </w:r>
      <w:r w:rsidRPr="00E13B1A">
        <w:rPr>
          <w:rFonts w:ascii="Calibri" w:eastAsia="Calibri" w:hAnsi="Calibri" w:cs="Calibri"/>
          <w:sz w:val="16"/>
          <w:szCs w:val="20"/>
          <w:lang w:val="sr-Cyrl-RS"/>
        </w:rPr>
        <w:t>Министарство финансија</w:t>
      </w:r>
    </w:p>
    <w:p w14:paraId="0607BAFA" w14:textId="77777777" w:rsidR="00252AA2" w:rsidRPr="00E13B1A" w:rsidRDefault="00252AA2" w:rsidP="000D3688">
      <w:pPr>
        <w:spacing w:line="276" w:lineRule="auto"/>
        <w:rPr>
          <w:rFonts w:ascii="Calibri" w:eastAsia="Calibri" w:hAnsi="Calibri" w:cs="Calibri"/>
          <w:sz w:val="16"/>
          <w:szCs w:val="16"/>
          <w:lang w:val="sr-Cyrl-RS"/>
        </w:rPr>
        <w:sectPr w:rsidR="00252AA2" w:rsidRPr="00E13B1A" w:rsidSect="000D3688">
          <w:type w:val="continuous"/>
          <w:pgSz w:w="12240" w:h="15840" w:code="1"/>
          <w:pgMar w:top="1417" w:right="1417" w:bottom="1417" w:left="1417" w:header="720" w:footer="720" w:gutter="0"/>
          <w:cols w:space="720"/>
        </w:sectPr>
      </w:pPr>
    </w:p>
    <w:p w14:paraId="719CC450" w14:textId="77777777" w:rsidR="00252AA2" w:rsidRPr="00E13B1A" w:rsidRDefault="00252AA2" w:rsidP="000D3688">
      <w:pPr>
        <w:spacing w:after="0"/>
        <w:jc w:val="center"/>
        <w:rPr>
          <w:color w:val="002060"/>
          <w:lang w:val="sr-Cyrl-RS" w:eastAsia="sr-Cyrl-RS"/>
        </w:rPr>
      </w:pPr>
      <w:r w:rsidRPr="00E13B1A">
        <w:rPr>
          <w:rFonts w:cstheme="minorHAnsi"/>
          <w:b/>
          <w:color w:val="002060"/>
          <w:lang w:val="sr-Cyrl-RS"/>
        </w:rPr>
        <w:t>Производни јаз, циклично прилаг. и структурни фиск. биланс у периоду 2005–2026. год, % БДП*</w:t>
      </w:r>
    </w:p>
    <w:p w14:paraId="26241372" w14:textId="77777777" w:rsidR="00252AA2" w:rsidRPr="00E13B1A" w:rsidRDefault="00252AA2" w:rsidP="00E124CF">
      <w:pPr>
        <w:spacing w:after="0"/>
        <w:jc w:val="left"/>
        <w:rPr>
          <w:lang w:val="sr-Cyrl-RS" w:eastAsia="sr-Cyrl-RS"/>
        </w:rPr>
      </w:pPr>
      <w:r w:rsidRPr="00E13B1A">
        <w:rPr>
          <w:noProof/>
        </w:rPr>
        <w:drawing>
          <wp:inline distT="0" distB="0" distL="0" distR="0" wp14:anchorId="0A22F7BA" wp14:editId="7A863FA8">
            <wp:extent cx="2757805" cy="2400300"/>
            <wp:effectExtent l="0" t="0" r="4445" b="0"/>
            <wp:docPr id="308761601" name="Chart 30876160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6"/>
              </a:graphicData>
            </a:graphic>
          </wp:inline>
        </w:drawing>
      </w:r>
    </w:p>
    <w:p w14:paraId="510AC2EC" w14:textId="77777777" w:rsidR="00252AA2" w:rsidRPr="00E13B1A" w:rsidRDefault="00252AA2" w:rsidP="002F6B52">
      <w:pPr>
        <w:jc w:val="left"/>
        <w:rPr>
          <w:rFonts w:ascii="Calibri" w:eastAsia="MS PGothic" w:hAnsi="Calibri" w:cs="Calibri"/>
          <w:sz w:val="16"/>
          <w:szCs w:val="20"/>
          <w:lang w:val="sr-Cyrl-RS" w:eastAsia="ja-JP"/>
        </w:rPr>
      </w:pPr>
      <w:r w:rsidRPr="00E13B1A">
        <w:rPr>
          <w:rFonts w:ascii="Calibri" w:eastAsia="MS PGothic" w:hAnsi="Calibri" w:cs="Calibri"/>
          <w:sz w:val="16"/>
          <w:szCs w:val="20"/>
          <w:lang w:val="sr-Cyrl-RS" w:eastAsia="ja-JP"/>
        </w:rPr>
        <w:t>* За период 2023–2026. године приказане су пројектоване вредности.</w:t>
      </w:r>
    </w:p>
    <w:p w14:paraId="24E4AEA7" w14:textId="77777777" w:rsidR="00252AA2" w:rsidRPr="00E13B1A" w:rsidRDefault="00252AA2" w:rsidP="00730036">
      <w:pPr>
        <w:spacing w:after="0"/>
        <w:jc w:val="center"/>
        <w:rPr>
          <w:rFonts w:cstheme="minorHAnsi"/>
          <w:b/>
          <w:color w:val="002060"/>
          <w:lang w:val="sr-Cyrl-RS"/>
        </w:rPr>
      </w:pPr>
      <w:r w:rsidRPr="00E13B1A">
        <w:rPr>
          <w:rFonts w:cstheme="minorHAnsi"/>
          <w:b/>
          <w:color w:val="002060"/>
          <w:lang w:val="sr-Cyrl-RS"/>
        </w:rPr>
        <w:t>Карактер и ефекти фискалне политике у периоду 2006–2026. године, % БДП*</w:t>
      </w:r>
    </w:p>
    <w:p w14:paraId="740D0B1D" w14:textId="77777777" w:rsidR="00252AA2" w:rsidRPr="00E13B1A" w:rsidRDefault="00252AA2" w:rsidP="00730036">
      <w:pPr>
        <w:spacing w:after="0"/>
        <w:jc w:val="center"/>
        <w:rPr>
          <w:color w:val="002060"/>
          <w:lang w:val="sr-Cyrl-RS" w:eastAsia="sr-Cyrl-RS"/>
        </w:rPr>
      </w:pPr>
      <w:r w:rsidRPr="00E13B1A">
        <w:rPr>
          <w:noProof/>
        </w:rPr>
        <w:drawing>
          <wp:inline distT="0" distB="0" distL="0" distR="0" wp14:anchorId="0B450CDE" wp14:editId="730B456F">
            <wp:extent cx="2757805" cy="2400300"/>
            <wp:effectExtent l="0" t="0" r="4445" b="0"/>
            <wp:docPr id="308761602" name="Chart 30876160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7"/>
              </a:graphicData>
            </a:graphic>
          </wp:inline>
        </w:drawing>
      </w:r>
    </w:p>
    <w:p w14:paraId="33705E8F" w14:textId="77777777" w:rsidR="00252AA2" w:rsidRPr="00E13B1A" w:rsidRDefault="00252AA2" w:rsidP="002F6B52">
      <w:pPr>
        <w:jc w:val="left"/>
        <w:rPr>
          <w:rFonts w:ascii="Calibri" w:eastAsia="MS PGothic" w:hAnsi="Calibri" w:cs="Calibri"/>
          <w:sz w:val="16"/>
          <w:szCs w:val="20"/>
          <w:lang w:val="sr-Cyrl-RS" w:eastAsia="ja-JP"/>
        </w:rPr>
      </w:pPr>
      <w:r w:rsidRPr="00E13B1A">
        <w:rPr>
          <w:rFonts w:ascii="Calibri" w:eastAsia="MS PGothic" w:hAnsi="Calibri" w:cs="Calibri"/>
          <w:sz w:val="16"/>
          <w:szCs w:val="20"/>
          <w:lang w:val="sr-Cyrl-RS" w:eastAsia="ja-JP"/>
        </w:rPr>
        <w:t>* За период 2023–2026. године приказане су пројектоване вредности.</w:t>
      </w:r>
    </w:p>
    <w:p w14:paraId="78E853B6" w14:textId="77777777" w:rsidR="00252AA2" w:rsidRPr="00E13B1A" w:rsidRDefault="00252AA2" w:rsidP="002F6B52">
      <w:pPr>
        <w:jc w:val="left"/>
        <w:rPr>
          <w:rFonts w:ascii="Calibri" w:eastAsia="MS PGothic" w:hAnsi="Calibri" w:cs="Calibri"/>
          <w:sz w:val="16"/>
          <w:szCs w:val="20"/>
          <w:lang w:val="sr-Cyrl-RS" w:eastAsia="ja-JP"/>
        </w:rPr>
        <w:sectPr w:rsidR="00252AA2" w:rsidRPr="00E13B1A" w:rsidSect="000D3688">
          <w:type w:val="continuous"/>
          <w:pgSz w:w="12240" w:h="15840" w:code="1"/>
          <w:pgMar w:top="1417" w:right="1417" w:bottom="1417" w:left="1417" w:header="720" w:footer="720" w:gutter="0"/>
          <w:cols w:num="2" w:space="720"/>
        </w:sectPr>
      </w:pPr>
    </w:p>
    <w:p w14:paraId="03E05D10" w14:textId="07E07863" w:rsidR="00252AA2" w:rsidRPr="00E13B1A" w:rsidRDefault="00252AA2" w:rsidP="00E124CF">
      <w:pPr>
        <w:spacing w:after="120"/>
        <w:rPr>
          <w:lang w:val="sr-Cyrl-RS" w:eastAsia="ja-JP"/>
        </w:rPr>
      </w:pPr>
      <w:r w:rsidRPr="00E13B1A">
        <w:rPr>
          <w:rFonts w:ascii="Calibri" w:eastAsia="Calibri" w:hAnsi="Calibri" w:cs="Calibri"/>
          <w:bCs/>
          <w:szCs w:val="20"/>
          <w:lang w:val="sr-Cyrl-RS"/>
        </w:rPr>
        <w:lastRenderedPageBreak/>
        <w:t>Структурна фискална позиција земље није нарушена у периоду између 2020. и 2022. године, због тога што су спроведене мере помоћи привреди и становништву из домена фискалне политике биле временски ограниченог карактера.</w:t>
      </w:r>
      <w:r w:rsidRPr="00E13B1A">
        <w:rPr>
          <w:rFonts w:ascii="Calibri" w:eastAsia="Calibri" w:hAnsi="Calibri" w:cs="Calibri"/>
          <w:szCs w:val="20"/>
          <w:lang w:val="sr-Cyrl-RS"/>
        </w:rPr>
        <w:t xml:space="preserve"> Осим тога, енергетска криза условила је значајне интервенције државе у домену обезбеђивања енергетске стабилности у 2022. години. На ове потребе, утрошено</w:t>
      </w:r>
      <w:r w:rsidR="00512038">
        <w:rPr>
          <w:rFonts w:ascii="Calibri" w:eastAsia="Calibri" w:hAnsi="Calibri" w:cs="Calibri"/>
          <w:szCs w:val="20"/>
          <w:lang w:val="sr-Cyrl-RS"/>
        </w:rPr>
        <w:t xml:space="preserve"> је 2,8% БДП. Током 2022. годинe</w:t>
      </w:r>
      <w:r w:rsidRPr="00E13B1A">
        <w:rPr>
          <w:rFonts w:ascii="Calibri" w:eastAsia="Calibri" w:hAnsi="Calibri" w:cs="Calibri"/>
          <w:szCs w:val="20"/>
          <w:lang w:val="sr-Cyrl-RS"/>
        </w:rPr>
        <w:t xml:space="preserve"> реализован је и одређени износ средстава као вид помоћи становништву у висини од 0,9% БДП. Осим повећаних издатака за енергенте, помоћ становништву и привреди, обезбеђена је и смањењем акциза на </w:t>
      </w:r>
      <w:r w:rsidRPr="00E13B1A">
        <w:rPr>
          <w:lang w:val="sr-Cyrl-RS" w:eastAsia="ja-JP"/>
        </w:rPr>
        <w:t>нафтне деривате.</w:t>
      </w:r>
    </w:p>
    <w:p w14:paraId="515EF0AC" w14:textId="77777777" w:rsidR="00252AA2" w:rsidRPr="00E13B1A" w:rsidRDefault="00252AA2" w:rsidP="00E124CF">
      <w:pPr>
        <w:spacing w:after="120"/>
        <w:rPr>
          <w:rFonts w:ascii="Calibri" w:eastAsia="Calibri" w:hAnsi="Calibri" w:cs="Calibri"/>
          <w:szCs w:val="20"/>
          <w:lang w:val="sr-Cyrl-RS"/>
        </w:rPr>
      </w:pPr>
      <w:r w:rsidRPr="00E13B1A">
        <w:rPr>
          <w:bCs/>
          <w:lang w:val="sr-Cyrl-RS" w:eastAsia="ja-JP"/>
        </w:rPr>
        <w:t>Током 2023. године</w:t>
      </w:r>
      <w:r w:rsidRPr="00E13B1A">
        <w:rPr>
          <w:lang w:val="sr-Cyrl-RS" w:eastAsia="ja-JP"/>
        </w:rPr>
        <w:t>, промена у структурној позицији сектора државе делом је условљена изменом формуле за усклађивање пензија у складу са новим фискалним правилима као и ванредним повећањем висине пензија у 2022. и 2023. години. Ново посебно фискално правило уводи директну везу између начина усклађивања пензија и учешћа овог облика расхода у БДП. Овакво системско решење обезбеђује да се не угрози одрживост јавних финансија, а да примања и стандард пензионера у већој мери рефлектују економску снагу земље. Остатак благог погоршања структурне фискалне позиције последица је и раста учешћа расхода за камате у БДП. Увећани трошкови задуживања, као последица мера за сузбијање инфлаторних тенденција на домаћем и међународном тржишту, свакако ће и у наредном периоду имати негативан ефекат сличног интензитета. Међутим, сет усвојених фискалних правила, поред осталог, предвиђа директну везу између планираних нивоа фискалног резултата и учешћа јавног дуга у БДП. На тај начин, поставља се и граница структурног фискалног резултата у средњем и дугом року, са основним циљем да се обезбеди одржив ниво јавног дуга.</w:t>
      </w:r>
    </w:p>
    <w:p w14:paraId="4243E9B9" w14:textId="77777777" w:rsidR="00252AA2" w:rsidRPr="00E13B1A" w:rsidRDefault="00252AA2" w:rsidP="000D3688">
      <w:pPr>
        <w:spacing w:after="120"/>
        <w:rPr>
          <w:rFonts w:eastAsia="MS PGothic" w:cs="Calibri"/>
          <w:szCs w:val="20"/>
          <w:lang w:val="sr-Cyrl-RS" w:eastAsia="ja-JP"/>
        </w:rPr>
      </w:pPr>
      <w:r w:rsidRPr="00E13B1A">
        <w:rPr>
          <w:lang w:val="sr-Cyrl-RS" w:eastAsia="ja-JP"/>
        </w:rPr>
        <w:t xml:space="preserve">Како је фискални импулс дефинисан као разлика два узастопна циклично прилагођена (примарна) </w:t>
      </w:r>
      <w:r w:rsidRPr="00E13B1A">
        <w:rPr>
          <w:lang w:val="sr-Cyrl-RS" w:eastAsia="ja-JP"/>
        </w:rPr>
        <w:t>резултата, оцењује се да је фискална политика током 2020. године била изразито експанзивно-контрациклична, усмерена на ублажавање негативног економског циклуса. Услед нешто мањег обима пакета мера економске подршке у 2021. години, фискална политика је рестриктивнија него претходне године, а по карактеру такође контрациклична. У 2022. и 2023. години оцењено је да је фискална политика благо рестриктивна, и поред значајних издвајања за ублажавање енергетске кризе. Делом је то и последица раста расхода за камате који се искључују из обрачуна примарног резултата. Сличан рестриктиван карактер политике, а услед потребе да се фискални резултати доведу на ниво предвиђен фискалним правилима, очекује се и у периоду од 2024. до 2026. године.</w:t>
      </w:r>
    </w:p>
    <w:p w14:paraId="426A45FC" w14:textId="77777777" w:rsidR="00252AA2" w:rsidRPr="00E13B1A" w:rsidRDefault="00252AA2" w:rsidP="000D3688">
      <w:pPr>
        <w:spacing w:after="120"/>
        <w:jc w:val="center"/>
        <w:rPr>
          <w:color w:val="002060"/>
          <w:lang w:val="sr-Cyrl-RS"/>
        </w:rPr>
      </w:pPr>
      <w:r w:rsidRPr="00E13B1A">
        <w:rPr>
          <w:rFonts w:cstheme="minorHAnsi"/>
          <w:b/>
          <w:color w:val="002060"/>
          <w:lang w:val="sr-Cyrl-RS"/>
        </w:rPr>
        <w:t>Карактер и ефекти фискалне политике у периоду 2006–2023. године, % БДП</w:t>
      </w:r>
    </w:p>
    <w:p w14:paraId="020B9DFB" w14:textId="77777777" w:rsidR="00252AA2" w:rsidRPr="00E13B1A" w:rsidRDefault="00252AA2" w:rsidP="000D3688">
      <w:pPr>
        <w:rPr>
          <w:lang w:val="sr-Cyrl-RS"/>
        </w:rPr>
      </w:pPr>
      <w:r w:rsidRPr="00E13B1A">
        <w:rPr>
          <w:noProof/>
        </w:rPr>
        <w:drawing>
          <wp:inline distT="0" distB="0" distL="0" distR="0" wp14:anchorId="1273BAA6" wp14:editId="7CCC2793">
            <wp:extent cx="2757805" cy="3143250"/>
            <wp:effectExtent l="0" t="0" r="4445" b="0"/>
            <wp:docPr id="308761603" name="Chart 30876160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8"/>
              </a:graphicData>
            </a:graphic>
          </wp:inline>
        </w:drawing>
      </w:r>
    </w:p>
    <w:p w14:paraId="12B859F6" w14:textId="77777777" w:rsidR="00252AA2" w:rsidRPr="00E13B1A" w:rsidRDefault="00252AA2" w:rsidP="000D3688">
      <w:pPr>
        <w:rPr>
          <w:lang w:val="sr-Cyrl-RS"/>
        </w:rPr>
      </w:pPr>
    </w:p>
    <w:p w14:paraId="455FF98D" w14:textId="77777777" w:rsidR="00252AA2" w:rsidRPr="00E13B1A" w:rsidRDefault="00252AA2" w:rsidP="000D3688">
      <w:pPr>
        <w:rPr>
          <w:lang w:val="sr-Cyrl-RS"/>
        </w:rPr>
      </w:pPr>
    </w:p>
    <w:p w14:paraId="0DF57622" w14:textId="77777777" w:rsidR="00252AA2" w:rsidRPr="00E13B1A" w:rsidRDefault="00252AA2" w:rsidP="00E124CF">
      <w:pPr>
        <w:spacing w:after="120"/>
        <w:rPr>
          <w:rFonts w:ascii="Calibri" w:eastAsia="MS PGothic" w:hAnsi="Calibri" w:cs="Calibri"/>
          <w:color w:val="2F5496" w:themeColor="accent1" w:themeShade="BF"/>
          <w:szCs w:val="20"/>
          <w:lang w:val="sr-Cyrl-RS" w:eastAsia="ja-JP"/>
        </w:rPr>
        <w:sectPr w:rsidR="00252AA2" w:rsidRPr="00E13B1A" w:rsidSect="000D3688">
          <w:type w:val="continuous"/>
          <w:pgSz w:w="12240" w:h="15840" w:code="1"/>
          <w:pgMar w:top="1417" w:right="1417" w:bottom="1417" w:left="1417" w:header="720" w:footer="720" w:gutter="0"/>
          <w:cols w:num="2" w:space="720"/>
        </w:sectPr>
      </w:pPr>
    </w:p>
    <w:p w14:paraId="1CC1BD03" w14:textId="77777777" w:rsidR="00252AA2" w:rsidRPr="00E13B1A" w:rsidRDefault="00252AA2" w:rsidP="00220F3F">
      <w:pPr>
        <w:spacing w:after="360"/>
        <w:jc w:val="center"/>
        <w:outlineLvl w:val="1"/>
        <w:rPr>
          <w:rFonts w:eastAsia="MS PGothic" w:cstheme="minorHAnsi"/>
          <w:b/>
          <w:color w:val="2F5496" w:themeColor="accent1" w:themeShade="BF"/>
          <w:sz w:val="24"/>
          <w:szCs w:val="26"/>
          <w:lang w:val="sr-Cyrl-RS" w:eastAsia="ja-JP"/>
        </w:rPr>
        <w:sectPr w:rsidR="00252AA2" w:rsidRPr="00E13B1A" w:rsidSect="000D3688">
          <w:headerReference w:type="even" r:id="rId179"/>
          <w:headerReference w:type="default" r:id="rId180"/>
          <w:footerReference w:type="even" r:id="rId181"/>
          <w:footerReference w:type="default" r:id="rId182"/>
          <w:headerReference w:type="first" r:id="rId183"/>
          <w:type w:val="continuous"/>
          <w:pgSz w:w="12240" w:h="15840" w:code="1"/>
          <w:pgMar w:top="1440" w:right="1440" w:bottom="1440" w:left="1440" w:header="720" w:footer="720" w:gutter="0"/>
          <w:cols w:space="720"/>
          <w:titlePg/>
          <w:docGrid w:linePitch="360"/>
        </w:sectPr>
      </w:pPr>
      <w:bookmarkStart w:id="62" w:name="_Toc56667081"/>
      <w:bookmarkStart w:id="63" w:name="_Toc73364973"/>
      <w:r w:rsidRPr="00E13B1A">
        <w:rPr>
          <w:lang w:val="sr-Cyrl-RS"/>
        </w:rPr>
        <w:br w:type="page"/>
      </w:r>
      <w:bookmarkStart w:id="64" w:name="_Toc119654149"/>
    </w:p>
    <w:p w14:paraId="4F7CDA94" w14:textId="4B09C71D" w:rsidR="00252AA2" w:rsidRPr="00E13B1A" w:rsidRDefault="001F03F4" w:rsidP="000D3688">
      <w:pPr>
        <w:pStyle w:val="Heading2"/>
        <w:spacing w:before="0" w:after="160"/>
        <w:jc w:val="center"/>
        <w:rPr>
          <w:rFonts w:asciiTheme="minorHAnsi" w:eastAsia="Times New Roman" w:hAnsiTheme="minorHAnsi" w:cstheme="minorHAnsi"/>
          <w:b/>
          <w:sz w:val="24"/>
          <w:lang w:val="sr-Cyrl-RS"/>
        </w:rPr>
        <w:sectPr w:rsidR="00252AA2" w:rsidRPr="00E13B1A" w:rsidSect="000D3688">
          <w:headerReference w:type="even" r:id="rId184"/>
          <w:footerReference w:type="even" r:id="rId185"/>
          <w:footerReference w:type="default" r:id="rId186"/>
          <w:headerReference w:type="first" r:id="rId187"/>
          <w:type w:val="continuous"/>
          <w:pgSz w:w="12240" w:h="15840" w:code="1"/>
          <w:pgMar w:top="1417" w:right="1417" w:bottom="1417" w:left="1417" w:header="720" w:footer="720" w:gutter="0"/>
          <w:cols w:space="720"/>
        </w:sectPr>
      </w:pPr>
      <w:bookmarkStart w:id="65" w:name="_Toc135994506"/>
      <w:bookmarkStart w:id="66" w:name="_Toc146277920"/>
      <w:r w:rsidRPr="000979D4">
        <w:rPr>
          <w:rFonts w:asciiTheme="minorHAnsi" w:eastAsia="Times New Roman" w:hAnsiTheme="minorHAnsi" w:cstheme="minorHAnsi"/>
          <w:b/>
          <w:sz w:val="24"/>
          <w:lang w:val="sr-Cyrl-RS"/>
        </w:rPr>
        <w:lastRenderedPageBreak/>
        <w:t>6</w:t>
      </w:r>
      <w:r w:rsidR="00252AA2" w:rsidRPr="00E13B1A">
        <w:rPr>
          <w:rFonts w:asciiTheme="minorHAnsi" w:eastAsia="Times New Roman" w:hAnsiTheme="minorHAnsi" w:cstheme="minorHAnsi"/>
          <w:b/>
          <w:sz w:val="24"/>
          <w:lang w:val="sr-Cyrl-RS"/>
        </w:rPr>
        <w:t>. Симулација путање јавног дуга</w:t>
      </w:r>
      <w:bookmarkEnd w:id="65"/>
      <w:bookmarkEnd w:id="66"/>
      <w:r w:rsidR="00252AA2" w:rsidRPr="00E13B1A">
        <w:rPr>
          <w:rFonts w:asciiTheme="minorHAnsi" w:eastAsia="Times New Roman" w:hAnsiTheme="minorHAnsi" w:cstheme="minorHAnsi"/>
          <w:b/>
          <w:sz w:val="24"/>
          <w:lang w:val="sr-Cyrl-RS"/>
        </w:rPr>
        <w:t xml:space="preserve"> </w:t>
      </w:r>
    </w:p>
    <w:p w14:paraId="03DA4C57" w14:textId="77777777" w:rsidR="00252AA2" w:rsidRPr="00E13B1A" w:rsidRDefault="00252AA2" w:rsidP="006272DB">
      <w:pPr>
        <w:spacing w:after="120"/>
        <w:rPr>
          <w:rFonts w:ascii="Calibri" w:eastAsia="MS PGothic" w:hAnsi="Calibri" w:cs="Calibri"/>
          <w:szCs w:val="20"/>
          <w:lang w:val="sr-Cyrl-RS" w:eastAsia="ja-JP"/>
        </w:rPr>
      </w:pPr>
      <w:r w:rsidRPr="00E13B1A">
        <w:rPr>
          <w:rFonts w:ascii="Calibri" w:eastAsia="MS PGothic" w:hAnsi="Calibri" w:cs="Calibri"/>
          <w:bCs/>
          <w:szCs w:val="20"/>
          <w:lang w:val="sr-Cyrl-RS" w:eastAsia="ja-JP"/>
        </w:rPr>
        <w:t>Крајем 2022. године усвојене су измене и допуне Закона о буџетском систему у делу који се односи на фискална правила и принципе фискалне одговорности и одрживости</w:t>
      </w:r>
      <w:r w:rsidRPr="00E13B1A">
        <w:rPr>
          <w:rFonts w:eastAsia="MS PGothic"/>
          <w:bCs/>
          <w:vertAlign w:val="superscript"/>
          <w:lang w:val="sr-Cyrl-RS" w:eastAsia="ja-JP"/>
        </w:rPr>
        <w:footnoteReference w:id="10"/>
      </w:r>
      <w:r w:rsidRPr="00E13B1A">
        <w:rPr>
          <w:rFonts w:ascii="Calibri" w:eastAsia="MS PGothic" w:hAnsi="Calibri" w:cs="Calibri"/>
          <w:bCs/>
          <w:szCs w:val="20"/>
          <w:lang w:val="sr-Cyrl-RS" w:eastAsia="ja-JP"/>
        </w:rPr>
        <w:t>.</w:t>
      </w:r>
      <w:r w:rsidRPr="00E13B1A">
        <w:rPr>
          <w:rFonts w:ascii="Calibri" w:eastAsia="MS PGothic" w:hAnsi="Calibri" w:cs="Calibri"/>
          <w:szCs w:val="20"/>
          <w:lang w:val="sr-Cyrl-RS" w:eastAsia="ja-JP"/>
        </w:rPr>
        <w:t xml:space="preserve"> У складу са променама општих фискалних правила о дефициту и дугу, измењена је и процедура у случају прекорачења горње границе дуга. Тако, у случају да је дуг изнад 55%, Влада у оквиру Фискалне стратегије и по процедури за усвајање Фискалне стратегије предлаже Програм за смањење дуга са конкретним мерама за смањење дуга испод задате границе. Програм се подноси за сваку годину у којој тај дуг остаје изнад 55% БДП. Уколико је дуг изнад 60% БДП, што је и највиша дозвољена горња граница дуга сектора државе, Програм за смањење дуга усваја Народна скупштина најмање једанпут годишње, у поступку доношења и припреме буџета за наредну фискалну годину.</w:t>
      </w:r>
    </w:p>
    <w:p w14:paraId="68AF60A6" w14:textId="77777777" w:rsidR="00252AA2" w:rsidRPr="00E13B1A" w:rsidRDefault="00252AA2" w:rsidP="006272DB">
      <w:pPr>
        <w:spacing w:after="120"/>
        <w:rPr>
          <w:rFonts w:ascii="Calibri" w:eastAsia="MS PGothic" w:hAnsi="Calibri" w:cs="Calibri"/>
          <w:szCs w:val="20"/>
          <w:lang w:val="sr-Cyrl-RS" w:eastAsia="ja-JP"/>
        </w:rPr>
      </w:pPr>
      <w:r w:rsidRPr="00E13B1A">
        <w:rPr>
          <w:rFonts w:ascii="Calibri" w:eastAsia="MS PGothic" w:hAnsi="Calibri" w:cs="Calibri"/>
          <w:bCs/>
          <w:szCs w:val="20"/>
          <w:lang w:val="sr-Cyrl-RS" w:eastAsia="ja-JP"/>
        </w:rPr>
        <w:t>Вредности учешћа јавног дуга у БДП од 60%, 55% и 45%, у складу са усвојеним сетом фискалних правила, представљају граничне вредности за одређивање максимално дозвољених вредности фискалног дефицита у одређеној години.</w:t>
      </w:r>
      <w:r w:rsidRPr="00E13B1A">
        <w:rPr>
          <w:rFonts w:ascii="Calibri" w:eastAsia="MS PGothic" w:hAnsi="Calibri" w:cs="Calibri"/>
          <w:szCs w:val="20"/>
          <w:lang w:val="sr-Cyrl-RS" w:eastAsia="ja-JP"/>
        </w:rPr>
        <w:t xml:space="preserve"> Предвиђене су процедуре у случају прекорачења износа дефицита и начин враћања у предвиђене оквире. Такође дефинисани су дозвољени случајеви привременог одступања од фискалних правила (ванредне, непредвиђене околности и др.), као и обавезе Владе и дефинисан временски оквир у процесу враћања на законом прописане вредности фискалног резултата. Овај део фискалних правила почиње да се примењује од 2025. године. До тада ће се ниво максимално допуштеног фискалног дефицита одређивати Фискалном стратегијом, али у складу са општим начелима фискалне одговорности која налажу да се не допусти прекомеран раст нивоа јавног дуга, односно обезбеде услови за његово снижавање.</w:t>
      </w:r>
    </w:p>
    <w:p w14:paraId="2B1B9F3E" w14:textId="77777777" w:rsidR="00252AA2" w:rsidRPr="00E13B1A" w:rsidRDefault="00252AA2" w:rsidP="006272DB">
      <w:pPr>
        <w:spacing w:after="120"/>
        <w:rPr>
          <w:rFonts w:ascii="Calibri" w:eastAsia="MS PGothic" w:hAnsi="Calibri" w:cs="Calibri"/>
          <w:szCs w:val="20"/>
          <w:lang w:val="sr-Cyrl-RS" w:eastAsia="ja-JP"/>
        </w:rPr>
      </w:pPr>
      <w:r w:rsidRPr="00E13B1A">
        <w:rPr>
          <w:rFonts w:ascii="Calibri" w:eastAsia="MS PGothic" w:hAnsi="Calibri" w:cs="Calibri"/>
          <w:bCs/>
          <w:szCs w:val="20"/>
          <w:lang w:val="sr-Cyrl-RS" w:eastAsia="ja-JP"/>
        </w:rPr>
        <w:t xml:space="preserve">Иако не постоји формална обавеза за презентацијом Програма за смањења дуга услед одложене примене правила, као ни суштинска, због тога што се тренутни ниво јавног дуга налази испод границе од 55% БДП презентоваћемо краћу </w:t>
      </w:r>
      <w:r w:rsidRPr="00E13B1A">
        <w:rPr>
          <w:rFonts w:ascii="Calibri" w:eastAsia="MS PGothic" w:hAnsi="Calibri" w:cs="Calibri"/>
          <w:bCs/>
          <w:szCs w:val="20"/>
          <w:lang w:val="sr-Cyrl-RS" w:eastAsia="ja-JP"/>
        </w:rPr>
        <w:t xml:space="preserve">ретроспективу кретања јавног дуга у периоду од 2008. до 2023. године и пројекције за наредни трогодишњи период од 2024. до 2026. године, у складу са предвиђеним фискалним оквиром. </w:t>
      </w:r>
      <w:r w:rsidRPr="00E13B1A">
        <w:rPr>
          <w:rFonts w:ascii="Calibri" w:eastAsia="MS PGothic" w:hAnsi="Calibri" w:cs="Calibri"/>
          <w:szCs w:val="20"/>
          <w:lang w:val="sr-Cyrl-RS" w:eastAsia="ja-JP"/>
        </w:rPr>
        <w:t>Приказана је и симулација различитих сценарија кретања дуга у периоду од 2027. до 2031. године.</w:t>
      </w:r>
    </w:p>
    <w:p w14:paraId="5DB8C651" w14:textId="77777777" w:rsidR="00252AA2" w:rsidRPr="00E13B1A" w:rsidRDefault="00252AA2" w:rsidP="006272DB">
      <w:pPr>
        <w:spacing w:after="120"/>
        <w:rPr>
          <w:rFonts w:ascii="Calibri" w:eastAsia="Calibri" w:hAnsi="Calibri" w:cs="Calibri"/>
          <w:szCs w:val="20"/>
          <w:lang w:val="sr-Cyrl-RS"/>
        </w:rPr>
      </w:pPr>
      <w:r w:rsidRPr="00E13B1A">
        <w:rPr>
          <w:rFonts w:ascii="Calibri" w:eastAsia="Calibri" w:hAnsi="Calibri" w:cs="Calibri"/>
          <w:bCs/>
          <w:szCs w:val="20"/>
          <w:lang w:val="sr-Cyrl-RS"/>
        </w:rPr>
        <w:t>У периоду од 2008. до 2014. године дефицит сектора државе је значајно повећан уз истовремено експлозивну путању раста јавног дуга, при чему је однос дуга и БДП више него удвостручен.</w:t>
      </w:r>
      <w:r w:rsidRPr="00E13B1A">
        <w:rPr>
          <w:rFonts w:ascii="Calibri" w:eastAsia="Calibri" w:hAnsi="Calibri" w:cs="Calibri"/>
          <w:szCs w:val="20"/>
          <w:lang w:val="sr-Cyrl-RS"/>
        </w:rPr>
        <w:t xml:space="preserve"> Мере фискалне консолидације усвојене крајем 2012. и током 2013. године делимично су ублажиле овај тренд, али је ниво јавног дуга и даље значајно растао. Смањивање примарног дефицита у периоду 2012–2014. године није било довољно да стабилизује учешће нивоа јавног дуга у БДП. Ефекти првог таласа фискалне консолидације, која се односила углавном на приходну страну, изостали су, услед повећаног обима сиве економије, карактеристичног у периоду након подизања пореских стопа. На расходној страни, високе камате и одређени једнократни расходи су додатно погоршавали фискалну позицију.</w:t>
      </w:r>
    </w:p>
    <w:p w14:paraId="149D057E" w14:textId="77777777" w:rsidR="00252AA2" w:rsidRPr="00E13B1A" w:rsidRDefault="00252AA2" w:rsidP="006272DB">
      <w:pPr>
        <w:spacing w:after="120"/>
        <w:jc w:val="center"/>
        <w:rPr>
          <w:rFonts w:ascii="Calibri" w:eastAsia="Calibri" w:hAnsi="Calibri" w:cs="Calibri"/>
          <w:color w:val="002060"/>
          <w:szCs w:val="20"/>
          <w:lang w:val="sr-Cyrl-RS"/>
        </w:rPr>
      </w:pPr>
      <w:r w:rsidRPr="00E13B1A">
        <w:rPr>
          <w:rFonts w:cstheme="minorHAnsi"/>
          <w:b/>
          <w:color w:val="002060"/>
          <w:lang w:val="sr-Cyrl-RS"/>
        </w:rPr>
        <w:t xml:space="preserve">Јавни дуг сектора државе у периоду </w:t>
      </w:r>
      <w:r w:rsidRPr="00E13B1A">
        <w:rPr>
          <w:rFonts w:cstheme="minorHAnsi"/>
          <w:b/>
          <w:color w:val="002060"/>
          <w:lang w:val="sr-Cyrl-RS"/>
        </w:rPr>
        <w:br w:type="textWrapping" w:clear="all"/>
        <w:t>2008–2023. године, % БДП</w:t>
      </w:r>
    </w:p>
    <w:p w14:paraId="66E8741C" w14:textId="77777777" w:rsidR="00252AA2" w:rsidRPr="00E13B1A" w:rsidRDefault="00252AA2" w:rsidP="006272DB">
      <w:pPr>
        <w:spacing w:after="120"/>
        <w:jc w:val="center"/>
        <w:rPr>
          <w:rFonts w:cstheme="minorHAnsi"/>
          <w:b/>
          <w:lang w:val="sr-Cyrl-RS"/>
        </w:rPr>
      </w:pPr>
      <w:r w:rsidRPr="00E13B1A">
        <w:rPr>
          <w:noProof/>
        </w:rPr>
        <w:drawing>
          <wp:inline distT="0" distB="0" distL="0" distR="0" wp14:anchorId="3F17383A" wp14:editId="78D4CC6D">
            <wp:extent cx="2757805" cy="2638425"/>
            <wp:effectExtent l="0" t="0" r="4445" b="0"/>
            <wp:docPr id="308761604" name="Chart 308761604">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8"/>
              </a:graphicData>
            </a:graphic>
          </wp:inline>
        </w:drawing>
      </w:r>
    </w:p>
    <w:p w14:paraId="7EBB3EFE" w14:textId="77777777" w:rsidR="00252AA2" w:rsidRPr="00E13B1A" w:rsidRDefault="00252AA2" w:rsidP="006272DB">
      <w:pPr>
        <w:spacing w:after="0" w:line="240" w:lineRule="auto"/>
        <w:rPr>
          <w:rFonts w:cstheme="minorHAnsi"/>
          <w:bCs/>
          <w:sz w:val="16"/>
          <w:szCs w:val="72"/>
          <w:lang w:val="sr-Cyrl-RS"/>
        </w:rPr>
      </w:pPr>
      <w:r w:rsidRPr="00E13B1A">
        <w:rPr>
          <w:rFonts w:ascii="Calibri" w:eastAsia="Calibri" w:hAnsi="Calibri" w:cs="Calibri"/>
          <w:sz w:val="16"/>
          <w:szCs w:val="16"/>
          <w:lang w:val="sr-Cyrl-RS"/>
        </w:rPr>
        <w:t xml:space="preserve">* </w:t>
      </w:r>
      <w:r w:rsidRPr="00E13B1A">
        <w:rPr>
          <w:rFonts w:cstheme="minorHAnsi"/>
          <w:bCs/>
          <w:sz w:val="16"/>
          <w:szCs w:val="72"/>
          <w:lang w:val="sr-Cyrl-RS"/>
        </w:rPr>
        <w:t>апроксимација локалног дуга</w:t>
      </w:r>
    </w:p>
    <w:p w14:paraId="706C9AE5" w14:textId="77777777" w:rsidR="00252AA2" w:rsidRPr="00E13B1A" w:rsidRDefault="00252AA2" w:rsidP="006272DB">
      <w:pPr>
        <w:spacing w:after="0" w:line="276" w:lineRule="auto"/>
        <w:rPr>
          <w:rFonts w:cstheme="minorHAnsi"/>
          <w:bCs/>
          <w:sz w:val="16"/>
          <w:szCs w:val="72"/>
          <w:lang w:val="sr-Cyrl-RS"/>
        </w:rPr>
      </w:pPr>
      <w:r w:rsidRPr="00E13B1A">
        <w:rPr>
          <w:rFonts w:cstheme="minorHAnsi"/>
          <w:bCs/>
          <w:sz w:val="16"/>
          <w:szCs w:val="72"/>
          <w:lang w:val="sr-Cyrl-RS"/>
        </w:rPr>
        <w:t>** процена за 2023. годину</w:t>
      </w:r>
    </w:p>
    <w:p w14:paraId="117F3084" w14:textId="77777777" w:rsidR="00252AA2" w:rsidRPr="00E13B1A" w:rsidRDefault="00252AA2" w:rsidP="006272DB">
      <w:pPr>
        <w:spacing w:after="120"/>
        <w:rPr>
          <w:rFonts w:ascii="Calibri" w:eastAsia="Calibri" w:hAnsi="Calibri" w:cs="Calibri"/>
          <w:szCs w:val="20"/>
          <w:lang w:val="sr-Cyrl-RS"/>
        </w:rPr>
      </w:pPr>
      <w:r w:rsidRPr="00E13B1A">
        <w:rPr>
          <w:rFonts w:ascii="Calibri" w:eastAsia="Calibri" w:hAnsi="Calibri" w:cs="Calibri"/>
          <w:bCs/>
          <w:szCs w:val="20"/>
          <w:lang w:val="sr-Cyrl-RS"/>
        </w:rPr>
        <w:lastRenderedPageBreak/>
        <w:t>Мере фискалне консолидације донете крајем 2014. године спустиле су примарни дефицит и успориле раст јавног дуга већ током 2015. године, а до смањења јавног дуга у БДП дошло је у 2016. години, годину дана раније него што је било предвиђено аранжманом са ММФ.</w:t>
      </w:r>
      <w:r w:rsidRPr="00E13B1A">
        <w:rPr>
          <w:rFonts w:ascii="Calibri" w:eastAsia="Calibri" w:hAnsi="Calibri" w:cs="Calibri"/>
          <w:szCs w:val="20"/>
          <w:lang w:val="sr-Cyrl-RS"/>
        </w:rPr>
        <w:t xml:space="preserve"> У 2016. години остварен је примарни суфицит од 1,7% БДП, чиме су се коначно стекли услови за пад учешћа јавног дуга у БДП. Након тога, у 2017. години, уз остварени примарни фискални суфицит од 3,6% БДП долази до још значајнијег пада учешћа дуга, за више од 10 п.п., на 58,6% БДП.</w:t>
      </w:r>
      <w:r w:rsidRPr="00E13B1A">
        <w:rPr>
          <w:lang w:val="sr-Cyrl-RS"/>
        </w:rPr>
        <w:t xml:space="preserve"> </w:t>
      </w:r>
      <w:r w:rsidRPr="00E13B1A">
        <w:rPr>
          <w:rFonts w:ascii="Calibri" w:eastAsia="Calibri" w:hAnsi="Calibri" w:cs="Calibri"/>
          <w:szCs w:val="20"/>
          <w:lang w:val="sr-Cyrl-RS"/>
        </w:rPr>
        <w:t>Током 2018. године настављен је тренд смањења учешћа јавног дуга у БДП на 54,4% БДП. Фискална релаксација током 2019. године није угрозила опадајућу путању јавног дуга. Позитиван примарни фискални резултат у 2</w:t>
      </w:r>
      <w:r>
        <w:rPr>
          <w:rFonts w:ascii="Calibri" w:eastAsia="Calibri" w:hAnsi="Calibri" w:cs="Calibri"/>
          <w:szCs w:val="20"/>
          <w:lang w:val="sr-Cyrl-RS"/>
        </w:rPr>
        <w:t>019. години од 1,8% БДП утицао је</w:t>
      </w:r>
      <w:r w:rsidRPr="00E13B1A">
        <w:rPr>
          <w:rFonts w:ascii="Calibri" w:eastAsia="Calibri" w:hAnsi="Calibri" w:cs="Calibri"/>
          <w:szCs w:val="20"/>
          <w:lang w:val="sr-Cyrl-RS"/>
        </w:rPr>
        <w:t xml:space="preserve"> на даље смањење јавног дуга за још 1,6 п.п. БДП.</w:t>
      </w:r>
    </w:p>
    <w:p w14:paraId="5774EC07" w14:textId="77777777" w:rsidR="00252AA2" w:rsidRPr="00E13B1A" w:rsidRDefault="00252AA2" w:rsidP="006272DB">
      <w:pPr>
        <w:spacing w:after="120"/>
        <w:rPr>
          <w:rFonts w:ascii="Calibri" w:eastAsia="Calibri" w:hAnsi="Calibri" w:cs="Calibri"/>
          <w:szCs w:val="20"/>
          <w:lang w:val="sr-Cyrl-RS"/>
        </w:rPr>
      </w:pPr>
      <w:r w:rsidRPr="00E13B1A">
        <w:rPr>
          <w:rFonts w:ascii="Calibri" w:eastAsia="Calibri" w:hAnsi="Calibri" w:cs="Calibri"/>
          <w:bCs/>
          <w:spacing w:val="-2"/>
          <w:szCs w:val="20"/>
          <w:lang w:val="sr-Cyrl-RS"/>
        </w:rPr>
        <w:t>Период од 2020. године обележила је једна од највећих здравствених и последично економских криза у последњих неколико деценија, изазвана пандемијом COVID-19.</w:t>
      </w:r>
      <w:r w:rsidRPr="00E13B1A">
        <w:rPr>
          <w:rFonts w:ascii="Calibri" w:eastAsia="Calibri" w:hAnsi="Calibri" w:cs="Calibri"/>
          <w:spacing w:val="-2"/>
          <w:szCs w:val="20"/>
          <w:lang w:val="sr-Cyrl-RS"/>
        </w:rPr>
        <w:t xml:space="preserve"> Најважнији фактори који су утицали на кретања дуга током поменутог периода су ниво укупног и примарног фискалног дефицита, додатне потребе за финансирањем и отплата доспелог дела дуга. Остварени фискални дефицит од 8% БДП (примарни дефицит од 6% БДП) у 2020. години и дефицит од 4,1% БДП у 2021. години, утицали су на то да се, до тада, опадајућа путања учешћа јавног дуга привремено преокрене. И поред тога, учешће јавног дуга сектора државе у БДП у 2021. години благо опада на 57,1% БДП. </w:t>
      </w:r>
      <w:r w:rsidRPr="00E13B1A">
        <w:rPr>
          <w:rFonts w:ascii="Calibri" w:eastAsia="Calibri" w:hAnsi="Calibri" w:cs="Calibri"/>
          <w:szCs w:val="20"/>
          <w:lang w:val="sr-Cyrl-RS"/>
        </w:rPr>
        <w:t>Успех претходног програма структурног фискалног прилагођавања омогућио је да Република Србија без тешкоћа обезбеди неопходно финансирање фискалног дефицита током трајања пандемије COVID-19, као и несметану отплату доспелог дуга.</w:t>
      </w:r>
    </w:p>
    <w:p w14:paraId="3B8FAB99" w14:textId="77777777" w:rsidR="00252AA2" w:rsidRPr="00E13B1A" w:rsidRDefault="00252AA2" w:rsidP="006272DB">
      <w:pPr>
        <w:spacing w:after="120"/>
        <w:rPr>
          <w:rFonts w:ascii="Calibri" w:eastAsia="Calibri" w:hAnsi="Calibri" w:cs="Calibri"/>
          <w:szCs w:val="20"/>
          <w:lang w:val="sr-Cyrl-RS"/>
        </w:rPr>
      </w:pPr>
      <w:r w:rsidRPr="00E13B1A">
        <w:rPr>
          <w:rFonts w:ascii="Calibri" w:eastAsia="Calibri" w:hAnsi="Calibri" w:cs="Calibri"/>
          <w:szCs w:val="20"/>
          <w:lang w:val="sr-Cyrl-RS"/>
        </w:rPr>
        <w:t>Наредни период карактерише наступање нове глобалне економске кризе посебно у енергетском сектору.</w:t>
      </w:r>
      <w:r w:rsidRPr="00E13B1A">
        <w:rPr>
          <w:rFonts w:ascii="Calibri" w:eastAsia="Calibri" w:hAnsi="Calibri" w:cs="Calibri"/>
          <w:bCs/>
          <w:szCs w:val="20"/>
          <w:lang w:val="sr-Cyrl-RS"/>
        </w:rPr>
        <w:t xml:space="preserve"> </w:t>
      </w:r>
      <w:r w:rsidRPr="00E13B1A">
        <w:rPr>
          <w:rFonts w:ascii="Calibri" w:eastAsia="Calibri" w:hAnsi="Calibri" w:cs="Calibri"/>
          <w:szCs w:val="20"/>
          <w:lang w:val="sr-Cyrl-RS"/>
        </w:rPr>
        <w:t>Карактеристично за овај кризни период током 2022. и 2023. године, поред осталог су глобално ниске реалне стопе раста, удружене са високом стопом инфлације.</w:t>
      </w:r>
      <w:r w:rsidRPr="00E13B1A">
        <w:rPr>
          <w:rFonts w:ascii="Calibri" w:eastAsia="Calibri" w:hAnsi="Calibri" w:cs="Calibri"/>
          <w:bCs/>
          <w:szCs w:val="20"/>
          <w:lang w:val="sr-Cyrl-RS"/>
        </w:rPr>
        <w:t xml:space="preserve"> </w:t>
      </w:r>
      <w:r w:rsidRPr="00E13B1A">
        <w:rPr>
          <w:rFonts w:ascii="Calibri" w:eastAsia="Calibri" w:hAnsi="Calibri" w:cs="Calibri"/>
          <w:szCs w:val="20"/>
          <w:lang w:val="sr-Cyrl-RS"/>
        </w:rPr>
        <w:t xml:space="preserve">Неизвесност у погледу тока и трајања кризе, у овом периоду, захтевала је опрезно вођење фискалне политике, и поред значајних издвајања од стране државе како би се обезбедило несметано снабдевање енергентима. </w:t>
      </w:r>
      <w:r w:rsidRPr="00E13B1A">
        <w:rPr>
          <w:rFonts w:ascii="Calibri" w:eastAsia="Calibri" w:hAnsi="Calibri" w:cs="Calibri"/>
          <w:spacing w:val="-2"/>
          <w:szCs w:val="20"/>
          <w:lang w:val="sr-Cyrl-RS"/>
        </w:rPr>
        <w:t xml:space="preserve">У 2022. и 2023. години, остварени и пројектовани </w:t>
      </w:r>
      <w:r w:rsidRPr="00E13B1A">
        <w:rPr>
          <w:rFonts w:ascii="Calibri" w:eastAsia="Calibri" w:hAnsi="Calibri" w:cs="Calibri"/>
          <w:spacing w:val="-2"/>
          <w:szCs w:val="20"/>
          <w:lang w:val="sr-Cyrl-RS"/>
        </w:rPr>
        <w:t>нивои примарног фискалног резултата (примарни дефицити 1,7% и 1% БДП респективно), омогућили су даљи пад учешћа јавног дуга. На крају 2023. године пројектовано је учешће јавног дуга од 53,3% БДП.</w:t>
      </w:r>
    </w:p>
    <w:p w14:paraId="11B6EB5F" w14:textId="77777777" w:rsidR="00252AA2" w:rsidRPr="00E13B1A" w:rsidRDefault="00252AA2" w:rsidP="006272DB">
      <w:pPr>
        <w:spacing w:after="120"/>
        <w:jc w:val="center"/>
        <w:rPr>
          <w:rFonts w:cstheme="minorHAnsi"/>
          <w:b/>
          <w:color w:val="002060"/>
          <w:spacing w:val="-2"/>
          <w:lang w:val="sr-Cyrl-RS"/>
        </w:rPr>
      </w:pPr>
      <w:r w:rsidRPr="00E13B1A">
        <w:rPr>
          <w:rFonts w:cstheme="minorHAnsi"/>
          <w:b/>
          <w:color w:val="002060"/>
          <w:spacing w:val="-2"/>
          <w:lang w:val="sr-Cyrl-RS"/>
        </w:rPr>
        <w:t>Примарни резултат који стабилизује учешће дуга у БДП и остварени/пројектовани резултат*, % БДП</w:t>
      </w:r>
    </w:p>
    <w:p w14:paraId="3170465F" w14:textId="77777777" w:rsidR="00252AA2" w:rsidRPr="00E13B1A" w:rsidRDefault="00252AA2" w:rsidP="006272DB">
      <w:pPr>
        <w:spacing w:after="120"/>
        <w:rPr>
          <w:lang w:val="sr-Cyrl-RS"/>
        </w:rPr>
      </w:pPr>
      <w:r w:rsidRPr="00E13B1A">
        <w:rPr>
          <w:noProof/>
        </w:rPr>
        <w:drawing>
          <wp:inline distT="0" distB="0" distL="0" distR="0" wp14:anchorId="16B37D1E" wp14:editId="7ED3A3C3">
            <wp:extent cx="2757805" cy="2200275"/>
            <wp:effectExtent l="0" t="0" r="4445" b="0"/>
            <wp:docPr id="308761605" name="Chart 30876160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9"/>
              </a:graphicData>
            </a:graphic>
          </wp:inline>
        </w:drawing>
      </w:r>
    </w:p>
    <w:p w14:paraId="3B488075" w14:textId="77777777" w:rsidR="00252AA2" w:rsidRPr="00E13B1A" w:rsidRDefault="00252AA2" w:rsidP="006272DB">
      <w:pPr>
        <w:spacing w:after="120"/>
        <w:rPr>
          <w:rFonts w:cstheme="minorHAnsi"/>
          <w:bCs/>
          <w:sz w:val="16"/>
          <w:szCs w:val="72"/>
          <w:lang w:val="sr-Cyrl-RS"/>
        </w:rPr>
      </w:pPr>
      <w:r w:rsidRPr="00E13B1A">
        <w:rPr>
          <w:rFonts w:ascii="Calibri" w:eastAsia="Calibri" w:hAnsi="Calibri" w:cs="Calibri"/>
          <w:sz w:val="16"/>
          <w:szCs w:val="16"/>
          <w:lang w:val="sr-Cyrl-RS"/>
        </w:rPr>
        <w:t xml:space="preserve">* </w:t>
      </w:r>
      <w:r w:rsidRPr="00E13B1A">
        <w:rPr>
          <w:rFonts w:cstheme="minorHAnsi"/>
          <w:bCs/>
          <w:sz w:val="16"/>
          <w:szCs w:val="72"/>
          <w:lang w:val="sr-Cyrl-RS"/>
        </w:rPr>
        <w:t>За период 2023. до 2026. дате су пројектоване вредности.</w:t>
      </w:r>
    </w:p>
    <w:p w14:paraId="6774C917" w14:textId="77777777" w:rsidR="00252AA2" w:rsidRPr="00E13B1A" w:rsidRDefault="00252AA2" w:rsidP="006272DB">
      <w:pPr>
        <w:spacing w:after="120"/>
        <w:rPr>
          <w:rFonts w:ascii="Calibri" w:eastAsia="MS PGothic" w:hAnsi="Calibri" w:cs="Calibri"/>
          <w:b/>
          <w:szCs w:val="20"/>
          <w:lang w:val="sr-Cyrl-RS" w:eastAsia="ja-JP"/>
        </w:rPr>
      </w:pPr>
      <w:r w:rsidRPr="00E13B1A">
        <w:rPr>
          <w:rFonts w:cstheme="minorHAnsi"/>
          <w:bCs/>
          <w:sz w:val="16"/>
          <w:szCs w:val="72"/>
          <w:lang w:val="sr-Cyrl-RS"/>
        </w:rPr>
        <w:t>Извор: Министарство финансија</w:t>
      </w:r>
    </w:p>
    <w:p w14:paraId="0653673A" w14:textId="77777777" w:rsidR="00252AA2" w:rsidRPr="00E13B1A" w:rsidRDefault="00252AA2" w:rsidP="006272DB">
      <w:pPr>
        <w:spacing w:after="120"/>
        <w:rPr>
          <w:rFonts w:ascii="Calibri" w:eastAsia="Calibri" w:hAnsi="Calibri" w:cs="Calibri"/>
          <w:spacing w:val="-2"/>
          <w:szCs w:val="20"/>
          <w:lang w:val="sr-Cyrl-RS"/>
        </w:rPr>
      </w:pPr>
      <w:r w:rsidRPr="00E13B1A">
        <w:rPr>
          <w:rFonts w:ascii="Calibri" w:eastAsia="Calibri" w:hAnsi="Calibri" w:cs="Calibri"/>
          <w:bCs/>
          <w:spacing w:val="-2"/>
          <w:szCs w:val="20"/>
          <w:lang w:val="sr-Cyrl-RS"/>
        </w:rPr>
        <w:t>Анализом примарног стабилизационог јаза, који је дефинисан као разлика између оствареног примарног резултата и примарног резултата који је неопходан да би се стабилизовало учешће јавног дуга у текућој години, могуће је оценити постављене квантитативне фискалне лимите.</w:t>
      </w:r>
      <w:r w:rsidRPr="00E13B1A">
        <w:rPr>
          <w:rFonts w:ascii="Calibri" w:eastAsia="Calibri" w:hAnsi="Calibri" w:cs="Calibri"/>
          <w:spacing w:val="-2"/>
          <w:szCs w:val="20"/>
          <w:lang w:val="sr-Cyrl-RS"/>
        </w:rPr>
        <w:t xml:space="preserve"> Од 2016. године присутан је позитиван примарни стабилизациони јаз, а путања дуга преокренута. Током 2017. и 2018. године позитиван јаз се повећава и у том периоду је остварено највеће смањење учешћа дуга у БДП. Супротан тренд бележи се током 2020. године кад се достиже највећа негативна вредност овог показатеља. Након тога у периоду од 2021–2023. године примарни стабилизациони јаз постаје позитиван, чиме се омогућава постепено смањење нивоа јавног дуга. У периоду од 2024–2026. године, у складу са фискалним оквиром датим у овом документу, пројектоване су позитивне вредности овог параметра.</w:t>
      </w:r>
    </w:p>
    <w:p w14:paraId="48ABD6D0" w14:textId="77777777" w:rsidR="00252AA2" w:rsidRPr="00E13B1A" w:rsidRDefault="00252AA2" w:rsidP="006272DB">
      <w:pPr>
        <w:widowControl w:val="0"/>
        <w:spacing w:after="120"/>
        <w:rPr>
          <w:rFonts w:ascii="Calibri" w:eastAsia="Calibri" w:hAnsi="Calibri" w:cs="Calibri"/>
          <w:bCs/>
          <w:szCs w:val="20"/>
          <w:lang w:val="sr-Cyrl-RS"/>
        </w:rPr>
      </w:pPr>
      <w:r w:rsidRPr="00E13B1A">
        <w:rPr>
          <w:rFonts w:ascii="Calibri" w:eastAsia="Calibri" w:hAnsi="Calibri" w:cs="Calibri"/>
          <w:bCs/>
          <w:szCs w:val="20"/>
          <w:lang w:val="sr-Cyrl-RS"/>
        </w:rPr>
        <w:t>Фискални оквир предвиђен овом Фискалном стратегијом подразумева да, после релативно високог нивоа фискалног дефицита у 2022. и 2023. години, у складу са фискалним правилима дође до</w:t>
      </w:r>
      <w:r w:rsidRPr="00E13B1A">
        <w:rPr>
          <w:rFonts w:ascii="Calibri" w:eastAsia="Calibri" w:hAnsi="Calibri" w:cs="Calibri"/>
          <w:bCs/>
          <w:szCs w:val="20"/>
          <w:highlight w:val="yellow"/>
          <w:lang w:val="sr-Cyrl-RS"/>
        </w:rPr>
        <w:t xml:space="preserve"> </w:t>
      </w:r>
      <w:r w:rsidRPr="00E13B1A">
        <w:rPr>
          <w:rFonts w:ascii="Calibri" w:eastAsia="Calibri" w:hAnsi="Calibri" w:cs="Calibri"/>
          <w:bCs/>
          <w:szCs w:val="20"/>
          <w:lang w:val="sr-Cyrl-RS"/>
        </w:rPr>
        <w:lastRenderedPageBreak/>
        <w:t>његовог смањења на 1,5% БДП у 2025. и 2026. години. То ће омогућити да се учешће јавног дуга у БДП спусти на 50% на крају 2026. године. За период од 2027. до 2031. године дата је симулација три сценарија кретања јавног дуга, при чему се у сваком подразумева доследна примена фискалних правила у погледу нивоа фискалног дефицита. Два алтернативна сценарија симулирају ефекте екстерних фискалних и/или макроекономских шокова и неопходно, а уједно и законско обавезујуће, прилагођавање фискалне политике.</w:t>
      </w:r>
    </w:p>
    <w:p w14:paraId="035CD2FE" w14:textId="77777777" w:rsidR="00252AA2" w:rsidRPr="00E13B1A" w:rsidRDefault="00252AA2" w:rsidP="006272DB">
      <w:pPr>
        <w:widowControl w:val="0"/>
        <w:spacing w:after="120"/>
        <w:rPr>
          <w:rFonts w:ascii="Calibri" w:eastAsia="Calibri" w:hAnsi="Calibri" w:cs="Calibri"/>
          <w:bCs/>
          <w:szCs w:val="20"/>
          <w:lang w:val="sr-Cyrl-RS"/>
        </w:rPr>
      </w:pPr>
      <w:r w:rsidRPr="00E13B1A">
        <w:rPr>
          <w:rFonts w:ascii="Calibri" w:eastAsia="Calibri" w:hAnsi="Calibri" w:cs="Calibri"/>
          <w:szCs w:val="20"/>
          <w:lang w:val="sr-Cyrl-RS"/>
        </w:rPr>
        <w:t>Претпоставке у основном сценарију су:</w:t>
      </w:r>
    </w:p>
    <w:p w14:paraId="1B16FD31" w14:textId="77777777" w:rsidR="00252AA2" w:rsidRPr="00E13B1A" w:rsidRDefault="00252AA2" w:rsidP="006272DB">
      <w:pPr>
        <w:widowControl w:val="0"/>
        <w:numPr>
          <w:ilvl w:val="0"/>
          <w:numId w:val="3"/>
        </w:numPr>
        <w:spacing w:after="120"/>
        <w:ind w:left="181" w:hanging="181"/>
        <w:rPr>
          <w:rFonts w:ascii="Calibri" w:eastAsia="Calibri" w:hAnsi="Calibri" w:cs="Calibri"/>
          <w:szCs w:val="20"/>
          <w:lang w:val="sr-Cyrl-RS"/>
        </w:rPr>
      </w:pPr>
      <w:r w:rsidRPr="00E13B1A">
        <w:rPr>
          <w:rFonts w:ascii="Calibri" w:eastAsia="Calibri" w:hAnsi="Calibri" w:cs="Calibri"/>
          <w:szCs w:val="20"/>
          <w:lang w:val="sr-Cyrl-RS"/>
        </w:rPr>
        <w:t>након оствареног релативно високог нивоа фискалног дефицита у 2022. и 2023. години, у периоду од 2024. до 2026. године фискални дефицит се планира на нивоу од 1,5%, услед тога што јавни дуг бележи вредности испод границе од 55% БДП. И у периоду након тога планира се фискални дефицит на максималном нивоу од 1,5%, што уз остале претпоставке доводи до константног смањење учешћа јавног дуга у БДП на ниво од 44,4% БДП у 2031. години.</w:t>
      </w:r>
    </w:p>
    <w:p w14:paraId="5BFC0D00" w14:textId="77777777" w:rsidR="00252AA2" w:rsidRPr="00E13B1A" w:rsidRDefault="00252AA2" w:rsidP="006272DB">
      <w:pPr>
        <w:numPr>
          <w:ilvl w:val="0"/>
          <w:numId w:val="3"/>
        </w:numPr>
        <w:spacing w:after="120"/>
        <w:ind w:left="181" w:hanging="181"/>
        <w:rPr>
          <w:rFonts w:ascii="Calibri" w:eastAsia="Calibri" w:hAnsi="Calibri" w:cs="Calibri"/>
          <w:spacing w:val="-2"/>
          <w:szCs w:val="20"/>
          <w:lang w:val="sr-Cyrl-RS"/>
        </w:rPr>
      </w:pPr>
      <w:r w:rsidRPr="00E13B1A">
        <w:rPr>
          <w:rFonts w:ascii="Calibri" w:eastAsia="Calibri" w:hAnsi="Calibri" w:cs="Calibri"/>
          <w:spacing w:val="-2"/>
          <w:szCs w:val="20"/>
          <w:lang w:val="sr-Cyrl-RS"/>
        </w:rPr>
        <w:t>претпостављена просечна стопа реалног раста БДП од 4% у дугом року. Овакве макроекономске перформансе омогућавају да се и у случају релативно релаксиране фискалне политике обезбеди пожељно кретање нивоа дуга;</w:t>
      </w:r>
    </w:p>
    <w:p w14:paraId="6F8BAEC9" w14:textId="77777777" w:rsidR="00252AA2" w:rsidRPr="00E13B1A" w:rsidRDefault="00252AA2" w:rsidP="006272DB">
      <w:pPr>
        <w:numPr>
          <w:ilvl w:val="0"/>
          <w:numId w:val="3"/>
        </w:numPr>
        <w:spacing w:after="120"/>
        <w:ind w:left="181" w:hanging="181"/>
        <w:rPr>
          <w:rFonts w:ascii="Calibri" w:eastAsia="Calibri" w:hAnsi="Calibri" w:cs="Calibri"/>
          <w:szCs w:val="20"/>
          <w:lang w:val="sr-Cyrl-RS"/>
        </w:rPr>
      </w:pPr>
      <w:r w:rsidRPr="00E13B1A">
        <w:rPr>
          <w:rFonts w:ascii="Calibri" w:eastAsia="Calibri" w:hAnsi="Calibri" w:cs="Calibri"/>
          <w:szCs w:val="20"/>
          <w:lang w:val="sr-Cyrl-RS"/>
        </w:rPr>
        <w:t>успоравање инфлације и након тога задржавање на нивоу од 3% просечно у дугом року;</w:t>
      </w:r>
    </w:p>
    <w:p w14:paraId="5CBD438A" w14:textId="77777777" w:rsidR="00252AA2" w:rsidRPr="00E13B1A" w:rsidRDefault="00252AA2" w:rsidP="006272DB">
      <w:pPr>
        <w:numPr>
          <w:ilvl w:val="0"/>
          <w:numId w:val="3"/>
        </w:numPr>
        <w:spacing w:after="120"/>
        <w:ind w:left="181" w:hanging="181"/>
        <w:rPr>
          <w:rFonts w:ascii="Calibri" w:eastAsia="Calibri" w:hAnsi="Calibri" w:cs="Calibri"/>
          <w:szCs w:val="20"/>
          <w:lang w:val="sr-Cyrl-RS"/>
        </w:rPr>
      </w:pPr>
      <w:r w:rsidRPr="00E13B1A">
        <w:rPr>
          <w:rFonts w:ascii="Calibri" w:eastAsia="Calibri" w:hAnsi="Calibri" w:cs="Calibri"/>
          <w:szCs w:val="20"/>
          <w:lang w:val="sr-Cyrl-RS"/>
        </w:rPr>
        <w:t>спорији раст фискалних прихода у односу на номинални раст БДП услед промене структуре привреде, јачања инвестиционе активности и раста извоза. Не предвиђају се значајније промене у пореској политици, уз задржавање високог нивоа капиталних расхода;</w:t>
      </w:r>
    </w:p>
    <w:p w14:paraId="63D4DBF9" w14:textId="77777777" w:rsidR="00252AA2" w:rsidRPr="00E13B1A" w:rsidRDefault="00252AA2" w:rsidP="006272DB">
      <w:pPr>
        <w:numPr>
          <w:ilvl w:val="0"/>
          <w:numId w:val="3"/>
        </w:numPr>
        <w:spacing w:after="120"/>
        <w:ind w:left="181" w:hanging="181"/>
        <w:rPr>
          <w:rFonts w:ascii="Calibri" w:eastAsia="Calibri" w:hAnsi="Calibri" w:cs="Calibri"/>
          <w:szCs w:val="20"/>
          <w:lang w:val="sr-Cyrl-RS"/>
        </w:rPr>
      </w:pPr>
      <w:r w:rsidRPr="00E13B1A">
        <w:rPr>
          <w:rFonts w:ascii="Calibri" w:eastAsia="Calibri" w:hAnsi="Calibri" w:cs="Calibri"/>
          <w:szCs w:val="20"/>
          <w:lang w:val="sr-Cyrl-RS"/>
        </w:rPr>
        <w:t>изостанак нето прираста издатих гаранција након 2026. године;</w:t>
      </w:r>
    </w:p>
    <w:p w14:paraId="7807CD4C" w14:textId="77777777" w:rsidR="00252AA2" w:rsidRPr="00E13B1A" w:rsidRDefault="00252AA2" w:rsidP="006272DB">
      <w:pPr>
        <w:numPr>
          <w:ilvl w:val="0"/>
          <w:numId w:val="3"/>
        </w:numPr>
        <w:spacing w:after="120"/>
        <w:ind w:left="181" w:hanging="181"/>
        <w:rPr>
          <w:rFonts w:ascii="Calibri" w:eastAsia="Calibri" w:hAnsi="Calibri" w:cs="Calibri"/>
          <w:szCs w:val="20"/>
          <w:lang w:val="sr-Cyrl-RS"/>
        </w:rPr>
      </w:pPr>
      <w:r w:rsidRPr="00E13B1A">
        <w:rPr>
          <w:rFonts w:ascii="Calibri" w:eastAsia="Calibri" w:hAnsi="Calibri" w:cs="Calibri"/>
          <w:szCs w:val="20"/>
          <w:lang w:val="sr-Cyrl-RS"/>
        </w:rPr>
        <w:t>изостанак значајних прилива од приватизације у посматраном периоду. Евентуални већи приватизациони приходи смањују потребу за финансирањем и додатно смањују учешће јавног дуга.</w:t>
      </w:r>
    </w:p>
    <w:p w14:paraId="5E5BE7C0" w14:textId="77777777" w:rsidR="00252AA2" w:rsidRPr="00E13B1A" w:rsidRDefault="00252AA2" w:rsidP="006272DB">
      <w:pPr>
        <w:spacing w:after="120"/>
        <w:ind w:left="-90"/>
        <w:rPr>
          <w:rFonts w:ascii="Calibri" w:eastAsia="Calibri" w:hAnsi="Calibri" w:cs="Calibri"/>
          <w:szCs w:val="20"/>
          <w:lang w:val="sr-Cyrl-RS"/>
        </w:rPr>
      </w:pPr>
      <w:r w:rsidRPr="00E13B1A">
        <w:rPr>
          <w:rFonts w:ascii="Calibri" w:eastAsia="Calibri" w:hAnsi="Calibri" w:cs="Calibri"/>
          <w:szCs w:val="20"/>
          <w:lang w:val="sr-Cyrl-RS"/>
        </w:rPr>
        <w:t>Управљање и одрживост јавног дуга ће се додатно обезбедити:</w:t>
      </w:r>
    </w:p>
    <w:p w14:paraId="06D6966E" w14:textId="77777777" w:rsidR="00252AA2" w:rsidRPr="00E13B1A" w:rsidRDefault="00252AA2" w:rsidP="006272DB">
      <w:pPr>
        <w:numPr>
          <w:ilvl w:val="0"/>
          <w:numId w:val="3"/>
        </w:numPr>
        <w:spacing w:after="120"/>
        <w:ind w:left="181" w:hanging="181"/>
        <w:rPr>
          <w:rFonts w:ascii="Calibri" w:eastAsia="Calibri" w:hAnsi="Calibri" w:cs="Calibri"/>
          <w:szCs w:val="20"/>
          <w:lang w:val="sr-Cyrl-RS"/>
        </w:rPr>
      </w:pPr>
      <w:r w:rsidRPr="00E13B1A">
        <w:rPr>
          <w:rFonts w:ascii="Calibri" w:eastAsia="Calibri" w:hAnsi="Calibri" w:cs="Calibri"/>
          <w:szCs w:val="20"/>
          <w:lang w:val="sr-Cyrl-RS"/>
        </w:rPr>
        <w:t>ограничењем закључивања нових пројектних зајмова у случајевима да претходно одобрени зајмови нису ефикасно коришћени;</w:t>
      </w:r>
    </w:p>
    <w:p w14:paraId="7155C017" w14:textId="77777777" w:rsidR="00252AA2" w:rsidRPr="00E13B1A" w:rsidRDefault="00252AA2" w:rsidP="006272DB">
      <w:pPr>
        <w:numPr>
          <w:ilvl w:val="0"/>
          <w:numId w:val="3"/>
        </w:numPr>
        <w:spacing w:after="120"/>
        <w:ind w:left="181" w:hanging="181"/>
        <w:rPr>
          <w:rFonts w:ascii="Calibri" w:eastAsia="Calibri" w:hAnsi="Calibri" w:cs="Calibri"/>
          <w:szCs w:val="20"/>
          <w:lang w:val="sr-Cyrl-RS"/>
        </w:rPr>
      </w:pPr>
      <w:r w:rsidRPr="00E13B1A">
        <w:rPr>
          <w:rFonts w:ascii="Calibri" w:eastAsia="Calibri" w:hAnsi="Calibri" w:cs="Calibri"/>
          <w:szCs w:val="20"/>
          <w:lang w:val="sr-Cyrl-RS"/>
        </w:rPr>
        <w:t>откупом једног дела скупог дуга коришћењем средстава из повољнијих зајмова или приватизационих прихода уколико за то постоје могућности;</w:t>
      </w:r>
    </w:p>
    <w:p w14:paraId="01B73329" w14:textId="77777777" w:rsidR="00252AA2" w:rsidRPr="00E13B1A" w:rsidRDefault="00252AA2" w:rsidP="006272DB">
      <w:pPr>
        <w:numPr>
          <w:ilvl w:val="0"/>
          <w:numId w:val="2"/>
        </w:numPr>
        <w:spacing w:after="120"/>
        <w:ind w:left="181" w:hanging="181"/>
        <w:rPr>
          <w:rFonts w:ascii="Calibri" w:eastAsia="Calibri" w:hAnsi="Calibri" w:cs="Calibri"/>
          <w:szCs w:val="20"/>
          <w:lang w:val="sr-Cyrl-RS"/>
        </w:rPr>
      </w:pPr>
      <w:r w:rsidRPr="00E13B1A">
        <w:rPr>
          <w:rFonts w:ascii="Calibri" w:eastAsia="Calibri" w:hAnsi="Calibri" w:cs="Calibri"/>
          <w:szCs w:val="20"/>
          <w:lang w:val="sr-Cyrl-RS"/>
        </w:rPr>
        <w:t>идентификацијом и бољим управљањем фискалним ризицима.</w:t>
      </w:r>
    </w:p>
    <w:p w14:paraId="6C3268A9" w14:textId="77777777" w:rsidR="00252AA2" w:rsidRPr="00E13B1A" w:rsidRDefault="00252AA2" w:rsidP="00DB0157">
      <w:pPr>
        <w:numPr>
          <w:ilvl w:val="0"/>
          <w:numId w:val="3"/>
        </w:numPr>
        <w:ind w:left="90" w:hanging="181"/>
        <w:rPr>
          <w:rFonts w:cs="Calibri"/>
          <w:szCs w:val="20"/>
          <w:lang w:val="sr-Cyrl-RS" w:eastAsia="ja-JP"/>
        </w:rPr>
        <w:sectPr w:rsidR="00252AA2" w:rsidRPr="00E13B1A" w:rsidSect="000D3688">
          <w:type w:val="continuous"/>
          <w:pgSz w:w="12240" w:h="15840" w:code="1"/>
          <w:pgMar w:top="1417" w:right="1417" w:bottom="1417" w:left="1417" w:header="720" w:footer="720" w:gutter="0"/>
          <w:cols w:num="2" w:space="720"/>
          <w15:footnoteColumns w:val="1"/>
        </w:sectPr>
      </w:pPr>
    </w:p>
    <w:p w14:paraId="64E60126" w14:textId="77777777" w:rsidR="00252AA2" w:rsidRPr="00E13B1A" w:rsidRDefault="00252AA2" w:rsidP="00E124CF">
      <w:pPr>
        <w:spacing w:after="0"/>
        <w:jc w:val="center"/>
        <w:rPr>
          <w:rFonts w:cstheme="minorHAnsi"/>
          <w:b/>
          <w:color w:val="002060"/>
          <w:lang w:val="sr-Cyrl-RS"/>
        </w:rPr>
      </w:pPr>
      <w:r w:rsidRPr="00E13B1A">
        <w:rPr>
          <w:rFonts w:cstheme="minorHAnsi"/>
          <w:b/>
          <w:color w:val="002060"/>
          <w:lang w:val="sr-Cyrl-RS"/>
        </w:rPr>
        <w:t>Табела 20. Симулација нивоа укупног дуга у основном сценарију до 2031. године, % БДП</w:t>
      </w:r>
    </w:p>
    <w:tbl>
      <w:tblPr>
        <w:tblStyle w:val="LightShading-Accent3382"/>
        <w:tblW w:w="5084" w:type="pct"/>
        <w:jc w:val="center"/>
        <w:tblLook w:val="04A0" w:firstRow="1" w:lastRow="0" w:firstColumn="1" w:lastColumn="0" w:noHBand="0" w:noVBand="1"/>
      </w:tblPr>
      <w:tblGrid>
        <w:gridCol w:w="2182"/>
        <w:gridCol w:w="739"/>
        <w:gridCol w:w="738"/>
        <w:gridCol w:w="742"/>
        <w:gridCol w:w="742"/>
        <w:gridCol w:w="742"/>
        <w:gridCol w:w="742"/>
        <w:gridCol w:w="742"/>
        <w:gridCol w:w="738"/>
        <w:gridCol w:w="738"/>
        <w:gridCol w:w="719"/>
      </w:tblGrid>
      <w:tr w:rsidR="00252AA2" w:rsidRPr="00E13B1A" w14:paraId="050DAAA9" w14:textId="77777777" w:rsidTr="006272DB">
        <w:trPr>
          <w:cnfStyle w:val="100000000000" w:firstRow="1" w:lastRow="0" w:firstColumn="0" w:lastColumn="0" w:oddVBand="0" w:evenVBand="0" w:oddHBand="0" w:evenHBand="0" w:firstRowFirstColumn="0" w:firstRowLastColumn="0" w:lastRowFirstColumn="0" w:lastRowLastColumn="0"/>
          <w:trHeight w:hRule="exact" w:val="320"/>
          <w:jc w:val="center"/>
        </w:trPr>
        <w:tc>
          <w:tcPr>
            <w:cnfStyle w:val="001000000000" w:firstRow="0" w:lastRow="0" w:firstColumn="1" w:lastColumn="0" w:oddVBand="0" w:evenVBand="0" w:oddHBand="0" w:evenHBand="0" w:firstRowFirstColumn="0" w:firstRowLastColumn="0" w:lastRowFirstColumn="0" w:lastRowLastColumn="0"/>
            <w:tcW w:w="1140" w:type="pct"/>
            <w:tcBorders>
              <w:top w:val="single" w:sz="4" w:space="0" w:color="002060"/>
              <w:bottom w:val="single" w:sz="4" w:space="0" w:color="002060"/>
            </w:tcBorders>
            <w:shd w:val="clear" w:color="auto" w:fill="auto"/>
            <w:vAlign w:val="center"/>
            <w:hideMark/>
          </w:tcPr>
          <w:p w14:paraId="66C6F2FB" w14:textId="77777777" w:rsidR="00252AA2" w:rsidRPr="00E13B1A" w:rsidRDefault="00252AA2" w:rsidP="00C43FA1">
            <w:pPr>
              <w:ind w:right="-427"/>
              <w:jc w:val="left"/>
              <w:rPr>
                <w:rFonts w:asciiTheme="minorHAnsi" w:eastAsia="Times New Roman" w:hAnsiTheme="minorHAnsi" w:cstheme="minorHAnsi"/>
                <w:bCs w:val="0"/>
                <w:color w:val="002060"/>
                <w:sz w:val="18"/>
                <w:szCs w:val="18"/>
                <w:lang w:val="sr-Cyrl-RS"/>
              </w:rPr>
            </w:pPr>
            <w:r w:rsidRPr="00E13B1A">
              <w:rPr>
                <w:rFonts w:asciiTheme="minorHAnsi" w:eastAsia="Times New Roman" w:hAnsiTheme="minorHAnsi" w:cstheme="minorHAnsi"/>
                <w:b w:val="0"/>
                <w:bCs w:val="0"/>
                <w:color w:val="002060"/>
                <w:sz w:val="18"/>
                <w:szCs w:val="18"/>
                <w:lang w:val="sr-Cyrl-RS"/>
              </w:rPr>
              <w:t>Основни сценарио</w:t>
            </w:r>
          </w:p>
        </w:tc>
        <w:tc>
          <w:tcPr>
            <w:tcW w:w="386" w:type="pct"/>
            <w:tcBorders>
              <w:top w:val="single" w:sz="4" w:space="0" w:color="002060"/>
              <w:bottom w:val="single" w:sz="4" w:space="0" w:color="002060"/>
            </w:tcBorders>
            <w:shd w:val="clear" w:color="auto" w:fill="auto"/>
            <w:noWrap/>
            <w:vAlign w:val="center"/>
            <w:hideMark/>
          </w:tcPr>
          <w:p w14:paraId="796481C3" w14:textId="77777777" w:rsidR="00252AA2" w:rsidRPr="00E13B1A" w:rsidRDefault="00252AA2" w:rsidP="00C43FA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E13B1A">
              <w:rPr>
                <w:rFonts w:asciiTheme="minorHAnsi" w:hAnsiTheme="minorHAnsi" w:cstheme="minorHAnsi"/>
                <w:b w:val="0"/>
                <w:bCs w:val="0"/>
                <w:color w:val="002060"/>
                <w:sz w:val="18"/>
                <w:szCs w:val="18"/>
                <w:lang w:val="sr-Cyrl-RS"/>
              </w:rPr>
              <w:t>2022</w:t>
            </w:r>
          </w:p>
        </w:tc>
        <w:tc>
          <w:tcPr>
            <w:tcW w:w="386" w:type="pct"/>
            <w:tcBorders>
              <w:top w:val="single" w:sz="4" w:space="0" w:color="002060"/>
              <w:bottom w:val="single" w:sz="4" w:space="0" w:color="002060"/>
            </w:tcBorders>
            <w:shd w:val="clear" w:color="auto" w:fill="auto"/>
            <w:noWrap/>
            <w:vAlign w:val="center"/>
            <w:hideMark/>
          </w:tcPr>
          <w:p w14:paraId="1FD31C57" w14:textId="77777777" w:rsidR="00252AA2" w:rsidRPr="00E13B1A" w:rsidRDefault="00252AA2" w:rsidP="00C43FA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E13B1A">
              <w:rPr>
                <w:rFonts w:asciiTheme="minorHAnsi" w:hAnsiTheme="minorHAnsi" w:cstheme="minorHAnsi"/>
                <w:b w:val="0"/>
                <w:bCs w:val="0"/>
                <w:color w:val="002060"/>
                <w:sz w:val="18"/>
                <w:szCs w:val="18"/>
                <w:lang w:val="sr-Cyrl-RS"/>
              </w:rPr>
              <w:t>2023</w:t>
            </w:r>
          </w:p>
        </w:tc>
        <w:tc>
          <w:tcPr>
            <w:tcW w:w="388" w:type="pct"/>
            <w:tcBorders>
              <w:top w:val="single" w:sz="4" w:space="0" w:color="002060"/>
              <w:bottom w:val="single" w:sz="4" w:space="0" w:color="002060"/>
            </w:tcBorders>
            <w:shd w:val="clear" w:color="auto" w:fill="auto"/>
            <w:noWrap/>
            <w:vAlign w:val="center"/>
            <w:hideMark/>
          </w:tcPr>
          <w:p w14:paraId="00F2EAE2" w14:textId="77777777" w:rsidR="00252AA2" w:rsidRPr="00E13B1A" w:rsidRDefault="00252AA2" w:rsidP="00C43FA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E13B1A">
              <w:rPr>
                <w:rFonts w:asciiTheme="minorHAnsi" w:hAnsiTheme="minorHAnsi" w:cstheme="minorHAnsi"/>
                <w:b w:val="0"/>
                <w:bCs w:val="0"/>
                <w:color w:val="002060"/>
                <w:sz w:val="18"/>
                <w:szCs w:val="18"/>
                <w:lang w:val="sr-Cyrl-RS"/>
              </w:rPr>
              <w:t>2024</w:t>
            </w:r>
          </w:p>
        </w:tc>
        <w:tc>
          <w:tcPr>
            <w:tcW w:w="388" w:type="pct"/>
            <w:tcBorders>
              <w:top w:val="single" w:sz="4" w:space="0" w:color="002060"/>
              <w:bottom w:val="single" w:sz="4" w:space="0" w:color="002060"/>
            </w:tcBorders>
            <w:shd w:val="clear" w:color="auto" w:fill="auto"/>
            <w:noWrap/>
            <w:vAlign w:val="center"/>
            <w:hideMark/>
          </w:tcPr>
          <w:p w14:paraId="02299933" w14:textId="77777777" w:rsidR="00252AA2" w:rsidRPr="00E13B1A" w:rsidRDefault="00252AA2" w:rsidP="00C43FA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E13B1A">
              <w:rPr>
                <w:rFonts w:asciiTheme="minorHAnsi" w:hAnsiTheme="minorHAnsi" w:cstheme="minorHAnsi"/>
                <w:b w:val="0"/>
                <w:bCs w:val="0"/>
                <w:color w:val="002060"/>
                <w:sz w:val="18"/>
                <w:szCs w:val="18"/>
                <w:lang w:val="sr-Cyrl-RS"/>
              </w:rPr>
              <w:t>2025</w:t>
            </w:r>
          </w:p>
        </w:tc>
        <w:tc>
          <w:tcPr>
            <w:tcW w:w="388" w:type="pct"/>
            <w:tcBorders>
              <w:top w:val="single" w:sz="4" w:space="0" w:color="002060"/>
              <w:bottom w:val="single" w:sz="4" w:space="0" w:color="002060"/>
            </w:tcBorders>
            <w:shd w:val="clear" w:color="auto" w:fill="auto"/>
            <w:noWrap/>
            <w:vAlign w:val="center"/>
            <w:hideMark/>
          </w:tcPr>
          <w:p w14:paraId="10E6FCBE" w14:textId="77777777" w:rsidR="00252AA2" w:rsidRPr="00E13B1A" w:rsidRDefault="00252AA2" w:rsidP="00C43FA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E13B1A">
              <w:rPr>
                <w:rFonts w:asciiTheme="minorHAnsi" w:hAnsiTheme="minorHAnsi" w:cstheme="minorHAnsi"/>
                <w:b w:val="0"/>
                <w:bCs w:val="0"/>
                <w:color w:val="002060"/>
                <w:sz w:val="18"/>
                <w:szCs w:val="18"/>
                <w:lang w:val="sr-Cyrl-RS"/>
              </w:rPr>
              <w:t>2026</w:t>
            </w:r>
          </w:p>
        </w:tc>
        <w:tc>
          <w:tcPr>
            <w:tcW w:w="388" w:type="pct"/>
            <w:tcBorders>
              <w:top w:val="single" w:sz="4" w:space="0" w:color="002060"/>
              <w:bottom w:val="single" w:sz="4" w:space="0" w:color="002060"/>
            </w:tcBorders>
            <w:shd w:val="clear" w:color="auto" w:fill="auto"/>
            <w:noWrap/>
            <w:vAlign w:val="center"/>
            <w:hideMark/>
          </w:tcPr>
          <w:p w14:paraId="087AC161" w14:textId="77777777" w:rsidR="00252AA2" w:rsidRPr="00E13B1A" w:rsidRDefault="00252AA2" w:rsidP="00C43FA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E13B1A">
              <w:rPr>
                <w:rFonts w:asciiTheme="minorHAnsi" w:hAnsiTheme="minorHAnsi" w:cstheme="minorHAnsi"/>
                <w:b w:val="0"/>
                <w:bCs w:val="0"/>
                <w:color w:val="002060"/>
                <w:sz w:val="18"/>
                <w:szCs w:val="18"/>
                <w:lang w:val="sr-Cyrl-RS"/>
              </w:rPr>
              <w:t>2027</w:t>
            </w:r>
          </w:p>
        </w:tc>
        <w:tc>
          <w:tcPr>
            <w:tcW w:w="388" w:type="pct"/>
            <w:tcBorders>
              <w:top w:val="single" w:sz="4" w:space="0" w:color="002060"/>
              <w:bottom w:val="single" w:sz="4" w:space="0" w:color="002060"/>
            </w:tcBorders>
            <w:shd w:val="clear" w:color="auto" w:fill="auto"/>
            <w:noWrap/>
            <w:vAlign w:val="center"/>
            <w:hideMark/>
          </w:tcPr>
          <w:p w14:paraId="685961D7" w14:textId="77777777" w:rsidR="00252AA2" w:rsidRPr="00E13B1A" w:rsidRDefault="00252AA2" w:rsidP="00C43FA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E13B1A">
              <w:rPr>
                <w:rFonts w:asciiTheme="minorHAnsi" w:hAnsiTheme="minorHAnsi" w:cstheme="minorHAnsi"/>
                <w:b w:val="0"/>
                <w:bCs w:val="0"/>
                <w:color w:val="002060"/>
                <w:sz w:val="18"/>
                <w:szCs w:val="18"/>
                <w:lang w:val="sr-Cyrl-RS"/>
              </w:rPr>
              <w:t>2028</w:t>
            </w:r>
          </w:p>
        </w:tc>
        <w:tc>
          <w:tcPr>
            <w:tcW w:w="386" w:type="pct"/>
            <w:tcBorders>
              <w:top w:val="single" w:sz="4" w:space="0" w:color="002060"/>
              <w:bottom w:val="single" w:sz="4" w:space="0" w:color="002060"/>
            </w:tcBorders>
            <w:shd w:val="clear" w:color="auto" w:fill="auto"/>
            <w:noWrap/>
            <w:vAlign w:val="center"/>
            <w:hideMark/>
          </w:tcPr>
          <w:p w14:paraId="480B751F" w14:textId="77777777" w:rsidR="00252AA2" w:rsidRPr="00E13B1A" w:rsidRDefault="00252AA2" w:rsidP="000D368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E13B1A">
              <w:rPr>
                <w:rFonts w:asciiTheme="minorHAnsi" w:hAnsiTheme="minorHAnsi" w:cstheme="minorHAnsi"/>
                <w:b w:val="0"/>
                <w:bCs w:val="0"/>
                <w:color w:val="002060"/>
                <w:sz w:val="18"/>
                <w:szCs w:val="18"/>
                <w:lang w:val="sr-Cyrl-RS"/>
              </w:rPr>
              <w:t>2029</w:t>
            </w:r>
          </w:p>
        </w:tc>
        <w:tc>
          <w:tcPr>
            <w:tcW w:w="386" w:type="pct"/>
            <w:tcBorders>
              <w:top w:val="single" w:sz="4" w:space="0" w:color="002060"/>
              <w:bottom w:val="single" w:sz="4" w:space="0" w:color="002060"/>
            </w:tcBorders>
            <w:vAlign w:val="center"/>
          </w:tcPr>
          <w:p w14:paraId="7A98F9BB" w14:textId="77777777" w:rsidR="00252AA2" w:rsidRPr="00E13B1A" w:rsidRDefault="00252AA2" w:rsidP="000D368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RS"/>
              </w:rPr>
            </w:pPr>
            <w:r w:rsidRPr="00E13B1A">
              <w:rPr>
                <w:rFonts w:asciiTheme="minorHAnsi" w:hAnsiTheme="minorHAnsi" w:cstheme="minorHAnsi"/>
                <w:b w:val="0"/>
                <w:bCs w:val="0"/>
                <w:color w:val="002060"/>
                <w:sz w:val="18"/>
                <w:szCs w:val="18"/>
                <w:lang w:val="sr-Cyrl-RS"/>
              </w:rPr>
              <w:t>2030</w:t>
            </w:r>
          </w:p>
        </w:tc>
        <w:tc>
          <w:tcPr>
            <w:tcW w:w="377" w:type="pct"/>
            <w:tcBorders>
              <w:top w:val="single" w:sz="4" w:space="0" w:color="002060"/>
              <w:bottom w:val="single" w:sz="4" w:space="0" w:color="002060"/>
            </w:tcBorders>
            <w:vAlign w:val="center"/>
          </w:tcPr>
          <w:p w14:paraId="59B1621C" w14:textId="77777777" w:rsidR="00252AA2" w:rsidRPr="00E13B1A" w:rsidRDefault="00252AA2" w:rsidP="000D368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RS"/>
              </w:rPr>
            </w:pPr>
            <w:r w:rsidRPr="00E13B1A">
              <w:rPr>
                <w:rFonts w:asciiTheme="minorHAnsi" w:hAnsiTheme="minorHAnsi" w:cstheme="minorHAnsi"/>
                <w:b w:val="0"/>
                <w:bCs w:val="0"/>
                <w:color w:val="002060"/>
                <w:sz w:val="18"/>
                <w:szCs w:val="18"/>
                <w:lang w:val="sr-Cyrl-RS"/>
              </w:rPr>
              <w:t>2031</w:t>
            </w:r>
          </w:p>
        </w:tc>
      </w:tr>
      <w:tr w:rsidR="00252AA2" w:rsidRPr="00E13B1A" w14:paraId="0595CF3A" w14:textId="77777777" w:rsidTr="006272DB">
        <w:trPr>
          <w:cnfStyle w:val="000000100000" w:firstRow="0" w:lastRow="0" w:firstColumn="0" w:lastColumn="0" w:oddVBand="0" w:evenVBand="0" w:oddHBand="1" w:evenHBand="0" w:firstRowFirstColumn="0" w:firstRowLastColumn="0" w:lastRowFirstColumn="0" w:lastRowLastColumn="0"/>
          <w:trHeight w:hRule="exact" w:val="320"/>
          <w:jc w:val="center"/>
        </w:trPr>
        <w:tc>
          <w:tcPr>
            <w:cnfStyle w:val="001000000000" w:firstRow="0" w:lastRow="0" w:firstColumn="1" w:lastColumn="0" w:oddVBand="0" w:evenVBand="0" w:oddHBand="0" w:evenHBand="0" w:firstRowFirstColumn="0" w:firstRowLastColumn="0" w:lastRowFirstColumn="0" w:lastRowLastColumn="0"/>
            <w:tcW w:w="1140" w:type="pct"/>
            <w:tcBorders>
              <w:top w:val="single" w:sz="4" w:space="0" w:color="002060"/>
              <w:bottom w:val="nil"/>
            </w:tcBorders>
            <w:shd w:val="clear" w:color="auto" w:fill="auto"/>
            <w:noWrap/>
            <w:vAlign w:val="center"/>
            <w:hideMark/>
          </w:tcPr>
          <w:p w14:paraId="7858CABE" w14:textId="77777777" w:rsidR="00252AA2" w:rsidRPr="00E13B1A" w:rsidRDefault="00252AA2" w:rsidP="006272DB">
            <w:pPr>
              <w:jc w:val="left"/>
              <w:rPr>
                <w:rFonts w:asciiTheme="minorHAnsi" w:eastAsia="Times New Roman" w:hAnsiTheme="minorHAnsi" w:cstheme="minorHAnsi"/>
                <w:bCs w:val="0"/>
                <w:color w:val="002060"/>
                <w:sz w:val="18"/>
                <w:szCs w:val="18"/>
                <w:lang w:val="sr-Cyrl-RS"/>
              </w:rPr>
            </w:pPr>
            <w:r w:rsidRPr="00E13B1A">
              <w:rPr>
                <w:rFonts w:asciiTheme="minorHAnsi" w:eastAsia="Times New Roman" w:hAnsiTheme="minorHAnsi" w:cstheme="minorHAnsi"/>
                <w:b w:val="0"/>
                <w:bCs w:val="0"/>
                <w:color w:val="002060"/>
                <w:sz w:val="18"/>
                <w:szCs w:val="18"/>
                <w:lang w:val="sr-Cyrl-RS"/>
              </w:rPr>
              <w:t>Приходи</w:t>
            </w:r>
          </w:p>
        </w:tc>
        <w:tc>
          <w:tcPr>
            <w:tcW w:w="386" w:type="pct"/>
            <w:tcBorders>
              <w:top w:val="nil"/>
              <w:bottom w:val="nil"/>
            </w:tcBorders>
            <w:shd w:val="clear" w:color="auto" w:fill="auto"/>
            <w:noWrap/>
            <w:vAlign w:val="center"/>
            <w:hideMark/>
          </w:tcPr>
          <w:p w14:paraId="0166C174"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43,8</w:t>
            </w:r>
          </w:p>
        </w:tc>
        <w:tc>
          <w:tcPr>
            <w:tcW w:w="386" w:type="pct"/>
            <w:tcBorders>
              <w:top w:val="nil"/>
              <w:bottom w:val="nil"/>
            </w:tcBorders>
            <w:shd w:val="clear" w:color="auto" w:fill="auto"/>
            <w:noWrap/>
            <w:vAlign w:val="center"/>
            <w:hideMark/>
          </w:tcPr>
          <w:p w14:paraId="5E183E4E"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42,5</w:t>
            </w:r>
          </w:p>
        </w:tc>
        <w:tc>
          <w:tcPr>
            <w:tcW w:w="388" w:type="pct"/>
            <w:tcBorders>
              <w:top w:val="nil"/>
              <w:bottom w:val="nil"/>
            </w:tcBorders>
            <w:shd w:val="clear" w:color="auto" w:fill="auto"/>
            <w:noWrap/>
            <w:vAlign w:val="center"/>
            <w:hideMark/>
          </w:tcPr>
          <w:p w14:paraId="631B14E5"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42,5</w:t>
            </w:r>
          </w:p>
        </w:tc>
        <w:tc>
          <w:tcPr>
            <w:tcW w:w="388" w:type="pct"/>
            <w:tcBorders>
              <w:top w:val="nil"/>
              <w:bottom w:val="nil"/>
            </w:tcBorders>
            <w:shd w:val="clear" w:color="auto" w:fill="auto"/>
            <w:noWrap/>
            <w:vAlign w:val="center"/>
            <w:hideMark/>
          </w:tcPr>
          <w:p w14:paraId="20FD8357"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42,4</w:t>
            </w:r>
          </w:p>
        </w:tc>
        <w:tc>
          <w:tcPr>
            <w:tcW w:w="388" w:type="pct"/>
            <w:tcBorders>
              <w:top w:val="nil"/>
              <w:bottom w:val="nil"/>
            </w:tcBorders>
            <w:shd w:val="clear" w:color="auto" w:fill="auto"/>
            <w:noWrap/>
            <w:vAlign w:val="center"/>
            <w:hideMark/>
          </w:tcPr>
          <w:p w14:paraId="38A45488"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42,2</w:t>
            </w:r>
          </w:p>
        </w:tc>
        <w:tc>
          <w:tcPr>
            <w:tcW w:w="388" w:type="pct"/>
            <w:tcBorders>
              <w:top w:val="nil"/>
              <w:bottom w:val="nil"/>
            </w:tcBorders>
            <w:shd w:val="clear" w:color="auto" w:fill="auto"/>
            <w:noWrap/>
            <w:vAlign w:val="center"/>
            <w:hideMark/>
          </w:tcPr>
          <w:p w14:paraId="134BBA87"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41,9</w:t>
            </w:r>
          </w:p>
        </w:tc>
        <w:tc>
          <w:tcPr>
            <w:tcW w:w="388" w:type="pct"/>
            <w:tcBorders>
              <w:top w:val="nil"/>
              <w:bottom w:val="nil"/>
            </w:tcBorders>
            <w:shd w:val="clear" w:color="auto" w:fill="auto"/>
            <w:noWrap/>
            <w:vAlign w:val="center"/>
            <w:hideMark/>
          </w:tcPr>
          <w:p w14:paraId="5B3F8DB4"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41,7</w:t>
            </w:r>
          </w:p>
        </w:tc>
        <w:tc>
          <w:tcPr>
            <w:tcW w:w="386" w:type="pct"/>
            <w:tcBorders>
              <w:top w:val="nil"/>
              <w:bottom w:val="nil"/>
            </w:tcBorders>
            <w:shd w:val="clear" w:color="auto" w:fill="auto"/>
            <w:noWrap/>
            <w:vAlign w:val="center"/>
            <w:hideMark/>
          </w:tcPr>
          <w:p w14:paraId="302C293A"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41,4</w:t>
            </w:r>
          </w:p>
        </w:tc>
        <w:tc>
          <w:tcPr>
            <w:tcW w:w="386" w:type="pct"/>
            <w:tcBorders>
              <w:top w:val="single" w:sz="4" w:space="0" w:color="002060"/>
              <w:bottom w:val="nil"/>
            </w:tcBorders>
            <w:shd w:val="clear" w:color="auto" w:fill="auto"/>
            <w:vAlign w:val="center"/>
          </w:tcPr>
          <w:p w14:paraId="2936730F"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41,2</w:t>
            </w:r>
          </w:p>
        </w:tc>
        <w:tc>
          <w:tcPr>
            <w:tcW w:w="377" w:type="pct"/>
            <w:tcBorders>
              <w:top w:val="single" w:sz="4" w:space="0" w:color="002060"/>
              <w:bottom w:val="nil"/>
            </w:tcBorders>
            <w:shd w:val="clear" w:color="auto" w:fill="auto"/>
            <w:vAlign w:val="center"/>
          </w:tcPr>
          <w:p w14:paraId="28E8C9E3"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41,0</w:t>
            </w:r>
          </w:p>
        </w:tc>
      </w:tr>
      <w:tr w:rsidR="00252AA2" w:rsidRPr="00E13B1A" w14:paraId="06FA22D9" w14:textId="77777777" w:rsidTr="006272DB">
        <w:trPr>
          <w:trHeight w:hRule="exact" w:val="320"/>
          <w:jc w:val="center"/>
        </w:trPr>
        <w:tc>
          <w:tcPr>
            <w:cnfStyle w:val="001000000000" w:firstRow="0" w:lastRow="0" w:firstColumn="1" w:lastColumn="0" w:oddVBand="0" w:evenVBand="0" w:oddHBand="0" w:evenHBand="0" w:firstRowFirstColumn="0" w:firstRowLastColumn="0" w:lastRowFirstColumn="0" w:lastRowLastColumn="0"/>
            <w:tcW w:w="1140" w:type="pct"/>
            <w:tcBorders>
              <w:top w:val="nil"/>
              <w:left w:val="nil"/>
              <w:bottom w:val="nil"/>
              <w:right w:val="nil"/>
            </w:tcBorders>
            <w:shd w:val="clear" w:color="auto" w:fill="auto"/>
            <w:noWrap/>
            <w:vAlign w:val="center"/>
            <w:hideMark/>
          </w:tcPr>
          <w:p w14:paraId="5F3B9BAA" w14:textId="77777777" w:rsidR="00252AA2" w:rsidRPr="00E13B1A" w:rsidRDefault="00252AA2" w:rsidP="006272DB">
            <w:pPr>
              <w:jc w:val="left"/>
              <w:rPr>
                <w:rFonts w:asciiTheme="minorHAnsi" w:eastAsia="Times New Roman" w:hAnsiTheme="minorHAnsi" w:cstheme="minorHAnsi"/>
                <w:bCs w:val="0"/>
                <w:color w:val="002060"/>
                <w:sz w:val="18"/>
                <w:szCs w:val="18"/>
                <w:lang w:val="sr-Cyrl-RS"/>
              </w:rPr>
            </w:pPr>
            <w:r w:rsidRPr="00E13B1A">
              <w:rPr>
                <w:rFonts w:asciiTheme="minorHAnsi" w:eastAsia="Times New Roman" w:hAnsiTheme="minorHAnsi" w:cstheme="minorHAnsi"/>
                <w:b w:val="0"/>
                <w:bCs w:val="0"/>
                <w:color w:val="002060"/>
                <w:sz w:val="18"/>
                <w:szCs w:val="18"/>
                <w:lang w:val="sr-Cyrl-RS"/>
              </w:rPr>
              <w:t>Расходи</w:t>
            </w:r>
          </w:p>
        </w:tc>
        <w:tc>
          <w:tcPr>
            <w:tcW w:w="386" w:type="pct"/>
            <w:tcBorders>
              <w:top w:val="nil"/>
              <w:left w:val="nil"/>
              <w:bottom w:val="nil"/>
              <w:right w:val="nil"/>
            </w:tcBorders>
            <w:shd w:val="clear" w:color="auto" w:fill="auto"/>
            <w:noWrap/>
            <w:vAlign w:val="center"/>
            <w:hideMark/>
          </w:tcPr>
          <w:p w14:paraId="0CCFC06C"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46,9</w:t>
            </w:r>
          </w:p>
        </w:tc>
        <w:tc>
          <w:tcPr>
            <w:tcW w:w="386" w:type="pct"/>
            <w:tcBorders>
              <w:top w:val="nil"/>
              <w:left w:val="nil"/>
              <w:bottom w:val="nil"/>
              <w:right w:val="nil"/>
            </w:tcBorders>
            <w:shd w:val="clear" w:color="auto" w:fill="auto"/>
            <w:noWrap/>
            <w:vAlign w:val="center"/>
            <w:hideMark/>
          </w:tcPr>
          <w:p w14:paraId="1915A5C9"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45,3</w:t>
            </w:r>
          </w:p>
        </w:tc>
        <w:tc>
          <w:tcPr>
            <w:tcW w:w="388" w:type="pct"/>
            <w:tcBorders>
              <w:top w:val="nil"/>
              <w:left w:val="nil"/>
              <w:bottom w:val="nil"/>
              <w:right w:val="nil"/>
            </w:tcBorders>
            <w:shd w:val="clear" w:color="auto" w:fill="auto"/>
            <w:noWrap/>
            <w:vAlign w:val="center"/>
            <w:hideMark/>
          </w:tcPr>
          <w:p w14:paraId="6E85CC7C"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44,7</w:t>
            </w:r>
          </w:p>
        </w:tc>
        <w:tc>
          <w:tcPr>
            <w:tcW w:w="388" w:type="pct"/>
            <w:tcBorders>
              <w:top w:val="nil"/>
              <w:left w:val="nil"/>
              <w:bottom w:val="nil"/>
              <w:right w:val="nil"/>
            </w:tcBorders>
            <w:shd w:val="clear" w:color="auto" w:fill="auto"/>
            <w:noWrap/>
            <w:vAlign w:val="center"/>
            <w:hideMark/>
          </w:tcPr>
          <w:p w14:paraId="1E02A14B"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43,9</w:t>
            </w:r>
          </w:p>
        </w:tc>
        <w:tc>
          <w:tcPr>
            <w:tcW w:w="388" w:type="pct"/>
            <w:tcBorders>
              <w:top w:val="nil"/>
              <w:left w:val="nil"/>
              <w:bottom w:val="nil"/>
              <w:right w:val="nil"/>
            </w:tcBorders>
            <w:shd w:val="clear" w:color="auto" w:fill="auto"/>
            <w:noWrap/>
            <w:vAlign w:val="center"/>
            <w:hideMark/>
          </w:tcPr>
          <w:p w14:paraId="65F2719E"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43,7</w:t>
            </w:r>
          </w:p>
        </w:tc>
        <w:tc>
          <w:tcPr>
            <w:tcW w:w="388" w:type="pct"/>
            <w:tcBorders>
              <w:top w:val="nil"/>
              <w:left w:val="nil"/>
              <w:bottom w:val="nil"/>
              <w:right w:val="nil"/>
            </w:tcBorders>
            <w:shd w:val="clear" w:color="auto" w:fill="auto"/>
            <w:noWrap/>
            <w:vAlign w:val="center"/>
            <w:hideMark/>
          </w:tcPr>
          <w:p w14:paraId="20FD9D28"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43,4</w:t>
            </w:r>
          </w:p>
        </w:tc>
        <w:tc>
          <w:tcPr>
            <w:tcW w:w="388" w:type="pct"/>
            <w:tcBorders>
              <w:top w:val="nil"/>
              <w:left w:val="nil"/>
              <w:bottom w:val="nil"/>
              <w:right w:val="nil"/>
            </w:tcBorders>
            <w:shd w:val="clear" w:color="auto" w:fill="auto"/>
            <w:noWrap/>
            <w:vAlign w:val="center"/>
            <w:hideMark/>
          </w:tcPr>
          <w:p w14:paraId="3C82CA71"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43,2</w:t>
            </w:r>
          </w:p>
        </w:tc>
        <w:tc>
          <w:tcPr>
            <w:tcW w:w="386" w:type="pct"/>
            <w:tcBorders>
              <w:top w:val="nil"/>
              <w:left w:val="nil"/>
              <w:bottom w:val="nil"/>
              <w:right w:val="nil"/>
            </w:tcBorders>
            <w:shd w:val="clear" w:color="auto" w:fill="auto"/>
            <w:noWrap/>
            <w:vAlign w:val="center"/>
            <w:hideMark/>
          </w:tcPr>
          <w:p w14:paraId="009D32C3"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42,9</w:t>
            </w:r>
          </w:p>
        </w:tc>
        <w:tc>
          <w:tcPr>
            <w:tcW w:w="386" w:type="pct"/>
            <w:tcBorders>
              <w:top w:val="nil"/>
              <w:left w:val="nil"/>
              <w:bottom w:val="nil"/>
              <w:right w:val="nil"/>
            </w:tcBorders>
            <w:shd w:val="clear" w:color="auto" w:fill="auto"/>
            <w:vAlign w:val="center"/>
          </w:tcPr>
          <w:p w14:paraId="29B110EC"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42,7</w:t>
            </w:r>
          </w:p>
        </w:tc>
        <w:tc>
          <w:tcPr>
            <w:tcW w:w="377" w:type="pct"/>
            <w:tcBorders>
              <w:top w:val="nil"/>
              <w:left w:val="nil"/>
              <w:bottom w:val="nil"/>
              <w:right w:val="nil"/>
            </w:tcBorders>
            <w:shd w:val="clear" w:color="auto" w:fill="auto"/>
            <w:vAlign w:val="center"/>
          </w:tcPr>
          <w:p w14:paraId="08E2FC6A"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42,5</w:t>
            </w:r>
          </w:p>
        </w:tc>
      </w:tr>
      <w:tr w:rsidR="00252AA2" w:rsidRPr="00E13B1A" w14:paraId="5E119194" w14:textId="77777777" w:rsidTr="006272DB">
        <w:trPr>
          <w:cnfStyle w:val="000000100000" w:firstRow="0" w:lastRow="0" w:firstColumn="0" w:lastColumn="0" w:oddVBand="0" w:evenVBand="0" w:oddHBand="1" w:evenHBand="0" w:firstRowFirstColumn="0" w:firstRowLastColumn="0" w:lastRowFirstColumn="0" w:lastRowLastColumn="0"/>
          <w:trHeight w:hRule="exact" w:val="320"/>
          <w:jc w:val="center"/>
        </w:trPr>
        <w:tc>
          <w:tcPr>
            <w:cnfStyle w:val="001000000000" w:firstRow="0" w:lastRow="0" w:firstColumn="1" w:lastColumn="0" w:oddVBand="0" w:evenVBand="0" w:oddHBand="0" w:evenHBand="0" w:firstRowFirstColumn="0" w:firstRowLastColumn="0" w:lastRowFirstColumn="0" w:lastRowLastColumn="0"/>
            <w:tcW w:w="1140" w:type="pct"/>
            <w:tcBorders>
              <w:top w:val="nil"/>
              <w:bottom w:val="nil"/>
            </w:tcBorders>
            <w:shd w:val="clear" w:color="auto" w:fill="auto"/>
            <w:noWrap/>
            <w:vAlign w:val="center"/>
            <w:hideMark/>
          </w:tcPr>
          <w:p w14:paraId="4517A0BB" w14:textId="77777777" w:rsidR="00252AA2" w:rsidRPr="00E13B1A" w:rsidRDefault="00252AA2" w:rsidP="006272DB">
            <w:pPr>
              <w:jc w:val="left"/>
              <w:rPr>
                <w:rFonts w:asciiTheme="minorHAnsi" w:eastAsia="Times New Roman" w:hAnsiTheme="minorHAnsi" w:cstheme="minorHAnsi"/>
                <w:bCs w:val="0"/>
                <w:iCs/>
                <w:color w:val="002060"/>
                <w:sz w:val="18"/>
                <w:szCs w:val="18"/>
                <w:lang w:val="sr-Cyrl-RS"/>
              </w:rPr>
            </w:pPr>
            <w:r w:rsidRPr="00E13B1A">
              <w:rPr>
                <w:rFonts w:asciiTheme="minorHAnsi" w:eastAsia="Times New Roman" w:hAnsiTheme="minorHAnsi" w:cstheme="minorHAnsi"/>
                <w:b w:val="0"/>
                <w:bCs w:val="0"/>
                <w:iCs/>
                <w:color w:val="002060"/>
                <w:sz w:val="18"/>
                <w:szCs w:val="18"/>
                <w:lang w:val="sr-Cyrl-RS"/>
              </w:rPr>
              <w:t>Пад учешћа расхода</w:t>
            </w:r>
          </w:p>
        </w:tc>
        <w:tc>
          <w:tcPr>
            <w:tcW w:w="386" w:type="pct"/>
            <w:tcBorders>
              <w:top w:val="nil"/>
              <w:bottom w:val="nil"/>
            </w:tcBorders>
            <w:shd w:val="clear" w:color="auto" w:fill="auto"/>
            <w:noWrap/>
            <w:vAlign w:val="center"/>
            <w:hideMark/>
          </w:tcPr>
          <w:p w14:paraId="367E097A"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p>
        </w:tc>
        <w:tc>
          <w:tcPr>
            <w:tcW w:w="386" w:type="pct"/>
            <w:tcBorders>
              <w:top w:val="nil"/>
              <w:bottom w:val="nil"/>
            </w:tcBorders>
            <w:shd w:val="clear" w:color="auto" w:fill="auto"/>
            <w:noWrap/>
            <w:vAlign w:val="center"/>
            <w:hideMark/>
          </w:tcPr>
          <w:p w14:paraId="1C3E5FE5"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-1,6</w:t>
            </w:r>
          </w:p>
        </w:tc>
        <w:tc>
          <w:tcPr>
            <w:tcW w:w="388" w:type="pct"/>
            <w:tcBorders>
              <w:top w:val="nil"/>
              <w:bottom w:val="nil"/>
            </w:tcBorders>
            <w:shd w:val="clear" w:color="auto" w:fill="auto"/>
            <w:noWrap/>
            <w:vAlign w:val="center"/>
            <w:hideMark/>
          </w:tcPr>
          <w:p w14:paraId="1FF18E1D"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-0,6</w:t>
            </w:r>
          </w:p>
        </w:tc>
        <w:tc>
          <w:tcPr>
            <w:tcW w:w="388" w:type="pct"/>
            <w:tcBorders>
              <w:top w:val="nil"/>
              <w:bottom w:val="nil"/>
            </w:tcBorders>
            <w:shd w:val="clear" w:color="auto" w:fill="auto"/>
            <w:noWrap/>
            <w:vAlign w:val="center"/>
            <w:hideMark/>
          </w:tcPr>
          <w:p w14:paraId="10E5B1AD"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-0,8</w:t>
            </w:r>
          </w:p>
        </w:tc>
        <w:tc>
          <w:tcPr>
            <w:tcW w:w="388" w:type="pct"/>
            <w:tcBorders>
              <w:top w:val="nil"/>
              <w:bottom w:val="nil"/>
            </w:tcBorders>
            <w:shd w:val="clear" w:color="auto" w:fill="auto"/>
            <w:noWrap/>
            <w:vAlign w:val="center"/>
            <w:hideMark/>
          </w:tcPr>
          <w:p w14:paraId="56DDE3BB"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-0,3</w:t>
            </w:r>
          </w:p>
        </w:tc>
        <w:tc>
          <w:tcPr>
            <w:tcW w:w="388" w:type="pct"/>
            <w:tcBorders>
              <w:top w:val="nil"/>
              <w:bottom w:val="nil"/>
            </w:tcBorders>
            <w:shd w:val="clear" w:color="auto" w:fill="auto"/>
            <w:noWrap/>
            <w:vAlign w:val="center"/>
            <w:hideMark/>
          </w:tcPr>
          <w:p w14:paraId="19766B61"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-0,2</w:t>
            </w:r>
          </w:p>
        </w:tc>
        <w:tc>
          <w:tcPr>
            <w:tcW w:w="388" w:type="pct"/>
            <w:tcBorders>
              <w:top w:val="nil"/>
              <w:bottom w:val="nil"/>
            </w:tcBorders>
            <w:shd w:val="clear" w:color="auto" w:fill="auto"/>
            <w:noWrap/>
            <w:vAlign w:val="center"/>
            <w:hideMark/>
          </w:tcPr>
          <w:p w14:paraId="6F023809"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-0,2</w:t>
            </w:r>
          </w:p>
        </w:tc>
        <w:tc>
          <w:tcPr>
            <w:tcW w:w="386" w:type="pct"/>
            <w:tcBorders>
              <w:top w:val="nil"/>
              <w:bottom w:val="nil"/>
            </w:tcBorders>
            <w:shd w:val="clear" w:color="auto" w:fill="auto"/>
            <w:noWrap/>
            <w:vAlign w:val="center"/>
            <w:hideMark/>
          </w:tcPr>
          <w:p w14:paraId="432C9C44"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-0,2</w:t>
            </w:r>
          </w:p>
        </w:tc>
        <w:tc>
          <w:tcPr>
            <w:tcW w:w="386" w:type="pct"/>
            <w:tcBorders>
              <w:top w:val="nil"/>
              <w:bottom w:val="nil"/>
            </w:tcBorders>
            <w:shd w:val="clear" w:color="auto" w:fill="auto"/>
            <w:vAlign w:val="center"/>
          </w:tcPr>
          <w:p w14:paraId="2173C53B"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-0,2</w:t>
            </w:r>
          </w:p>
        </w:tc>
        <w:tc>
          <w:tcPr>
            <w:tcW w:w="377" w:type="pct"/>
            <w:tcBorders>
              <w:top w:val="nil"/>
              <w:bottom w:val="nil"/>
            </w:tcBorders>
            <w:shd w:val="clear" w:color="auto" w:fill="auto"/>
            <w:vAlign w:val="center"/>
          </w:tcPr>
          <w:p w14:paraId="71622AD1"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-0,2</w:t>
            </w:r>
          </w:p>
        </w:tc>
      </w:tr>
      <w:tr w:rsidR="00252AA2" w:rsidRPr="00E13B1A" w14:paraId="1BF56645" w14:textId="77777777" w:rsidTr="006272DB">
        <w:trPr>
          <w:trHeight w:hRule="exact" w:val="320"/>
          <w:jc w:val="center"/>
        </w:trPr>
        <w:tc>
          <w:tcPr>
            <w:cnfStyle w:val="001000000000" w:firstRow="0" w:lastRow="0" w:firstColumn="1" w:lastColumn="0" w:oddVBand="0" w:evenVBand="0" w:oddHBand="0" w:evenHBand="0" w:firstRowFirstColumn="0" w:firstRowLastColumn="0" w:lastRowFirstColumn="0" w:lastRowLastColumn="0"/>
            <w:tcW w:w="1140" w:type="pct"/>
            <w:tcBorders>
              <w:top w:val="nil"/>
              <w:left w:val="nil"/>
              <w:bottom w:val="nil"/>
              <w:right w:val="nil"/>
            </w:tcBorders>
            <w:shd w:val="clear" w:color="auto" w:fill="auto"/>
            <w:noWrap/>
            <w:vAlign w:val="center"/>
            <w:hideMark/>
          </w:tcPr>
          <w:p w14:paraId="630ACC21" w14:textId="77777777" w:rsidR="00252AA2" w:rsidRPr="00E13B1A" w:rsidRDefault="00252AA2" w:rsidP="006272DB">
            <w:pPr>
              <w:jc w:val="left"/>
              <w:rPr>
                <w:rFonts w:asciiTheme="minorHAnsi" w:eastAsia="Times New Roman" w:hAnsiTheme="minorHAnsi" w:cstheme="minorHAnsi"/>
                <w:bCs w:val="0"/>
                <w:color w:val="002060"/>
                <w:sz w:val="18"/>
                <w:szCs w:val="18"/>
                <w:lang w:val="sr-Cyrl-RS"/>
              </w:rPr>
            </w:pPr>
            <w:r w:rsidRPr="00E13B1A">
              <w:rPr>
                <w:rFonts w:asciiTheme="minorHAnsi" w:eastAsia="Times New Roman" w:hAnsiTheme="minorHAnsi" w:cstheme="minorHAnsi"/>
                <w:b w:val="0"/>
                <w:bCs w:val="0"/>
                <w:color w:val="002060"/>
                <w:sz w:val="18"/>
                <w:szCs w:val="18"/>
                <w:lang w:val="sr-Cyrl-RS"/>
              </w:rPr>
              <w:t xml:space="preserve">Фискални резултат </w:t>
            </w:r>
          </w:p>
        </w:tc>
        <w:tc>
          <w:tcPr>
            <w:tcW w:w="386" w:type="pct"/>
            <w:tcBorders>
              <w:top w:val="nil"/>
              <w:left w:val="nil"/>
              <w:bottom w:val="nil"/>
              <w:right w:val="nil"/>
            </w:tcBorders>
            <w:shd w:val="clear" w:color="auto" w:fill="auto"/>
            <w:noWrap/>
            <w:vAlign w:val="center"/>
            <w:hideMark/>
          </w:tcPr>
          <w:p w14:paraId="30460760"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-3,2</w:t>
            </w:r>
          </w:p>
        </w:tc>
        <w:tc>
          <w:tcPr>
            <w:tcW w:w="386" w:type="pct"/>
            <w:tcBorders>
              <w:top w:val="nil"/>
              <w:left w:val="nil"/>
              <w:bottom w:val="nil"/>
              <w:right w:val="nil"/>
            </w:tcBorders>
            <w:shd w:val="clear" w:color="auto" w:fill="auto"/>
            <w:noWrap/>
            <w:vAlign w:val="center"/>
            <w:hideMark/>
          </w:tcPr>
          <w:p w14:paraId="0995AB3F"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-2,8</w:t>
            </w:r>
          </w:p>
        </w:tc>
        <w:tc>
          <w:tcPr>
            <w:tcW w:w="388" w:type="pct"/>
            <w:tcBorders>
              <w:top w:val="nil"/>
              <w:left w:val="nil"/>
              <w:bottom w:val="nil"/>
              <w:right w:val="nil"/>
            </w:tcBorders>
            <w:shd w:val="clear" w:color="auto" w:fill="auto"/>
            <w:noWrap/>
            <w:vAlign w:val="center"/>
            <w:hideMark/>
          </w:tcPr>
          <w:p w14:paraId="4DD73A4C"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-2,2</w:t>
            </w:r>
          </w:p>
        </w:tc>
        <w:tc>
          <w:tcPr>
            <w:tcW w:w="388" w:type="pct"/>
            <w:tcBorders>
              <w:top w:val="nil"/>
              <w:left w:val="nil"/>
              <w:bottom w:val="nil"/>
              <w:right w:val="nil"/>
            </w:tcBorders>
            <w:shd w:val="clear" w:color="auto" w:fill="auto"/>
            <w:noWrap/>
            <w:vAlign w:val="center"/>
            <w:hideMark/>
          </w:tcPr>
          <w:p w14:paraId="54E4481B"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-1,5</w:t>
            </w:r>
          </w:p>
        </w:tc>
        <w:tc>
          <w:tcPr>
            <w:tcW w:w="388" w:type="pct"/>
            <w:tcBorders>
              <w:top w:val="nil"/>
              <w:left w:val="nil"/>
              <w:bottom w:val="nil"/>
              <w:right w:val="nil"/>
            </w:tcBorders>
            <w:shd w:val="clear" w:color="auto" w:fill="auto"/>
            <w:noWrap/>
            <w:vAlign w:val="center"/>
            <w:hideMark/>
          </w:tcPr>
          <w:p w14:paraId="54AF0D1F"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-1,5</w:t>
            </w:r>
          </w:p>
        </w:tc>
        <w:tc>
          <w:tcPr>
            <w:tcW w:w="388" w:type="pct"/>
            <w:tcBorders>
              <w:top w:val="nil"/>
              <w:left w:val="nil"/>
              <w:bottom w:val="nil"/>
              <w:right w:val="nil"/>
            </w:tcBorders>
            <w:shd w:val="clear" w:color="auto" w:fill="auto"/>
            <w:noWrap/>
            <w:vAlign w:val="center"/>
            <w:hideMark/>
          </w:tcPr>
          <w:p w14:paraId="5A974BE1"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-1,5</w:t>
            </w:r>
          </w:p>
        </w:tc>
        <w:tc>
          <w:tcPr>
            <w:tcW w:w="388" w:type="pct"/>
            <w:tcBorders>
              <w:top w:val="nil"/>
              <w:left w:val="nil"/>
              <w:bottom w:val="nil"/>
              <w:right w:val="nil"/>
            </w:tcBorders>
            <w:shd w:val="clear" w:color="auto" w:fill="auto"/>
            <w:noWrap/>
            <w:vAlign w:val="center"/>
            <w:hideMark/>
          </w:tcPr>
          <w:p w14:paraId="7946ECF9"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-1,5</w:t>
            </w:r>
          </w:p>
        </w:tc>
        <w:tc>
          <w:tcPr>
            <w:tcW w:w="386" w:type="pct"/>
            <w:tcBorders>
              <w:top w:val="nil"/>
              <w:left w:val="nil"/>
              <w:bottom w:val="nil"/>
              <w:right w:val="nil"/>
            </w:tcBorders>
            <w:shd w:val="clear" w:color="auto" w:fill="auto"/>
            <w:noWrap/>
            <w:vAlign w:val="center"/>
            <w:hideMark/>
          </w:tcPr>
          <w:p w14:paraId="30FDFE6D"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-1,5</w:t>
            </w:r>
          </w:p>
        </w:tc>
        <w:tc>
          <w:tcPr>
            <w:tcW w:w="386" w:type="pct"/>
            <w:tcBorders>
              <w:top w:val="nil"/>
              <w:left w:val="nil"/>
              <w:bottom w:val="nil"/>
              <w:right w:val="nil"/>
            </w:tcBorders>
            <w:shd w:val="clear" w:color="auto" w:fill="auto"/>
            <w:vAlign w:val="center"/>
          </w:tcPr>
          <w:p w14:paraId="1B1659B7"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-1,5</w:t>
            </w:r>
          </w:p>
        </w:tc>
        <w:tc>
          <w:tcPr>
            <w:tcW w:w="377" w:type="pct"/>
            <w:tcBorders>
              <w:top w:val="nil"/>
              <w:left w:val="nil"/>
              <w:bottom w:val="nil"/>
              <w:right w:val="nil"/>
            </w:tcBorders>
            <w:shd w:val="clear" w:color="auto" w:fill="auto"/>
            <w:vAlign w:val="center"/>
          </w:tcPr>
          <w:p w14:paraId="437C8B36"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-1,5</w:t>
            </w:r>
          </w:p>
        </w:tc>
      </w:tr>
      <w:tr w:rsidR="00252AA2" w:rsidRPr="00E13B1A" w14:paraId="262039AC" w14:textId="77777777" w:rsidTr="006272DB">
        <w:trPr>
          <w:cnfStyle w:val="000000100000" w:firstRow="0" w:lastRow="0" w:firstColumn="0" w:lastColumn="0" w:oddVBand="0" w:evenVBand="0" w:oddHBand="1" w:evenHBand="0" w:firstRowFirstColumn="0" w:firstRowLastColumn="0" w:lastRowFirstColumn="0" w:lastRowLastColumn="0"/>
          <w:trHeight w:hRule="exact" w:val="320"/>
          <w:jc w:val="center"/>
        </w:trPr>
        <w:tc>
          <w:tcPr>
            <w:cnfStyle w:val="001000000000" w:firstRow="0" w:lastRow="0" w:firstColumn="1" w:lastColumn="0" w:oddVBand="0" w:evenVBand="0" w:oddHBand="0" w:evenHBand="0" w:firstRowFirstColumn="0" w:firstRowLastColumn="0" w:lastRowFirstColumn="0" w:lastRowLastColumn="0"/>
            <w:tcW w:w="1140" w:type="pct"/>
            <w:tcBorders>
              <w:top w:val="nil"/>
              <w:bottom w:val="nil"/>
            </w:tcBorders>
            <w:shd w:val="clear" w:color="auto" w:fill="auto"/>
            <w:noWrap/>
            <w:vAlign w:val="center"/>
            <w:hideMark/>
          </w:tcPr>
          <w:p w14:paraId="30611BC4" w14:textId="77777777" w:rsidR="00252AA2" w:rsidRPr="00E13B1A" w:rsidRDefault="00252AA2" w:rsidP="006272DB">
            <w:pPr>
              <w:jc w:val="left"/>
              <w:rPr>
                <w:rFonts w:asciiTheme="minorHAnsi" w:eastAsia="Times New Roman" w:hAnsiTheme="minorHAnsi" w:cstheme="minorHAnsi"/>
                <w:bCs w:val="0"/>
                <w:color w:val="002060"/>
                <w:sz w:val="18"/>
                <w:szCs w:val="18"/>
                <w:lang w:val="sr-Cyrl-RS"/>
              </w:rPr>
            </w:pPr>
            <w:r w:rsidRPr="00E13B1A">
              <w:rPr>
                <w:rFonts w:asciiTheme="minorHAnsi" w:eastAsia="Times New Roman" w:hAnsiTheme="minorHAnsi" w:cstheme="minorHAnsi"/>
                <w:b w:val="0"/>
                <w:bCs w:val="0"/>
                <w:color w:val="002060"/>
                <w:sz w:val="18"/>
                <w:szCs w:val="18"/>
                <w:lang w:val="sr-Cyrl-RS"/>
              </w:rPr>
              <w:t>Примарни фиск. резултат</w:t>
            </w:r>
          </w:p>
        </w:tc>
        <w:tc>
          <w:tcPr>
            <w:tcW w:w="386" w:type="pct"/>
            <w:tcBorders>
              <w:top w:val="nil"/>
              <w:bottom w:val="nil"/>
            </w:tcBorders>
            <w:shd w:val="clear" w:color="auto" w:fill="auto"/>
            <w:noWrap/>
            <w:vAlign w:val="center"/>
            <w:hideMark/>
          </w:tcPr>
          <w:p w14:paraId="1872F89C"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-1,7</w:t>
            </w:r>
          </w:p>
        </w:tc>
        <w:tc>
          <w:tcPr>
            <w:tcW w:w="386" w:type="pct"/>
            <w:tcBorders>
              <w:top w:val="nil"/>
              <w:bottom w:val="nil"/>
            </w:tcBorders>
            <w:shd w:val="clear" w:color="auto" w:fill="auto"/>
            <w:noWrap/>
            <w:vAlign w:val="center"/>
            <w:hideMark/>
          </w:tcPr>
          <w:p w14:paraId="0DB83A50"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-1,0</w:t>
            </w:r>
          </w:p>
        </w:tc>
        <w:tc>
          <w:tcPr>
            <w:tcW w:w="388" w:type="pct"/>
            <w:tcBorders>
              <w:top w:val="nil"/>
              <w:bottom w:val="nil"/>
            </w:tcBorders>
            <w:shd w:val="clear" w:color="auto" w:fill="auto"/>
            <w:noWrap/>
            <w:vAlign w:val="center"/>
            <w:hideMark/>
          </w:tcPr>
          <w:p w14:paraId="6FA1C708"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-0,1</w:t>
            </w:r>
          </w:p>
        </w:tc>
        <w:tc>
          <w:tcPr>
            <w:tcW w:w="388" w:type="pct"/>
            <w:tcBorders>
              <w:top w:val="nil"/>
              <w:bottom w:val="nil"/>
            </w:tcBorders>
            <w:shd w:val="clear" w:color="auto" w:fill="auto"/>
            <w:noWrap/>
            <w:vAlign w:val="center"/>
            <w:hideMark/>
          </w:tcPr>
          <w:p w14:paraId="2C5D720C"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0,6</w:t>
            </w:r>
          </w:p>
        </w:tc>
        <w:tc>
          <w:tcPr>
            <w:tcW w:w="388" w:type="pct"/>
            <w:tcBorders>
              <w:top w:val="nil"/>
              <w:bottom w:val="nil"/>
            </w:tcBorders>
            <w:shd w:val="clear" w:color="auto" w:fill="auto"/>
            <w:noWrap/>
            <w:vAlign w:val="center"/>
            <w:hideMark/>
          </w:tcPr>
          <w:p w14:paraId="17ECFED1"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0,8</w:t>
            </w:r>
          </w:p>
        </w:tc>
        <w:tc>
          <w:tcPr>
            <w:tcW w:w="388" w:type="pct"/>
            <w:tcBorders>
              <w:top w:val="nil"/>
              <w:bottom w:val="nil"/>
            </w:tcBorders>
            <w:shd w:val="clear" w:color="auto" w:fill="auto"/>
            <w:noWrap/>
            <w:vAlign w:val="center"/>
            <w:hideMark/>
          </w:tcPr>
          <w:p w14:paraId="79F86433"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0,8</w:t>
            </w:r>
          </w:p>
        </w:tc>
        <w:tc>
          <w:tcPr>
            <w:tcW w:w="388" w:type="pct"/>
            <w:tcBorders>
              <w:top w:val="nil"/>
              <w:bottom w:val="nil"/>
            </w:tcBorders>
            <w:shd w:val="clear" w:color="auto" w:fill="auto"/>
            <w:noWrap/>
            <w:vAlign w:val="center"/>
            <w:hideMark/>
          </w:tcPr>
          <w:p w14:paraId="4928F548"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0,6</w:t>
            </w:r>
          </w:p>
        </w:tc>
        <w:tc>
          <w:tcPr>
            <w:tcW w:w="386" w:type="pct"/>
            <w:tcBorders>
              <w:top w:val="nil"/>
              <w:bottom w:val="nil"/>
            </w:tcBorders>
            <w:shd w:val="clear" w:color="auto" w:fill="auto"/>
            <w:noWrap/>
            <w:vAlign w:val="center"/>
            <w:hideMark/>
          </w:tcPr>
          <w:p w14:paraId="4356B5A1"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0,4</w:t>
            </w:r>
          </w:p>
        </w:tc>
        <w:tc>
          <w:tcPr>
            <w:tcW w:w="386" w:type="pct"/>
            <w:tcBorders>
              <w:top w:val="nil"/>
              <w:bottom w:val="nil"/>
            </w:tcBorders>
            <w:shd w:val="clear" w:color="auto" w:fill="auto"/>
            <w:vAlign w:val="center"/>
          </w:tcPr>
          <w:p w14:paraId="7082BF98"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0,2</w:t>
            </w:r>
          </w:p>
        </w:tc>
        <w:tc>
          <w:tcPr>
            <w:tcW w:w="377" w:type="pct"/>
            <w:tcBorders>
              <w:top w:val="nil"/>
              <w:bottom w:val="nil"/>
            </w:tcBorders>
            <w:shd w:val="clear" w:color="auto" w:fill="auto"/>
            <w:vAlign w:val="center"/>
          </w:tcPr>
          <w:p w14:paraId="62FD2FD0"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0,0</w:t>
            </w:r>
          </w:p>
        </w:tc>
      </w:tr>
      <w:tr w:rsidR="00252AA2" w:rsidRPr="00E13B1A" w14:paraId="5FD114A8" w14:textId="77777777" w:rsidTr="006272DB">
        <w:trPr>
          <w:trHeight w:hRule="exact" w:val="320"/>
          <w:jc w:val="center"/>
        </w:trPr>
        <w:tc>
          <w:tcPr>
            <w:cnfStyle w:val="001000000000" w:firstRow="0" w:lastRow="0" w:firstColumn="1" w:lastColumn="0" w:oddVBand="0" w:evenVBand="0" w:oddHBand="0" w:evenHBand="0" w:firstRowFirstColumn="0" w:firstRowLastColumn="0" w:lastRowFirstColumn="0" w:lastRowLastColumn="0"/>
            <w:tcW w:w="1140" w:type="pct"/>
            <w:tcBorders>
              <w:top w:val="nil"/>
              <w:left w:val="nil"/>
              <w:bottom w:val="nil"/>
              <w:right w:val="nil"/>
            </w:tcBorders>
            <w:shd w:val="clear" w:color="auto" w:fill="auto"/>
            <w:noWrap/>
            <w:vAlign w:val="center"/>
            <w:hideMark/>
          </w:tcPr>
          <w:p w14:paraId="3D513FAB" w14:textId="77777777" w:rsidR="00252AA2" w:rsidRPr="00E13B1A" w:rsidRDefault="00252AA2" w:rsidP="006272DB">
            <w:pPr>
              <w:jc w:val="left"/>
              <w:rPr>
                <w:rFonts w:asciiTheme="minorHAnsi" w:eastAsia="Times New Roman" w:hAnsiTheme="minorHAnsi" w:cstheme="minorHAnsi"/>
                <w:bCs w:val="0"/>
                <w:color w:val="002060"/>
                <w:sz w:val="18"/>
                <w:szCs w:val="18"/>
                <w:lang w:val="sr-Cyrl-RS"/>
              </w:rPr>
            </w:pPr>
            <w:r w:rsidRPr="00E13B1A">
              <w:rPr>
                <w:rFonts w:asciiTheme="minorHAnsi" w:eastAsia="Times New Roman" w:hAnsiTheme="minorHAnsi" w:cstheme="minorHAnsi"/>
                <w:b w:val="0"/>
                <w:bCs w:val="0"/>
                <w:color w:val="002060"/>
                <w:sz w:val="18"/>
                <w:szCs w:val="18"/>
                <w:lang w:val="sr-Cyrl-RS"/>
              </w:rPr>
              <w:t>Јавни дуг у БДП</w:t>
            </w:r>
          </w:p>
        </w:tc>
        <w:tc>
          <w:tcPr>
            <w:tcW w:w="386" w:type="pct"/>
            <w:tcBorders>
              <w:top w:val="nil"/>
              <w:left w:val="nil"/>
              <w:bottom w:val="nil"/>
              <w:right w:val="nil"/>
            </w:tcBorders>
            <w:shd w:val="clear" w:color="auto" w:fill="auto"/>
            <w:noWrap/>
            <w:vAlign w:val="center"/>
            <w:hideMark/>
          </w:tcPr>
          <w:p w14:paraId="71046832"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55,6</w:t>
            </w:r>
          </w:p>
        </w:tc>
        <w:tc>
          <w:tcPr>
            <w:tcW w:w="386" w:type="pct"/>
            <w:tcBorders>
              <w:top w:val="nil"/>
              <w:left w:val="nil"/>
              <w:bottom w:val="nil"/>
              <w:right w:val="nil"/>
            </w:tcBorders>
            <w:shd w:val="clear" w:color="auto" w:fill="auto"/>
            <w:noWrap/>
            <w:vAlign w:val="center"/>
            <w:hideMark/>
          </w:tcPr>
          <w:p w14:paraId="511E47A4"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53,3</w:t>
            </w:r>
          </w:p>
        </w:tc>
        <w:tc>
          <w:tcPr>
            <w:tcW w:w="388" w:type="pct"/>
            <w:tcBorders>
              <w:top w:val="nil"/>
              <w:left w:val="nil"/>
              <w:bottom w:val="nil"/>
              <w:right w:val="nil"/>
            </w:tcBorders>
            <w:shd w:val="clear" w:color="auto" w:fill="auto"/>
            <w:noWrap/>
            <w:vAlign w:val="center"/>
            <w:hideMark/>
          </w:tcPr>
          <w:p w14:paraId="11AF33A0"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51,7</w:t>
            </w:r>
          </w:p>
        </w:tc>
        <w:tc>
          <w:tcPr>
            <w:tcW w:w="388" w:type="pct"/>
            <w:tcBorders>
              <w:top w:val="nil"/>
              <w:left w:val="nil"/>
              <w:bottom w:val="nil"/>
              <w:right w:val="nil"/>
            </w:tcBorders>
            <w:shd w:val="clear" w:color="auto" w:fill="auto"/>
            <w:noWrap/>
            <w:vAlign w:val="center"/>
            <w:hideMark/>
          </w:tcPr>
          <w:p w14:paraId="095C3AD3"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50,7</w:t>
            </w:r>
          </w:p>
        </w:tc>
        <w:tc>
          <w:tcPr>
            <w:tcW w:w="388" w:type="pct"/>
            <w:tcBorders>
              <w:top w:val="nil"/>
              <w:left w:val="nil"/>
              <w:bottom w:val="nil"/>
              <w:right w:val="nil"/>
            </w:tcBorders>
            <w:shd w:val="clear" w:color="auto" w:fill="auto"/>
            <w:noWrap/>
            <w:vAlign w:val="center"/>
            <w:hideMark/>
          </w:tcPr>
          <w:p w14:paraId="32495EE2"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50,0</w:t>
            </w:r>
          </w:p>
        </w:tc>
        <w:tc>
          <w:tcPr>
            <w:tcW w:w="388" w:type="pct"/>
            <w:tcBorders>
              <w:top w:val="nil"/>
              <w:left w:val="nil"/>
              <w:bottom w:val="nil"/>
              <w:right w:val="nil"/>
            </w:tcBorders>
            <w:shd w:val="clear" w:color="auto" w:fill="auto"/>
            <w:noWrap/>
            <w:vAlign w:val="center"/>
            <w:hideMark/>
          </w:tcPr>
          <w:p w14:paraId="43C9E0B7"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48,8</w:t>
            </w:r>
          </w:p>
        </w:tc>
        <w:tc>
          <w:tcPr>
            <w:tcW w:w="388" w:type="pct"/>
            <w:tcBorders>
              <w:top w:val="nil"/>
              <w:left w:val="nil"/>
              <w:bottom w:val="nil"/>
              <w:right w:val="nil"/>
            </w:tcBorders>
            <w:shd w:val="clear" w:color="auto" w:fill="auto"/>
            <w:noWrap/>
            <w:vAlign w:val="center"/>
            <w:hideMark/>
          </w:tcPr>
          <w:p w14:paraId="32BE9370"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47,6</w:t>
            </w:r>
          </w:p>
        </w:tc>
        <w:tc>
          <w:tcPr>
            <w:tcW w:w="386" w:type="pct"/>
            <w:tcBorders>
              <w:top w:val="nil"/>
              <w:left w:val="nil"/>
              <w:bottom w:val="nil"/>
              <w:right w:val="nil"/>
            </w:tcBorders>
            <w:shd w:val="clear" w:color="auto" w:fill="auto"/>
            <w:noWrap/>
            <w:vAlign w:val="center"/>
            <w:hideMark/>
          </w:tcPr>
          <w:p w14:paraId="542B0A0D"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46,5</w:t>
            </w:r>
          </w:p>
        </w:tc>
        <w:tc>
          <w:tcPr>
            <w:tcW w:w="386" w:type="pct"/>
            <w:tcBorders>
              <w:top w:val="nil"/>
              <w:left w:val="nil"/>
              <w:bottom w:val="nil"/>
              <w:right w:val="nil"/>
            </w:tcBorders>
            <w:shd w:val="clear" w:color="auto" w:fill="auto"/>
            <w:vAlign w:val="center"/>
          </w:tcPr>
          <w:p w14:paraId="122D70D0"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45,4</w:t>
            </w:r>
          </w:p>
        </w:tc>
        <w:tc>
          <w:tcPr>
            <w:tcW w:w="377" w:type="pct"/>
            <w:tcBorders>
              <w:top w:val="nil"/>
              <w:left w:val="nil"/>
              <w:bottom w:val="nil"/>
              <w:right w:val="nil"/>
            </w:tcBorders>
            <w:shd w:val="clear" w:color="auto" w:fill="auto"/>
            <w:vAlign w:val="center"/>
          </w:tcPr>
          <w:p w14:paraId="744D981A" w14:textId="77777777" w:rsidR="00252AA2" w:rsidRPr="00E13B1A" w:rsidRDefault="00252AA2" w:rsidP="006272D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44,4</w:t>
            </w:r>
          </w:p>
        </w:tc>
      </w:tr>
      <w:tr w:rsidR="00252AA2" w:rsidRPr="00E13B1A" w14:paraId="4533C16D" w14:textId="77777777" w:rsidTr="006272DB">
        <w:trPr>
          <w:cnfStyle w:val="000000100000" w:firstRow="0" w:lastRow="0" w:firstColumn="0" w:lastColumn="0" w:oddVBand="0" w:evenVBand="0" w:oddHBand="1" w:evenHBand="0" w:firstRowFirstColumn="0" w:firstRowLastColumn="0" w:lastRowFirstColumn="0" w:lastRowLastColumn="0"/>
          <w:trHeight w:hRule="exact" w:val="320"/>
          <w:jc w:val="center"/>
        </w:trPr>
        <w:tc>
          <w:tcPr>
            <w:cnfStyle w:val="001000000000" w:firstRow="0" w:lastRow="0" w:firstColumn="1" w:lastColumn="0" w:oddVBand="0" w:evenVBand="0" w:oddHBand="0" w:evenHBand="0" w:firstRowFirstColumn="0" w:firstRowLastColumn="0" w:lastRowFirstColumn="0" w:lastRowLastColumn="0"/>
            <w:tcW w:w="1140" w:type="pct"/>
            <w:tcBorders>
              <w:top w:val="nil"/>
              <w:bottom w:val="single" w:sz="4" w:space="0" w:color="auto"/>
            </w:tcBorders>
            <w:shd w:val="clear" w:color="auto" w:fill="auto"/>
            <w:noWrap/>
            <w:vAlign w:val="center"/>
            <w:hideMark/>
          </w:tcPr>
          <w:p w14:paraId="73124A91" w14:textId="77777777" w:rsidR="00252AA2" w:rsidRPr="00E13B1A" w:rsidRDefault="00252AA2" w:rsidP="006272DB">
            <w:pPr>
              <w:jc w:val="left"/>
              <w:rPr>
                <w:rFonts w:asciiTheme="minorHAnsi" w:eastAsia="Times New Roman" w:hAnsiTheme="minorHAnsi" w:cstheme="minorHAnsi"/>
                <w:bCs w:val="0"/>
                <w:color w:val="002060"/>
                <w:sz w:val="18"/>
                <w:szCs w:val="18"/>
                <w:lang w:val="sr-Cyrl-RS"/>
              </w:rPr>
            </w:pPr>
            <w:r w:rsidRPr="00E13B1A">
              <w:rPr>
                <w:rFonts w:asciiTheme="minorHAnsi" w:eastAsia="Times New Roman" w:hAnsiTheme="minorHAnsi" w:cstheme="minorHAnsi"/>
                <w:b w:val="0"/>
                <w:bCs w:val="0"/>
                <w:color w:val="002060"/>
                <w:sz w:val="18"/>
                <w:szCs w:val="18"/>
                <w:lang w:val="sr-Cyrl-RS"/>
              </w:rPr>
              <w:t>БДП реални раст, %</w:t>
            </w:r>
          </w:p>
        </w:tc>
        <w:tc>
          <w:tcPr>
            <w:tcW w:w="386" w:type="pct"/>
            <w:tcBorders>
              <w:top w:val="nil"/>
              <w:bottom w:val="single" w:sz="4" w:space="0" w:color="auto"/>
            </w:tcBorders>
            <w:shd w:val="clear" w:color="auto" w:fill="auto"/>
            <w:noWrap/>
            <w:vAlign w:val="center"/>
            <w:hideMark/>
          </w:tcPr>
          <w:p w14:paraId="1FC39F34"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2,3</w:t>
            </w:r>
          </w:p>
        </w:tc>
        <w:tc>
          <w:tcPr>
            <w:tcW w:w="386" w:type="pct"/>
            <w:tcBorders>
              <w:top w:val="nil"/>
              <w:bottom w:val="single" w:sz="4" w:space="0" w:color="auto"/>
            </w:tcBorders>
            <w:shd w:val="clear" w:color="auto" w:fill="auto"/>
            <w:noWrap/>
            <w:vAlign w:val="center"/>
            <w:hideMark/>
          </w:tcPr>
          <w:p w14:paraId="2EBF518D"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2,5</w:t>
            </w:r>
          </w:p>
        </w:tc>
        <w:tc>
          <w:tcPr>
            <w:tcW w:w="388" w:type="pct"/>
            <w:tcBorders>
              <w:top w:val="nil"/>
              <w:bottom w:val="single" w:sz="4" w:space="0" w:color="auto"/>
            </w:tcBorders>
            <w:shd w:val="clear" w:color="auto" w:fill="auto"/>
            <w:noWrap/>
            <w:vAlign w:val="center"/>
            <w:hideMark/>
          </w:tcPr>
          <w:p w14:paraId="7CA868E2"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3,5</w:t>
            </w:r>
          </w:p>
        </w:tc>
        <w:tc>
          <w:tcPr>
            <w:tcW w:w="388" w:type="pct"/>
            <w:tcBorders>
              <w:top w:val="nil"/>
              <w:bottom w:val="single" w:sz="4" w:space="0" w:color="auto"/>
            </w:tcBorders>
            <w:shd w:val="clear" w:color="auto" w:fill="auto"/>
            <w:noWrap/>
            <w:vAlign w:val="center"/>
            <w:hideMark/>
          </w:tcPr>
          <w:p w14:paraId="63CC9E0F"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4,0</w:t>
            </w:r>
          </w:p>
        </w:tc>
        <w:tc>
          <w:tcPr>
            <w:tcW w:w="388" w:type="pct"/>
            <w:tcBorders>
              <w:top w:val="nil"/>
              <w:bottom w:val="single" w:sz="4" w:space="0" w:color="auto"/>
            </w:tcBorders>
            <w:shd w:val="clear" w:color="auto" w:fill="auto"/>
            <w:noWrap/>
            <w:vAlign w:val="center"/>
            <w:hideMark/>
          </w:tcPr>
          <w:p w14:paraId="3BD89E4F"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4,3</w:t>
            </w:r>
          </w:p>
        </w:tc>
        <w:tc>
          <w:tcPr>
            <w:tcW w:w="388" w:type="pct"/>
            <w:tcBorders>
              <w:top w:val="nil"/>
              <w:bottom w:val="single" w:sz="4" w:space="0" w:color="auto"/>
            </w:tcBorders>
            <w:shd w:val="clear" w:color="auto" w:fill="auto"/>
            <w:noWrap/>
            <w:vAlign w:val="center"/>
            <w:hideMark/>
          </w:tcPr>
          <w:p w14:paraId="003E1605"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4,0</w:t>
            </w:r>
          </w:p>
        </w:tc>
        <w:tc>
          <w:tcPr>
            <w:tcW w:w="388" w:type="pct"/>
            <w:tcBorders>
              <w:top w:val="nil"/>
              <w:bottom w:val="single" w:sz="4" w:space="0" w:color="auto"/>
            </w:tcBorders>
            <w:shd w:val="clear" w:color="auto" w:fill="auto"/>
            <w:noWrap/>
            <w:vAlign w:val="center"/>
            <w:hideMark/>
          </w:tcPr>
          <w:p w14:paraId="68DF5EB5"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4,0</w:t>
            </w:r>
          </w:p>
        </w:tc>
        <w:tc>
          <w:tcPr>
            <w:tcW w:w="386" w:type="pct"/>
            <w:tcBorders>
              <w:top w:val="nil"/>
              <w:bottom w:val="single" w:sz="4" w:space="0" w:color="auto"/>
            </w:tcBorders>
            <w:shd w:val="clear" w:color="auto" w:fill="auto"/>
            <w:noWrap/>
            <w:vAlign w:val="center"/>
            <w:hideMark/>
          </w:tcPr>
          <w:p w14:paraId="5C413BFE"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4,0</w:t>
            </w:r>
          </w:p>
        </w:tc>
        <w:tc>
          <w:tcPr>
            <w:tcW w:w="386" w:type="pct"/>
            <w:tcBorders>
              <w:top w:val="nil"/>
              <w:bottom w:val="single" w:sz="4" w:space="0" w:color="auto"/>
            </w:tcBorders>
            <w:shd w:val="clear" w:color="auto" w:fill="auto"/>
            <w:vAlign w:val="center"/>
          </w:tcPr>
          <w:p w14:paraId="4DA75943"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4,0</w:t>
            </w:r>
          </w:p>
        </w:tc>
        <w:tc>
          <w:tcPr>
            <w:tcW w:w="377" w:type="pct"/>
            <w:tcBorders>
              <w:top w:val="nil"/>
              <w:bottom w:val="single" w:sz="4" w:space="0" w:color="auto"/>
            </w:tcBorders>
            <w:shd w:val="clear" w:color="auto" w:fill="auto"/>
            <w:vAlign w:val="center"/>
          </w:tcPr>
          <w:p w14:paraId="28183EF3" w14:textId="77777777" w:rsidR="00252AA2" w:rsidRPr="00E13B1A" w:rsidRDefault="00252AA2" w:rsidP="006272D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E13B1A">
              <w:rPr>
                <w:rFonts w:asciiTheme="minorHAnsi" w:eastAsia="Times New Roman" w:hAnsiTheme="minorHAnsi" w:cstheme="minorHAnsi"/>
                <w:bCs/>
                <w:color w:val="002060"/>
                <w:sz w:val="18"/>
                <w:szCs w:val="18"/>
                <w:lang w:val="sr-Cyrl-RS"/>
              </w:rPr>
              <w:t>4,0</w:t>
            </w:r>
          </w:p>
        </w:tc>
      </w:tr>
    </w:tbl>
    <w:p w14:paraId="6D904192" w14:textId="77777777" w:rsidR="00252AA2" w:rsidRPr="00E13B1A" w:rsidRDefault="00252AA2" w:rsidP="000D3688">
      <w:pPr>
        <w:spacing w:after="120"/>
        <w:jc w:val="left"/>
        <w:rPr>
          <w:rFonts w:ascii="Calibri" w:eastAsia="MS PGothic" w:hAnsi="Calibri" w:cs="Calibri"/>
          <w:sz w:val="16"/>
          <w:szCs w:val="16"/>
          <w:lang w:val="sr-Cyrl-RS" w:eastAsia="ja-JP"/>
        </w:rPr>
      </w:pPr>
      <w:r w:rsidRPr="00E13B1A">
        <w:rPr>
          <w:rFonts w:ascii="Calibri" w:eastAsia="MS PGothic" w:hAnsi="Calibri" w:cs="Calibri"/>
          <w:sz w:val="16"/>
          <w:szCs w:val="16"/>
          <w:lang w:val="sr-Cyrl-RS" w:eastAsia="ja-JP"/>
        </w:rPr>
        <w:t xml:space="preserve">Извор: </w:t>
      </w:r>
      <w:r w:rsidRPr="00E13B1A">
        <w:rPr>
          <w:rFonts w:ascii="Calibri" w:eastAsia="Calibri" w:hAnsi="Calibri" w:cs="Calibri"/>
          <w:sz w:val="16"/>
          <w:szCs w:val="20"/>
          <w:lang w:val="sr-Cyrl-RS"/>
        </w:rPr>
        <w:t>Министарство финансија</w:t>
      </w:r>
    </w:p>
    <w:p w14:paraId="5230691C" w14:textId="77777777" w:rsidR="00252AA2" w:rsidRPr="00E13B1A" w:rsidRDefault="00252AA2" w:rsidP="000D3688">
      <w:pPr>
        <w:spacing w:after="120"/>
        <w:rPr>
          <w:rFonts w:ascii="Calibri" w:eastAsia="Calibri" w:hAnsi="Calibri" w:cs="Calibri"/>
          <w:szCs w:val="20"/>
          <w:lang w:val="sr-Cyrl-RS" w:eastAsia="ja-JP"/>
        </w:rPr>
        <w:sectPr w:rsidR="00252AA2" w:rsidRPr="00E13B1A" w:rsidSect="000D3688">
          <w:type w:val="continuous"/>
          <w:pgSz w:w="12240" w:h="15840" w:code="1"/>
          <w:pgMar w:top="1417" w:right="1417" w:bottom="1417" w:left="1417" w:header="720" w:footer="720" w:gutter="0"/>
          <w:cols w:space="720"/>
        </w:sectPr>
      </w:pPr>
    </w:p>
    <w:p w14:paraId="263D46BE" w14:textId="77777777" w:rsidR="00252AA2" w:rsidRPr="00E13B1A" w:rsidRDefault="00252AA2" w:rsidP="006272DB">
      <w:pPr>
        <w:widowControl w:val="0"/>
        <w:spacing w:after="120"/>
        <w:rPr>
          <w:rFonts w:ascii="Calibri" w:eastAsia="Calibri" w:hAnsi="Calibri" w:cs="Calibri"/>
          <w:szCs w:val="20"/>
          <w:lang w:val="sr-Cyrl-RS"/>
        </w:rPr>
      </w:pPr>
      <w:r w:rsidRPr="00E13B1A">
        <w:rPr>
          <w:rFonts w:ascii="Calibri" w:eastAsia="Calibri" w:hAnsi="Calibri" w:cs="Calibri"/>
          <w:spacing w:val="-2"/>
          <w:szCs w:val="20"/>
          <w:lang w:val="sr-Cyrl-RS"/>
        </w:rPr>
        <w:t xml:space="preserve">На наредном графикону су приказане симулације два алтернативна сценарија кретања јавног дуга, у зависности од промена одређених претпоставки у основном сценарију. У оба случаја </w:t>
      </w:r>
      <w:r w:rsidRPr="00E13B1A">
        <w:rPr>
          <w:rFonts w:ascii="Calibri" w:eastAsia="Calibri" w:hAnsi="Calibri" w:cs="Calibri"/>
          <w:szCs w:val="20"/>
          <w:lang w:val="sr-Cyrl-RS"/>
        </w:rPr>
        <w:t>законски оквир налаже обавезну реакцију фискалне политике како би се ниво јавног дуг задржао под контролом.</w:t>
      </w:r>
    </w:p>
    <w:p w14:paraId="17CFAC43" w14:textId="77777777" w:rsidR="00252AA2" w:rsidRPr="00E13B1A" w:rsidRDefault="00252AA2" w:rsidP="006272DB">
      <w:pPr>
        <w:widowControl w:val="0"/>
        <w:spacing w:after="120"/>
        <w:rPr>
          <w:rFonts w:ascii="Calibri" w:eastAsia="Calibri" w:hAnsi="Calibri" w:cs="Calibri"/>
          <w:szCs w:val="20"/>
          <w:lang w:val="sr-Cyrl-RS"/>
        </w:rPr>
      </w:pPr>
      <w:r w:rsidRPr="00E13B1A">
        <w:rPr>
          <w:rFonts w:ascii="Calibri" w:eastAsia="Calibri" w:hAnsi="Calibri" w:cs="Calibri"/>
          <w:szCs w:val="20"/>
          <w:lang w:val="sr-Cyrl-RS"/>
        </w:rPr>
        <w:t xml:space="preserve">Сценарио „успорени раст након 2026” </w:t>
      </w:r>
      <w:r w:rsidRPr="00E13B1A">
        <w:rPr>
          <w:rFonts w:ascii="Calibri" w:eastAsia="Calibri" w:hAnsi="Calibri" w:cs="Calibri"/>
          <w:szCs w:val="20"/>
          <w:lang w:val="sr-Cyrl-RS"/>
        </w:rPr>
        <w:t xml:space="preserve">подразумева просечан реални раст БДП од око 1% у посматраном периоду, уз исти ниво фискалног дефицита у односу на основни сценарио. Јавни дуг према овом сценарију бележи континуиран умерени раст и на крају 2031. године достиже ниво од 51,2% БДП. Стриктно поштовање фискалних правила обезбеђује да се и поред дужег периода </w:t>
      </w:r>
      <w:r w:rsidRPr="00E13B1A">
        <w:rPr>
          <w:rFonts w:ascii="Calibri" w:eastAsia="Calibri" w:hAnsi="Calibri" w:cs="Calibri"/>
          <w:szCs w:val="20"/>
          <w:lang w:val="sr-Cyrl-RS"/>
        </w:rPr>
        <w:lastRenderedPageBreak/>
        <w:t>ниских стопа реалног раста не долази до прекомерне акумулације јавног дуга. Међутим ово не подразумева и исти ниво фискалног прилагођавања као у основном сценарију, јер је потребна већа акомодација на расходној страни у ситуацијама када се бележи нижи привредни раст. Извесно је да ће, и поред одржавања фискалног дефицита у задатим оквирима, у једном моменту доћи до пробијања границе дуга од 55% БДП. То повлачи даљу рестрикцију фискалне политике и додатно смањење дефицита, што чини овај сценарио још неповољнијим у смислу ефеката на привреду и становништво. Иако не подразумева снажан једнократни шок, овај сценарио показује дугорочну неодрживост ниских стопа реалног раста по економски развој земље, упркос томе што се ниво јавног дуга држи под контролом.</w:t>
      </w:r>
    </w:p>
    <w:p w14:paraId="15103386" w14:textId="77777777" w:rsidR="00252AA2" w:rsidRPr="00E13B1A" w:rsidRDefault="00252AA2" w:rsidP="006272DB">
      <w:pPr>
        <w:spacing w:after="120"/>
        <w:jc w:val="center"/>
        <w:rPr>
          <w:rFonts w:cstheme="minorHAnsi"/>
          <w:b/>
          <w:color w:val="002060"/>
          <w:lang w:val="sr-Cyrl-RS"/>
        </w:rPr>
      </w:pPr>
      <w:r w:rsidRPr="00E13B1A">
        <w:rPr>
          <w:rFonts w:cstheme="minorHAnsi"/>
          <w:b/>
          <w:color w:val="002060"/>
          <w:lang w:val="sr-Cyrl-RS"/>
        </w:rPr>
        <w:t>Поређење различитих сценарија и утицај на висину јавног дуга, % БДП</w:t>
      </w:r>
    </w:p>
    <w:p w14:paraId="29956376" w14:textId="77777777" w:rsidR="00252AA2" w:rsidRPr="00E13B1A" w:rsidRDefault="00252AA2" w:rsidP="006272DB">
      <w:pPr>
        <w:spacing w:after="120"/>
        <w:rPr>
          <w:lang w:val="sr-Cyrl-RS"/>
        </w:rPr>
      </w:pPr>
      <w:r w:rsidRPr="00E13B1A">
        <w:rPr>
          <w:noProof/>
        </w:rPr>
        <w:drawing>
          <wp:inline distT="0" distB="0" distL="0" distR="0" wp14:anchorId="183E7511" wp14:editId="2F1DBF28">
            <wp:extent cx="2743200" cy="2552700"/>
            <wp:effectExtent l="0" t="0" r="0" b="0"/>
            <wp:docPr id="308761606" name="Chart 308761606">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0"/>
              </a:graphicData>
            </a:graphic>
          </wp:inline>
        </w:drawing>
      </w:r>
    </w:p>
    <w:p w14:paraId="63158027" w14:textId="77777777" w:rsidR="00252AA2" w:rsidRPr="00E13B1A" w:rsidRDefault="00252AA2" w:rsidP="006272DB">
      <w:pPr>
        <w:spacing w:after="120"/>
        <w:rPr>
          <w:rFonts w:ascii="Calibri" w:eastAsia="Calibri" w:hAnsi="Calibri" w:cs="Calibri"/>
          <w:szCs w:val="20"/>
          <w:lang w:val="sr-Cyrl-RS"/>
        </w:rPr>
      </w:pPr>
      <w:r w:rsidRPr="00E13B1A">
        <w:rPr>
          <w:rFonts w:ascii="Calibri" w:eastAsia="Calibri" w:hAnsi="Calibri" w:cs="Calibri"/>
          <w:spacing w:val="-4"/>
          <w:szCs w:val="20"/>
          <w:lang w:val="sr-Cyrl-RS"/>
        </w:rPr>
        <w:t>С</w:t>
      </w:r>
      <w:r w:rsidRPr="00E13B1A">
        <w:rPr>
          <w:rFonts w:ascii="Calibri" w:eastAsia="Calibri" w:hAnsi="Calibri" w:cs="Calibri"/>
          <w:szCs w:val="20"/>
          <w:lang w:val="sr-Cyrl-RS"/>
        </w:rPr>
        <w:t xml:space="preserve">ценарио „фискални шок након 2026. године” подразумева реализацију ванредног догађаја (природна, здравствена, економска и др. ванредна околност) са дуалним дејством и на фискални и реални сектор. Како би се ублажиле последице такве кризе (шока) држава је приморана да реагује већим издвајањима на расходној страни или привременим смањењем пореза, што једнострано погоршава фискалне перформансе. Дејство кризе на реални сектор, у зависности од врсте шока, може да буде веома различито по интензитету, начину и дужини деловања, али извесно има за последицу пад или </w:t>
      </w:r>
      <w:r w:rsidRPr="00E13B1A">
        <w:rPr>
          <w:rFonts w:ascii="Calibri" w:eastAsia="Calibri" w:hAnsi="Calibri" w:cs="Calibri"/>
          <w:szCs w:val="20"/>
          <w:lang w:val="sr-Cyrl-RS"/>
        </w:rPr>
        <w:t>успорени раст БДП као и негативно дејство на приходну страну буџета. Ови вишеструки негативни фактори доводе до снажне негативне промене фискалне позиције земље у виду повећања фискалног дефицита, и у апсолутном износу и израженог као удео у БДП. У овом случају законске одредбе допуштају привремено одступање од прописаних фискалних правила, али уз обавезу Владе да сачини извештај у коме ће поред осталог објаснити разлоге за ове одступање као и динамику и мере којима ће поново успоставити њихово поштовање.</w:t>
      </w:r>
    </w:p>
    <w:p w14:paraId="4AE253A6" w14:textId="77777777" w:rsidR="00252AA2" w:rsidRPr="00E13B1A" w:rsidRDefault="00252AA2" w:rsidP="006272DB">
      <w:pPr>
        <w:widowControl w:val="0"/>
        <w:spacing w:after="120"/>
        <w:rPr>
          <w:rFonts w:ascii="Calibri" w:eastAsia="Calibri" w:hAnsi="Calibri" w:cs="Calibri"/>
          <w:szCs w:val="20"/>
          <w:lang w:val="sr-Cyrl-RS"/>
        </w:rPr>
      </w:pPr>
      <w:r w:rsidRPr="00E13B1A">
        <w:rPr>
          <w:rFonts w:ascii="Calibri" w:eastAsia="Calibri" w:hAnsi="Calibri" w:cs="Calibri"/>
          <w:szCs w:val="20"/>
          <w:lang w:val="sr-Cyrl-RS"/>
        </w:rPr>
        <w:t>Представљени сценарио, услед ванредних насталих околности, подразумева нагло повећање фискалног дефицита на 9% БДП уз истовремени реални пад БДП од 3,5%. Као последица тога, учешће јавног дуга се рапидно повећава на ниво од 60% БДП. Фискална правила би у том случају налагала да се у наредној години примене мере којим би се фискални дефицит у потпуности елиминисао. Међутим, такво екстремно фискално прилагођавање у једној години произвело би додатне негативне ефекте по становништво, као и даљу детериорацију већ ослабљених економских перформанси привреде. Користећи законску могућност о привременом одступању од фискалних правила, Влада би предвидела постепено прилагођавање у наредне две године. Тако би се у 2028. години, према овом сценарију планирао фискални дефицит од 2%, што би уз симулирано одсуство реалног раста БДП у тој години, произвело даље минимално повећање учешћа јавног дуга. Након тога у 2029. години планиран је избалансирани фискални резултат, у складу са фискалним правилима, који доводи до преокретања путање дуга. На крају овог кризног периода, уз очекивани опоравак привредног раста од 3%, у 2030. години, учешће јавног дуга пада испод границе од 60%, чиме се омогућава постепена релаксација фискалне политике.</w:t>
      </w:r>
    </w:p>
    <w:p w14:paraId="6F036282" w14:textId="07D9632B" w:rsidR="00252AA2" w:rsidRDefault="00252AA2" w:rsidP="00252AA2">
      <w:pPr>
        <w:widowControl w:val="0"/>
        <w:spacing w:after="120"/>
        <w:rPr>
          <w:lang w:val="sr-Cyrl-RS"/>
        </w:rPr>
      </w:pPr>
      <w:r w:rsidRPr="00E13B1A">
        <w:rPr>
          <w:rFonts w:ascii="Calibri" w:eastAsia="Calibri" w:hAnsi="Calibri" w:cs="Calibri"/>
          <w:szCs w:val="20"/>
          <w:lang w:val="sr-Cyrl-RS"/>
        </w:rPr>
        <w:t>Ове симулације поред осталог показују могуће правце деловања фискалне политике у различитим сценаријима. Истовремено оне дају и потврду о томе да је сет усвојених фискалних правила операбилан и спроводљив и да испуњава своју сврху, а то је дугорочна одрживост фискалне позиције земље</w:t>
      </w:r>
      <w:r w:rsidRPr="00E13B1A">
        <w:rPr>
          <w:lang w:val="sr-Cyrl-RS"/>
        </w:rPr>
        <w:t>.</w:t>
      </w:r>
      <w:bookmarkEnd w:id="59"/>
      <w:bookmarkEnd w:id="60"/>
      <w:bookmarkEnd w:id="61"/>
      <w:bookmarkEnd w:id="62"/>
      <w:bookmarkEnd w:id="63"/>
      <w:bookmarkEnd w:id="64"/>
    </w:p>
    <w:p w14:paraId="2581C21E" w14:textId="77777777" w:rsidR="00252AA2" w:rsidRDefault="00252AA2">
      <w:pPr>
        <w:jc w:val="left"/>
        <w:rPr>
          <w:lang w:val="sr-Cyrl-RS"/>
        </w:rPr>
        <w:sectPr w:rsidR="00252AA2" w:rsidSect="00252AA2">
          <w:headerReference w:type="even" r:id="rId191"/>
          <w:headerReference w:type="default" r:id="rId192"/>
          <w:footerReference w:type="even" r:id="rId193"/>
          <w:footerReference w:type="default" r:id="rId194"/>
          <w:headerReference w:type="first" r:id="rId195"/>
          <w:type w:val="continuous"/>
          <w:pgSz w:w="12240" w:h="15840" w:code="1"/>
          <w:pgMar w:top="1440" w:right="1440" w:bottom="1440" w:left="1440" w:header="720" w:footer="720" w:gutter="0"/>
          <w:cols w:num="2" w:space="720"/>
          <w:titlePg/>
          <w:docGrid w:linePitch="360"/>
        </w:sectPr>
      </w:pPr>
    </w:p>
    <w:p w14:paraId="0D3408FE" w14:textId="196DDBE3" w:rsidR="00112B0B" w:rsidRPr="003C1157" w:rsidRDefault="00112B0B" w:rsidP="00C91F83">
      <w:pPr>
        <w:pStyle w:val="Heading1"/>
        <w:spacing w:before="0" w:after="240"/>
        <w:jc w:val="center"/>
        <w:rPr>
          <w:rFonts w:asciiTheme="minorHAnsi" w:hAnsiTheme="minorHAnsi" w:cstheme="minorHAnsi"/>
          <w:b/>
          <w:sz w:val="26"/>
          <w:szCs w:val="26"/>
          <w:lang w:val="sr-Cyrl-RS"/>
        </w:rPr>
      </w:pPr>
      <w:bookmarkStart w:id="67" w:name="_Toc135994507"/>
      <w:bookmarkStart w:id="68" w:name="_Toc146277921"/>
      <w:r w:rsidRPr="003C1157">
        <w:rPr>
          <w:rFonts w:asciiTheme="minorHAnsi" w:hAnsiTheme="minorHAnsi" w:cstheme="minorHAnsi"/>
          <w:b/>
          <w:sz w:val="26"/>
          <w:szCs w:val="26"/>
          <w:lang w:val="sr-Cyrl-RS"/>
        </w:rPr>
        <w:lastRenderedPageBreak/>
        <w:t>III. СТРАТЕГИЈА УПРАВЉАЊА ЈАВНИМ ДУГОМ ОД 2024. ДО 2026. ГОДИНЕ</w:t>
      </w:r>
      <w:bookmarkEnd w:id="67"/>
      <w:bookmarkEnd w:id="68"/>
    </w:p>
    <w:p w14:paraId="2049B112" w14:textId="77777777" w:rsidR="00112B0B" w:rsidRPr="003C1157" w:rsidRDefault="00112B0B" w:rsidP="00C91F83">
      <w:pPr>
        <w:rPr>
          <w:rFonts w:ascii="Calibri" w:eastAsia="Calibri" w:hAnsi="Calibri" w:cs="Calibri"/>
          <w:bCs/>
          <w:szCs w:val="72"/>
          <w:lang w:val="sr-Cyrl-RS"/>
        </w:rPr>
        <w:sectPr w:rsidR="00112B0B" w:rsidRPr="003C1157" w:rsidSect="006272DB">
          <w:type w:val="continuous"/>
          <w:pgSz w:w="12240" w:h="15840" w:code="1"/>
          <w:pgMar w:top="1440" w:right="1440" w:bottom="1440" w:left="1440" w:header="720" w:footer="720" w:gutter="0"/>
          <w:cols w:space="720"/>
          <w:titlePg/>
          <w:docGrid w:linePitch="360"/>
        </w:sectPr>
      </w:pPr>
    </w:p>
    <w:p w14:paraId="461ACD3D"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 xml:space="preserve">Према Закону о јавном дугу, као правном основу задуживања Републике Србије, јавни дуг чине све директне обавезе Републике по основу задуживања, као и гаранције издате од Републике за задуживање јавних предузећа и јединица локалне самоуправе, као и других правних лица. </w:t>
      </w:r>
      <w:r w:rsidRPr="003C1157">
        <w:rPr>
          <w:rFonts w:ascii="Calibri" w:eastAsia="Calibri" w:hAnsi="Calibri" w:cs="Calibri"/>
          <w:bCs/>
          <w:spacing w:val="-2"/>
          <w:szCs w:val="72"/>
          <w:lang w:val="sr-Cyrl-RS"/>
        </w:rPr>
        <w:t>Република се може задуживати у домаћој и страној валути, ради финансирања буџетског дефицита, дефицита текуће ликвидности, рефинансирања неизмиреног дуга, за финансирање инвестиционих пројеката, као и за извршавање обавеза по датим гаранцијама.</w:t>
      </w:r>
      <w:r w:rsidRPr="003C1157">
        <w:rPr>
          <w:rFonts w:ascii="Calibri" w:eastAsia="Calibri" w:hAnsi="Calibri" w:cs="Calibri"/>
          <w:bCs/>
          <w:szCs w:val="72"/>
          <w:lang w:val="sr-Cyrl-RS"/>
        </w:rPr>
        <w:t xml:space="preserve"> Одредбама Закона о јавном дугу назначено је да јавни дуг представља безусловну и неопозиву обавезу Републике Србије у односу на отплату главнице, камате и осталих припадајућих трошкова.</w:t>
      </w:r>
    </w:p>
    <w:p w14:paraId="0D4084DD"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За формулисање Стратегије за управљање јавним дугом коришћен је квантитативни приступ, идентификујући могућа ограничења кроз макро-економске показатеље, анализу трошкова и ризика и тржишних услова који утичу на управљање јавним дугом. У сврху анализе коришћени су инструменти финансирања доступни на домаћем и међународном финансијском тржишту. Стратегија управљања јавним дугом заснива се на принципима који дефинишу потребу за транспарентним и предвидивим процесом задуживања, уз перманентан развој тржишта државних хартија од вредности и прихватљив ниво изложености финансијским ризицима.</w:t>
      </w:r>
    </w:p>
    <w:p w14:paraId="7F35D4BE"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Ситуација на међународном и домаћем финансијском тржишту, успешна примена мера фискалне консолидације уз добру координацију фискалне и монетарне политике довела је до значајног пада трошкова задуживања на динарским и евро деноминованим хартијама од вредности у периоду од 2012. до 2021. године и смањивања ризико премије за српске државне хартије од вредности. Међутим, почетком 2022. године долази до значајног раста каматних стопа изазваног екстерним утицајем, који је настављен и у 2023. години.</w:t>
      </w:r>
    </w:p>
    <w:p w14:paraId="4F2F81A5"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 xml:space="preserve">Фискална стратегија предвиђа смањење јавног дуга сектора државе до краја 2026. године на ниво </w:t>
      </w:r>
      <w:r w:rsidRPr="003C1157">
        <w:rPr>
          <w:rFonts w:ascii="Calibri" w:eastAsia="Calibri" w:hAnsi="Calibri" w:cs="Calibri"/>
          <w:bCs/>
          <w:szCs w:val="72"/>
          <w:lang w:val="sr-Cyrl-RS"/>
        </w:rPr>
        <w:t>од 50,0% БДП, при чему се у складу са смерницама управљања јавним дугом дефинисаним од стране Светске банке и ММФ, у оквиру Стратегије управљања јавним дугом врши стрес-сценарио анализа утицаја промене девизног курса домаће валуте у односу на валуте у којима је деноминован јавни дуг Републике Србије.</w:t>
      </w:r>
    </w:p>
    <w:p w14:paraId="6C8D8442"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У последњих десет година учињен је значајан напредак у погледу повећања просечне рочности динарских државних хартија од вредности и смањења трошкова финансирања по основу овог вида задуживања, чиме је смањена изложеност ризику рефинансирања. Битно је напоменути да је у наведеном периоду просечна пондерисана купонска стопа на динарске државне хартије од вредности смањена са 13,68%, колико је износила на крају 2012. године, на 4,53% на крају јула 2023. године.</w:t>
      </w:r>
    </w:p>
    <w:p w14:paraId="0C17D8B5"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Стратегијом управљања јавним дугом се дефинишу основне мере за даљи наставак развоја динарског тржишта државних хартија од вредности. Развојем овог тржишта очекује се да ће доћи до даљег раста унутрашњег дуга и повећања његовог учешћа у укупном дугу, као и смањења изложености јавног дуга према девизном ризику, што ће позитивно утицати на повећање кредитног рејтинга Републике Србије.</w:t>
      </w:r>
    </w:p>
    <w:p w14:paraId="09E14DA2"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 xml:space="preserve">Након успешно спроведених мера фискалне консолидације у 2016. години је преокренута растућа путања кретања јавног дуга и учешће јавног дуга у БДП, те долази до пада учешћа са 70,0% БДП колико је износило на централном нивоу власти на крају 2015. године на 67,7% на крају 2016. године. Током 2017. године дошло је до још значајнијег пада на 57,8% БДП. Тренд је настављен и током 2018. године када удео јавног дуга у БДП пада на 53,6%, као на крају 2019. године када је учешће јавног дуга у БДП смањено на ниво од 51,9% БДП. Како би се смањио утицај кризе изазване пандемијом вируса COVID-19, јавила се потреба за финансирањем мера подршке привреди и грађанима, што је резултирало растом учешћа дуга у БДП на 57,0% на крају 2020. године. Током 2021. године долази до благог пада наведеног показатеља, тако да је учешће јавног </w:t>
      </w:r>
      <w:r w:rsidRPr="003C1157">
        <w:rPr>
          <w:rFonts w:ascii="Calibri" w:eastAsia="Calibri" w:hAnsi="Calibri" w:cs="Calibri"/>
          <w:bCs/>
          <w:szCs w:val="72"/>
          <w:lang w:val="sr-Cyrl-RS"/>
        </w:rPr>
        <w:lastRenderedPageBreak/>
        <w:t>дуга у БДП на крају 2021. године износило 56,5%. Пад би био још интензивнији да током 2021. године нису обезбеђена значајна средства за финансирање дуга који је доспевао почетком 2022. године. Из тог разлога је дошло до нешто израженијег пада учешћа дуга централног нивоа власти у БДП на крају 2022. године на 55,1%, док је на крају јула 2023. године износило 50,7%.</w:t>
      </w:r>
    </w:p>
    <w:p w14:paraId="236BE3F8"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Услед појачане контроле издавања гаранција у последњих десет година гарантовани јавни дуг је значајно смањен и бележи пад са 2,8 милијарде EUR колико је износио на крају 2013. године на 1,9 милијарди EUR на крају јула 2023. године.</w:t>
      </w:r>
    </w:p>
    <w:p w14:paraId="7D1569B2" w14:textId="77777777" w:rsidR="00112B0B" w:rsidRPr="003C1157" w:rsidRDefault="00112B0B" w:rsidP="006272DB">
      <w:pPr>
        <w:rPr>
          <w:rFonts w:ascii="Calibri" w:eastAsia="Calibri" w:hAnsi="Calibri" w:cs="Calibri"/>
          <w:bCs/>
          <w:szCs w:val="72"/>
          <w:lang w:val="sr-Cyrl-RS"/>
        </w:rPr>
      </w:pPr>
      <w:r w:rsidRPr="003C1157">
        <w:rPr>
          <w:rFonts w:ascii="Calibri" w:eastAsia="Calibri" w:hAnsi="Calibri" w:cs="Calibri"/>
          <w:bCs/>
          <w:szCs w:val="72"/>
          <w:lang w:val="sr-Cyrl-RS"/>
        </w:rPr>
        <w:t>Позитивни фискални резултати које остварује Република Србија потврђени су и преко кретања кредитног рејтинга Србије последњих неколико година. Рејтинг агенције Fitch Ratings и Standard and Poor’s у 2019. години повећале су рејтинг Србије на ББ+ са ББ, док је рејтинг агенција Moody’s поправила изглед за повећање кредитног рејтинга Републике Србије са стабилног на позитивни. Рејтинг агенција Moody’s је у марту 2021. године повећала кредитни рејтинг Републике Србије на Ба2 са Ба3 као резултат веома успешног одговора на кризу изазвану пандемијом вируса COVID-19 и очувања макроекономске стабилности током јако тешке и изазовне 2020. године. Рејтинг агенција Standard and Poor’s је у извештају који је објављен 10. априла 2023. године потврдила оцену кредитног рејтинга Републике Србије на нивоу ББ+, уз стабилне изгледе за његово даље повећање. Fitch Ratings је у најновијем извештају од 11. августа 2023. године потврдио кредитни рејтинг Републике Србије на нивоу ББ+, уз стабилне изгледе за његово даље повећање, а рејтинг агенција Moody’s је потврдила кредитни рејтинг Републике Србије на нивоу Ба2 и задржала стабилне изгледе за његово даље повећање.</w:t>
      </w:r>
    </w:p>
    <w:p w14:paraId="3984D23E"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 xml:space="preserve">Република Србија је током 2020. године у два наврата емитовала еврообвезнице како би финансирала пакет мера помоћи привреди и грађанима у циљу минимизирања утицаја кризе изазване пандемијом вируса COVID-19 и превремено отплатиле раније емитоване скупе еврообвезнице. Прва емисија еврообвезница је била 15. маја 2020. године, у еврима, у </w:t>
      </w:r>
      <w:r w:rsidRPr="003C1157">
        <w:rPr>
          <w:rFonts w:ascii="Calibri" w:eastAsia="Calibri" w:hAnsi="Calibri" w:cs="Calibri"/>
          <w:bCs/>
          <w:szCs w:val="72"/>
          <w:lang w:val="sr-Cyrl-RS"/>
        </w:rPr>
        <w:t>најделикатнијем тренутку у првом таласу пандемије, у укупном износу од 2,0 милијарде EUR. Купонска стопа је износила 3,125%, доспева 2027. године и листирана је на Лондонској берзи, једном од највећих и најрепрезентативнијих тржишта на свету. Друга емисија еврообвезница је била 1. децембра 2020. године, у укупном износу од 1,2 милијарде америчких долара са доспећем 2030. године. Купонска стопа је износила 2,125%, а финална каматна стопа у еврима, након реализације хеџинг трансакције 1,066%. Повратак на доларско тржиште хартија и нова емисија деноминована у доларима, омогућиле су Србији да остане присутна у индексу обвезница тржишта у развоју – EMBI Index, чиме је осигурана њена видљивост на америчком тржишту капитала, као и на широј међународној инвестиционој мапи. Средствима емисије еврообвезница из децембра 2020. године извршeна je превремена отплата 900 милиона долара еврообвезница емитованих 2011. године, од укупно 1,6 милијарде долара колико је доспевало у септембру 2021. године. Превремено су откупљене обвезнице које су биле емитоване по купонској стопи од чак 7,25%.</w:t>
      </w:r>
    </w:p>
    <w:p w14:paraId="378262AD" w14:textId="77777777" w:rsidR="00112B0B" w:rsidRPr="003C1157" w:rsidRDefault="00112B0B" w:rsidP="00C91F83">
      <w:pPr>
        <w:rPr>
          <w:lang w:val="sr-Cyrl-RS"/>
        </w:rPr>
      </w:pPr>
      <w:r w:rsidRPr="003C1157">
        <w:rPr>
          <w:rFonts w:ascii="Calibri" w:eastAsia="Calibri" w:hAnsi="Calibri" w:cs="Calibri"/>
          <w:bCs/>
          <w:spacing w:val="-2"/>
          <w:szCs w:val="72"/>
          <w:lang w:val="sr-Cyrl-RS"/>
        </w:rPr>
        <w:t xml:space="preserve">Како би снизила трошкове финансирања и продужила рочност дуга Република Србија је 3. марта 2021. године успешно искористила још увек повољне услове на међународном финансијском тржишту и по први пут емитовала дванаестогодишње еврообвезнице деноминоване у еврима у износу од једне милијарде евра </w:t>
      </w:r>
      <w:r w:rsidRPr="003C1157">
        <w:rPr>
          <w:rFonts w:ascii="Calibri" w:eastAsia="Calibri" w:hAnsi="Calibri" w:cs="Times New Roman"/>
          <w:spacing w:val="-2"/>
          <w:lang w:val="sr-Cyrl-RS"/>
        </w:rPr>
        <w:t xml:space="preserve">по купонској стопи од 1,65%. Република </w:t>
      </w:r>
      <w:r w:rsidRPr="003C1157">
        <w:rPr>
          <w:rFonts w:ascii="Calibri" w:hAnsi="Calibri"/>
          <w:spacing w:val="-2"/>
          <w:lang w:val="sr-Cyrl-RS"/>
        </w:rPr>
        <w:t xml:space="preserve">Србија је </w:t>
      </w:r>
      <w:r w:rsidRPr="003C1157">
        <w:rPr>
          <w:rFonts w:ascii="Calibri" w:eastAsia="Calibri" w:hAnsi="Calibri" w:cs="Times New Roman"/>
          <w:spacing w:val="-2"/>
          <w:lang w:val="sr-Cyrl-RS"/>
        </w:rPr>
        <w:t xml:space="preserve">23. септембра 2021. године </w:t>
      </w:r>
      <w:r w:rsidRPr="003C1157">
        <w:rPr>
          <w:rFonts w:ascii="Calibri" w:hAnsi="Calibri"/>
          <w:spacing w:val="-2"/>
          <w:lang w:val="sr-Cyrl-RS"/>
        </w:rPr>
        <w:t>поново померила границе у избору финансирања својих инвестиција изласком на међународно тржиште зелених обвезница. Зелена</w:t>
      </w:r>
      <w:r w:rsidRPr="003C1157">
        <w:rPr>
          <w:lang w:val="sr-Cyrl-RS"/>
        </w:rPr>
        <w:t xml:space="preserve"> еврообвезница емитована је у износу од 1,0 милијарде евра са роком доспећа од седам година и купонском стопом од 1,00%, најнижом до сада постигнутом на међународном тржишту. Република Србија се сврстала у ред ретких европских земаља које су на међународном финансијском тржишту емитовале зелене еврообвезнице намењене искључиво за финансирање еколошки прихватљивих пројеката. Истовремено, са емисијом зелене еврообвезнице, емитована је и петнаестогодишња еврообвезница најдуже рочности до сада у износу од 750 милиона евра, са годишњом купонском стопом од 2,05%, </w:t>
      </w:r>
      <w:r w:rsidRPr="003C1157">
        <w:rPr>
          <w:lang w:val="sr-Cyrl-RS"/>
        </w:rPr>
        <w:lastRenderedPageBreak/>
        <w:t>чијом емисијом је додатно повећана рочност јавног дуга.</w:t>
      </w:r>
    </w:p>
    <w:p w14:paraId="20104BA2" w14:textId="77777777" w:rsidR="00112B0B" w:rsidRPr="003C1157" w:rsidRDefault="00112B0B" w:rsidP="00C91F83">
      <w:pPr>
        <w:rPr>
          <w:lang w:val="sr-Cyrl-RS"/>
        </w:rPr>
      </w:pPr>
      <w:r w:rsidRPr="003C1157">
        <w:rPr>
          <w:lang w:val="sr-Cyrl-RS"/>
        </w:rPr>
        <w:t>У јануару 2023. године су издате еврообвезнице рочности пет и десет година у укупном износу од 1,75 милијарди долара (750 милиона долара на пет година и 1 милијарда долара на десет година). Еврообвезница рочности пет година емитована је уз купонску стопу од 6,25%, док је еврообвезница рочности десет година емитована уз купонску стопу од 6,50%. У циљу ефикасног управљања јавним дугом истовремено су закључене и хеџинг трансакције, тј. обавезе по основу емисије доларских еврообвезница одмах су конвертоване у обавезе у еврима.</w:t>
      </w:r>
    </w:p>
    <w:p w14:paraId="2C3255F4"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Водећи се најбољом међународном праксом активног управљања јавним дугом, Република Србија је у децембру 2020. године по први пут реализовала хеџинг трансакцију, тј. коришћење финансијских деривата у сврху заштите од девизног и каматног ризика, у складу са међународним ISDA стандардима (</w:t>
      </w:r>
      <w:r w:rsidRPr="003C1157">
        <w:rPr>
          <w:rFonts w:ascii="Calibri" w:eastAsia="Calibri" w:hAnsi="Calibri" w:cs="Calibri"/>
          <w:bCs/>
          <w:i/>
          <w:szCs w:val="72"/>
          <w:lang w:val="sr-Cyrl-RS"/>
        </w:rPr>
        <w:t>International Swaps and Derivatives Association</w:t>
      </w:r>
      <w:r w:rsidRPr="003C1157">
        <w:rPr>
          <w:rFonts w:ascii="Calibri" w:eastAsia="Calibri" w:hAnsi="Calibri" w:cs="Calibri"/>
          <w:bCs/>
          <w:szCs w:val="72"/>
          <w:lang w:val="sr-Cyrl-RS"/>
        </w:rPr>
        <w:t xml:space="preserve">), односно унакрсна валутна своп трансакција којом су обавезе по основу емитоване обвезнице конвертоване из америчких долара у евре по значајно нижој финалној каматној стопи. Своје обавезе по основу емисије деноминоване у доларима, у износу од 1,2 милијарди USD, Република Србија ће исплаћивати у еврима по купонској стопи од 1,066% на номиналну вредност емисије након конверзије од 1,016 милијарди евра. Искоришћен је повољан однос курса евра и америчког долара у датом тренутку, као и дивергенције између доларских и еварских каматних стопа на међународном тржишту капитала и постигнута је најповољнија цена задуживања, уз оптимизацију валутне структуре јавног дуга, а све у циљу заштите од ризика промене девизног курса. Током јануара 2021. године реализована је друга своп трансакција, којом је обавеза по основу Споразума о репрограму дуга између Републике Србије и Kuwait Investment Authority конвертована из америчких долара у евре, по значајно нижој каматној стопи. Обавезе по основу наведеног репрограмираног зајма, уговорене у доларима по каматној стопи од 1,5%, Република Србија ће исплаћивати у еврима по каматној стопи од </w:t>
      </w:r>
      <w:r w:rsidRPr="003C1157">
        <w:rPr>
          <w:rFonts w:ascii="Calibri" w:eastAsia="Calibri" w:hAnsi="Calibri" w:cs="Calibri"/>
          <w:bCs/>
          <w:szCs w:val="72"/>
          <w:lang w:val="sr-Cyrl-RS"/>
        </w:rPr>
        <w:t xml:space="preserve">0,393%. У марту 2021. године је закључена нова своп трансакција којом је кредит код Export - Import Bank of China за пројекат изградње обилазнице око Београда на аутопуту Е70/Е75, који је 2018. године иницијално уговорен у кинеским јуанима конвертован у евре са негативном каматном стопом. Наведени зајам, на који је плаћана фиксна каматна стопа од 2,50% годишње у кинеским јуанима, конвертован је у евре по фиксној негативној каматној стопи од </w:t>
      </w:r>
      <w:r w:rsidRPr="003C1157">
        <w:rPr>
          <w:rFonts w:ascii="Calibri" w:eastAsia="Calibri" w:hAnsi="Calibri" w:cs="Calibri"/>
          <w:bCs/>
          <w:szCs w:val="72"/>
          <w:lang w:val="sr-Cyrl-RS"/>
        </w:rPr>
        <w:br w:type="textWrapping" w:clear="all"/>
        <w:t xml:space="preserve">-0,07%. Како је уговорена негативна каматна стопа, Република Србија неће имати никакве трошкове по основу камата у првих пет година своп аранжмана, који важи до 2030. године, већ ће остваривати додатна примања од банака са којима је трансакција закључена. </w:t>
      </w:r>
      <w:r w:rsidRPr="003C1157">
        <w:rPr>
          <w:lang w:val="sr-Cyrl-RS"/>
        </w:rPr>
        <w:t xml:space="preserve">Реализована је, </w:t>
      </w:r>
      <w:r w:rsidRPr="003C1157">
        <w:rPr>
          <w:rFonts w:ascii="Calibri" w:eastAsia="Calibri" w:hAnsi="Calibri" w:cs="Calibri"/>
          <w:bCs/>
          <w:szCs w:val="72"/>
          <w:lang w:val="sr-Cyrl-RS"/>
        </w:rPr>
        <w:t xml:space="preserve">24. новембра 2021. године, </w:t>
      </w:r>
      <w:r w:rsidRPr="003C1157">
        <w:rPr>
          <w:lang w:val="sr-Cyrl-RS"/>
        </w:rPr>
        <w:t>још једна, четврта по реду, своп трансакција којом су обавезе по основу зајма узетог од Фонда за развој Абу Дабија, 2016. године, иницијално уговорене у дирхамима, са плаћањем у америчким доларима, конвертоване у евре. Дуг и обавезе по основу наведеног зајма на који је плаћана фиксна каматна стопа од 2,25% годишње, замењени су у евре по годишњој каматној стопи од 0,96%. У 2023. години су одмах након емитовања еврообвезница закључене хеџинг трансакције, тј. обавезе по основу емисије доларских еврообвезница су конвертоване у обавезе у еврима, тако да након извршеног cross currency swap-а, варијабилна каматна стопа за петогодишњу обвезницу износи шестомесечни еuribor + 2,908%, а за десетогодишњу обвезницу шестомесечни еuribor + 3,073%.</w:t>
      </w:r>
    </w:p>
    <w:p w14:paraId="22182BCA"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Током 2020. године настављено је са емитовањем „бенчмарк</w:t>
      </w:r>
      <w:r w:rsidRPr="003C1157">
        <w:rPr>
          <w:rFonts w:eastAsia="MS PGothic" w:cstheme="minorHAnsi"/>
          <w:szCs w:val="20"/>
          <w:lang w:val="sr-Cyrl-RS" w:eastAsia="ja-JP"/>
        </w:rPr>
        <w:t>”</w:t>
      </w:r>
      <w:r w:rsidRPr="003C1157">
        <w:rPr>
          <w:rFonts w:ascii="Calibri" w:eastAsia="Calibri" w:hAnsi="Calibri" w:cs="Calibri"/>
          <w:bCs/>
          <w:szCs w:val="72"/>
          <w:lang w:val="sr-Cyrl-RS"/>
        </w:rPr>
        <w:t xml:space="preserve"> обвезница на домаћем тржишту. Емитоване су обвезнице рочности 5,5 и 12,5 година у RSD номиналнe вредности од по 100 милијарди динара, чији обими су повећани на по 150 милијарди током 2021. године. 30. јуна 2021. године динарске бенчмарк обвезнице Републике Србије рочности 7, 10 и 12,5 година укључене су у J.P. Morgan GBI-EM Index. Укључивањем у наведени индекс начињен је значајан напредак у јачању ликвидности секундарног тржишта државних обвезница и обезбеђен долазак нових међународних страних инвестиционих фондова, што ће резултирати већом конкуренцијом и даљим падом трошкова задуживања. У октобру </w:t>
      </w:r>
      <w:r w:rsidRPr="003C1157">
        <w:rPr>
          <w:rFonts w:ascii="Calibri" w:eastAsia="Calibri" w:hAnsi="Calibri" w:cs="Calibri"/>
          <w:bCs/>
          <w:szCs w:val="72"/>
          <w:lang w:val="sr-Cyrl-RS"/>
        </w:rPr>
        <w:lastRenderedPageBreak/>
        <w:t>2021. године, Clearstream, међународни централни регистар хартија од вредности, који обавља послове клиринга и салдирања (ICSD), отворио је рачун хартија од вредности у домаћем регистру и путем посредника – овлашћеног учесника на локалном тржишту,</w:t>
      </w:r>
      <w:r w:rsidRPr="003C1157">
        <w:rPr>
          <w:lang w:val="sr-Cyrl-RS"/>
        </w:rPr>
        <w:t xml:space="preserve"> </w:t>
      </w:r>
      <w:r w:rsidRPr="003C1157">
        <w:rPr>
          <w:rFonts w:ascii="Calibri" w:eastAsia="Calibri" w:hAnsi="Calibri" w:cs="Calibri"/>
          <w:bCs/>
          <w:szCs w:val="72"/>
          <w:lang w:val="sr-Cyrl-RS"/>
        </w:rPr>
        <w:t>омогућио страним инвеститорима салдирање српских обвезница у динарима (РСД).</w:t>
      </w:r>
    </w:p>
    <w:p w14:paraId="14549610"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 xml:space="preserve">Валутни ризик је смањен током претходних година, иако у је током последње две године дошло до извесног погоршања овог показатеља услед специфичних околности на тржишту, те неопходности интензивнијег коришћења међународног финансијског тржишта, како би се минимизирали трошкови задуживања. Удео јавног дуга у домаћој валути у укупном јавном дугу централног нивоа власти је на крају 2008. године износио само 2,6%, а до краја 2020. године је порастао на 30,5%, али је након тога услед задуживања у већој мери на иностраном тржишту због повољнијих услова, дошло до пада учешћа на 21,3% на крају јула 2023. године. Расту динарског дуга претходних година су пре свега допринеле емисије динарских државних хартија од вредности на домаћем тржишту хартија од вредности. Током 2019. и 2020. године је извршен превремени откуп скупих еврообвезница емитованих у 2011. и 2013. години у америчким доларима, а током фебруара 2020. године редовна отплата доларске обвезнице емитоване у </w:t>
      </w:r>
      <w:r w:rsidRPr="003C1157">
        <w:rPr>
          <w:rFonts w:ascii="Calibri" w:eastAsia="Calibri" w:hAnsi="Calibri" w:cs="Calibri"/>
          <w:bCs/>
          <w:szCs w:val="72"/>
          <w:lang w:val="sr-Cyrl-RS"/>
        </w:rPr>
        <w:t>2013. години. У децембру 2020. године је закључена и прва хеџинг трансакција којом је емитована еврообвезница у америчким доларима, одмах конвертована у евре. У јануару 2021. године је закључена још једна хеџинг трансакција којом су обавезе у америчким доларима конвертоване у евре. У јануару 2023. године су закључене нове хеџинг трансакције којим су емитоване еврообвезнице у америчким доларима, одмах конвертована у евре. Захваљујући свим овим трансакцијама, дошло је до пада његовог учешћа у укупном јавном дугу са 33,9% колико је износило на крају 2016. године на 13,4% на крају јула 2023. године.</w:t>
      </w:r>
    </w:p>
    <w:p w14:paraId="0C0DA7B3"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Трошкови задуживања су такође значајно снижени током претходних година. Учешће трошкова камата у БДП је пало са 2,9% (централни ниво власти) колико је износило 2015. године на 1,5% у 2022. години.</w:t>
      </w:r>
    </w:p>
    <w:p w14:paraId="02E7473D" w14:textId="77777777" w:rsidR="00112B0B" w:rsidRPr="003C1157" w:rsidRDefault="00112B0B" w:rsidP="00523B7B">
      <w:pPr>
        <w:spacing w:after="240"/>
        <w:rPr>
          <w:rFonts w:ascii="Calibri" w:eastAsia="Calibri" w:hAnsi="Calibri" w:cs="Calibri"/>
          <w:bCs/>
          <w:szCs w:val="72"/>
          <w:lang w:val="sr-Cyrl-RS"/>
        </w:rPr>
      </w:pPr>
      <w:r w:rsidRPr="003C1157">
        <w:rPr>
          <w:rFonts w:ascii="Calibri" w:eastAsia="Calibri" w:hAnsi="Calibri" w:cs="Calibri"/>
          <w:bCs/>
          <w:szCs w:val="72"/>
          <w:lang w:val="sr-Cyrl-RS"/>
        </w:rPr>
        <w:t>На крају јула 2023. године укупно стање јавног дуга сектора државе износило је 4.144,2 млрд динара, односно 51,1% БДП. Од тога се на директне обавезе односило 3.894,1 млрд динара, на индиректне обавезе 217,0 млрд динара, док се 30,2 млрд динара односи на негарантовани дуг јединица локалне самоуправе и 2,9 млрд динара на негарантовани дуг ЈП „Путеви Србије” и предузећа „Коридори Србије” д.о.о.</w:t>
      </w:r>
    </w:p>
    <w:p w14:paraId="7DA48E07" w14:textId="77777777" w:rsidR="00112B0B" w:rsidRPr="003C1157" w:rsidRDefault="00112B0B" w:rsidP="00523B7B">
      <w:pPr>
        <w:rPr>
          <w:lang w:val="sr-Cyrl-RS"/>
        </w:rPr>
        <w:sectPr w:rsidR="00112B0B" w:rsidRPr="003C1157" w:rsidSect="006272DB">
          <w:type w:val="continuous"/>
          <w:pgSz w:w="12240" w:h="15840"/>
          <w:pgMar w:top="1440" w:right="1440" w:bottom="1440" w:left="1440" w:header="720" w:footer="720" w:gutter="0"/>
          <w:cols w:num="2" w:space="720"/>
          <w15:footnoteColumns w:val="1"/>
        </w:sectPr>
      </w:pPr>
    </w:p>
    <w:p w14:paraId="2CE99C75" w14:textId="77777777" w:rsidR="00112B0B" w:rsidRPr="003C1157" w:rsidRDefault="00112B0B" w:rsidP="00523B7B">
      <w:pPr>
        <w:rPr>
          <w:lang w:val="sr-Cyrl-RS"/>
        </w:rPr>
      </w:pPr>
    </w:p>
    <w:p w14:paraId="1923ECED" w14:textId="77777777" w:rsidR="00112B0B" w:rsidRPr="003C1157" w:rsidRDefault="00112B0B" w:rsidP="00C91F83">
      <w:pPr>
        <w:spacing w:after="0" w:line="257" w:lineRule="auto"/>
        <w:jc w:val="center"/>
        <w:rPr>
          <w:rFonts w:ascii="Calibri" w:eastAsia="Calibri" w:hAnsi="Calibri" w:cs="Times New Roman"/>
          <w:b/>
          <w:color w:val="002060"/>
          <w:lang w:val="sr-Cyrl-RS"/>
        </w:rPr>
      </w:pPr>
      <w:r w:rsidRPr="003C1157">
        <w:rPr>
          <w:rFonts w:ascii="Calibri" w:eastAsia="Calibri" w:hAnsi="Calibri" w:cs="Times New Roman"/>
          <w:b/>
          <w:color w:val="002060"/>
          <w:lang w:val="sr-Cyrl-RS"/>
        </w:rPr>
        <w:t>Учешће јавног дуга сектора државе у БДП,%</w:t>
      </w:r>
    </w:p>
    <w:p w14:paraId="12451153" w14:textId="77777777" w:rsidR="00112B0B" w:rsidRPr="003C1157" w:rsidRDefault="00112B0B" w:rsidP="00C91F83">
      <w:pPr>
        <w:spacing w:line="256" w:lineRule="auto"/>
        <w:jc w:val="center"/>
        <w:rPr>
          <w:lang w:val="sr-Cyrl-RS"/>
        </w:rPr>
      </w:pPr>
      <w:r w:rsidRPr="003C1157">
        <w:rPr>
          <w:rFonts w:ascii="Calibri" w:eastAsia="Calibri" w:hAnsi="Calibri" w:cs="Times New Roman"/>
          <w:noProof/>
        </w:rPr>
        <w:drawing>
          <wp:inline distT="0" distB="0" distL="0" distR="0" wp14:anchorId="66F5A770" wp14:editId="79255012">
            <wp:extent cx="4472343" cy="2217761"/>
            <wp:effectExtent l="0" t="0" r="4445" b="0"/>
            <wp:docPr id="40"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6"/>
              </a:graphicData>
            </a:graphic>
          </wp:inline>
        </w:drawing>
      </w:r>
    </w:p>
    <w:p w14:paraId="7EB64CBA" w14:textId="77777777" w:rsidR="00112B0B" w:rsidRPr="003C1157" w:rsidRDefault="00112B0B">
      <w:pPr>
        <w:jc w:val="left"/>
        <w:rPr>
          <w:rFonts w:ascii="Calibri" w:eastAsia="Calibri" w:hAnsi="Calibri" w:cs="Times New Roman"/>
          <w:b/>
          <w:color w:val="002060"/>
          <w:lang w:val="sr-Cyrl-RS"/>
        </w:rPr>
      </w:pPr>
      <w:r w:rsidRPr="003C1157">
        <w:rPr>
          <w:rFonts w:ascii="Calibri" w:eastAsia="Calibri" w:hAnsi="Calibri" w:cs="Times New Roman"/>
          <w:b/>
          <w:color w:val="002060"/>
          <w:lang w:val="sr-Cyrl-RS"/>
        </w:rPr>
        <w:br w:type="page"/>
      </w:r>
    </w:p>
    <w:p w14:paraId="32AA88E3" w14:textId="77777777" w:rsidR="00112B0B" w:rsidRPr="003C1157" w:rsidRDefault="00112B0B" w:rsidP="00C91F83">
      <w:pPr>
        <w:spacing w:line="256" w:lineRule="auto"/>
        <w:jc w:val="center"/>
        <w:rPr>
          <w:rFonts w:ascii="Calibri" w:eastAsia="Calibri" w:hAnsi="Calibri" w:cs="Times New Roman"/>
          <w:b/>
          <w:color w:val="002060"/>
          <w:lang w:val="sr-Cyrl-RS"/>
        </w:rPr>
      </w:pPr>
      <w:r w:rsidRPr="003C1157">
        <w:rPr>
          <w:rFonts w:ascii="Calibri" w:eastAsia="Calibri" w:hAnsi="Calibri" w:cs="Times New Roman"/>
          <w:b/>
          <w:color w:val="002060"/>
          <w:lang w:val="sr-Cyrl-RS"/>
        </w:rPr>
        <w:lastRenderedPageBreak/>
        <w:t xml:space="preserve">Табела 21. </w:t>
      </w:r>
      <w:r w:rsidRPr="003C1157">
        <w:rPr>
          <w:rFonts w:ascii="Calibri" w:eastAsia="Calibri" w:hAnsi="Calibri" w:cs="Times New Roman"/>
          <w:b/>
          <w:bCs/>
          <w:color w:val="002060"/>
          <w:lang w:val="sr-Cyrl-RS"/>
        </w:rPr>
        <w:t xml:space="preserve">Јавни дуг сектора државе Републике Србије у периоду </w:t>
      </w:r>
      <w:r w:rsidRPr="003C1157">
        <w:rPr>
          <w:rFonts w:ascii="Calibri" w:eastAsia="Calibri" w:hAnsi="Calibri" w:cs="Times New Roman"/>
          <w:b/>
          <w:bCs/>
          <w:color w:val="002060"/>
          <w:lang w:val="sr-Cyrl-RS"/>
        </w:rPr>
        <w:br w:type="textWrapping" w:clear="all"/>
        <w:t>крај 2020 – 31. јул 2023. године</w:t>
      </w:r>
    </w:p>
    <w:tbl>
      <w:tblPr>
        <w:tblStyle w:val="LightShading-Accent12121"/>
        <w:tblW w:w="5000" w:type="pct"/>
        <w:tblInd w:w="0" w:type="dxa"/>
        <w:tblLook w:val="04A0" w:firstRow="1" w:lastRow="0" w:firstColumn="1" w:lastColumn="0" w:noHBand="0" w:noVBand="1"/>
      </w:tblPr>
      <w:tblGrid>
        <w:gridCol w:w="4046"/>
        <w:gridCol w:w="1328"/>
        <w:gridCol w:w="1330"/>
        <w:gridCol w:w="1327"/>
        <w:gridCol w:w="1329"/>
      </w:tblGrid>
      <w:tr w:rsidR="00112B0B" w:rsidRPr="003C1157" w14:paraId="6CE3DF6C" w14:textId="77777777" w:rsidTr="00482D55">
        <w:trPr>
          <w:cnfStyle w:val="100000000000" w:firstRow="1" w:lastRow="0" w:firstColumn="0" w:lastColumn="0" w:oddVBand="0" w:evenVBand="0" w:oddHBand="0"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002060"/>
              <w:bottom w:val="single" w:sz="4" w:space="0" w:color="FFFFFF" w:themeColor="background1"/>
            </w:tcBorders>
            <w:noWrap/>
            <w:hideMark/>
          </w:tcPr>
          <w:p w14:paraId="5352361E" w14:textId="77777777" w:rsidR="00112B0B" w:rsidRPr="003C1157" w:rsidRDefault="00112B0B" w:rsidP="00523B7B">
            <w:pPr>
              <w:jc w:val="center"/>
              <w:rPr>
                <w:rFonts w:ascii="Calibri" w:hAnsi="Calibri" w:cs="Calibri"/>
                <w:color w:val="002060"/>
                <w:sz w:val="18"/>
                <w:szCs w:val="18"/>
                <w:lang w:val="sr-Cyrl-RS"/>
              </w:rPr>
            </w:pPr>
            <w:r w:rsidRPr="003C1157">
              <w:rPr>
                <w:rFonts w:ascii="Calibri" w:hAnsi="Calibri" w:cs="Calibri"/>
                <w:color w:val="002060"/>
                <w:sz w:val="18"/>
                <w:szCs w:val="18"/>
                <w:lang w:val="sr-Cyrl-RS"/>
              </w:rPr>
              <w:t> </w:t>
            </w:r>
          </w:p>
        </w:tc>
        <w:tc>
          <w:tcPr>
            <w:tcW w:w="709" w:type="pct"/>
            <w:tcBorders>
              <w:top w:val="single" w:sz="4" w:space="0" w:color="002060"/>
              <w:bottom w:val="single" w:sz="4" w:space="0" w:color="002060"/>
            </w:tcBorders>
            <w:vAlign w:val="center"/>
            <w:hideMark/>
          </w:tcPr>
          <w:p w14:paraId="13F30BF2" w14:textId="77777777" w:rsidR="00112B0B" w:rsidRPr="003C1157" w:rsidRDefault="00112B0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2020</w:t>
            </w:r>
          </w:p>
        </w:tc>
        <w:tc>
          <w:tcPr>
            <w:tcW w:w="710" w:type="pct"/>
            <w:tcBorders>
              <w:top w:val="single" w:sz="4" w:space="0" w:color="002060"/>
              <w:bottom w:val="single" w:sz="4" w:space="0" w:color="002060"/>
            </w:tcBorders>
            <w:vAlign w:val="center"/>
            <w:hideMark/>
          </w:tcPr>
          <w:p w14:paraId="6E1DFDBB" w14:textId="77777777" w:rsidR="00112B0B" w:rsidRPr="003C1157" w:rsidRDefault="00112B0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2021</w:t>
            </w:r>
          </w:p>
        </w:tc>
        <w:tc>
          <w:tcPr>
            <w:tcW w:w="709" w:type="pct"/>
            <w:tcBorders>
              <w:top w:val="single" w:sz="4" w:space="0" w:color="002060"/>
              <w:bottom w:val="single" w:sz="4" w:space="0" w:color="002060"/>
            </w:tcBorders>
            <w:noWrap/>
            <w:vAlign w:val="center"/>
            <w:hideMark/>
          </w:tcPr>
          <w:p w14:paraId="0F9BDF54" w14:textId="77777777" w:rsidR="00112B0B" w:rsidRPr="003C1157" w:rsidRDefault="00112B0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2022</w:t>
            </w:r>
          </w:p>
        </w:tc>
        <w:tc>
          <w:tcPr>
            <w:tcW w:w="710" w:type="pct"/>
            <w:tcBorders>
              <w:top w:val="single" w:sz="4" w:space="0" w:color="002060"/>
              <w:bottom w:val="single" w:sz="4" w:space="0" w:color="002060"/>
            </w:tcBorders>
            <w:noWrap/>
            <w:vAlign w:val="center"/>
            <w:hideMark/>
          </w:tcPr>
          <w:p w14:paraId="69D35EAC" w14:textId="77777777" w:rsidR="00112B0B" w:rsidRPr="003C1157" w:rsidRDefault="00112B0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2023/VII</w:t>
            </w:r>
          </w:p>
        </w:tc>
      </w:tr>
      <w:tr w:rsidR="00112B0B" w:rsidRPr="003C1157" w14:paraId="266871AC" w14:textId="77777777" w:rsidTr="00482D55">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FFFFFF" w:themeColor="background1"/>
              <w:bottom w:val="nil"/>
            </w:tcBorders>
            <w:shd w:val="clear" w:color="auto" w:fill="E7E6E6" w:themeFill="background2"/>
            <w:noWrap/>
            <w:vAlign w:val="center"/>
            <w:hideMark/>
          </w:tcPr>
          <w:p w14:paraId="7CFF247F" w14:textId="77777777" w:rsidR="00112B0B" w:rsidRPr="003C1157" w:rsidRDefault="00112B0B" w:rsidP="00523B7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Јавни дуг (у млрд динара)</w:t>
            </w:r>
          </w:p>
        </w:tc>
        <w:tc>
          <w:tcPr>
            <w:tcW w:w="709" w:type="pct"/>
            <w:tcBorders>
              <w:top w:val="single" w:sz="4" w:space="0" w:color="002060"/>
              <w:bottom w:val="nil"/>
            </w:tcBorders>
            <w:shd w:val="clear" w:color="auto" w:fill="E7E6E6" w:themeFill="background2"/>
            <w:vAlign w:val="center"/>
            <w:hideMark/>
          </w:tcPr>
          <w:p w14:paraId="63281C7D"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3.181,2</w:t>
            </w:r>
          </w:p>
        </w:tc>
        <w:tc>
          <w:tcPr>
            <w:tcW w:w="710" w:type="pct"/>
            <w:tcBorders>
              <w:top w:val="single" w:sz="4" w:space="0" w:color="002060"/>
              <w:bottom w:val="nil"/>
            </w:tcBorders>
            <w:shd w:val="clear" w:color="auto" w:fill="E7E6E6" w:themeFill="background2"/>
            <w:vAlign w:val="center"/>
            <w:hideMark/>
          </w:tcPr>
          <w:p w14:paraId="14D9C719"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3.581,8</w:t>
            </w:r>
          </w:p>
        </w:tc>
        <w:tc>
          <w:tcPr>
            <w:tcW w:w="709" w:type="pct"/>
            <w:tcBorders>
              <w:top w:val="single" w:sz="4" w:space="0" w:color="002060"/>
              <w:bottom w:val="nil"/>
            </w:tcBorders>
            <w:shd w:val="clear" w:color="auto" w:fill="E7E6E6" w:themeFill="background2"/>
            <w:noWrap/>
            <w:vAlign w:val="center"/>
            <w:hideMark/>
          </w:tcPr>
          <w:p w14:paraId="01B7BBD7"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3.945,8</w:t>
            </w:r>
          </w:p>
        </w:tc>
        <w:tc>
          <w:tcPr>
            <w:tcW w:w="710" w:type="pct"/>
            <w:tcBorders>
              <w:top w:val="single" w:sz="4" w:space="0" w:color="002060"/>
              <w:bottom w:val="nil"/>
            </w:tcBorders>
            <w:shd w:val="clear" w:color="auto" w:fill="E7E6E6" w:themeFill="background2"/>
            <w:noWrap/>
            <w:vAlign w:val="center"/>
            <w:hideMark/>
          </w:tcPr>
          <w:p w14:paraId="00ADCB9A"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4.144,2</w:t>
            </w:r>
          </w:p>
        </w:tc>
      </w:tr>
      <w:tr w:rsidR="00112B0B" w:rsidRPr="003C1157" w14:paraId="3C77BF87" w14:textId="77777777" w:rsidTr="00482D55">
        <w:trPr>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nil"/>
              <w:left w:val="nil"/>
              <w:bottom w:val="nil"/>
              <w:right w:val="nil"/>
            </w:tcBorders>
            <w:noWrap/>
            <w:vAlign w:val="center"/>
            <w:hideMark/>
          </w:tcPr>
          <w:p w14:paraId="0FDD89BB" w14:textId="77777777" w:rsidR="00112B0B" w:rsidRPr="003C1157" w:rsidRDefault="00112B0B" w:rsidP="00523B7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Јавни дуг (у мил. евра)</w:t>
            </w:r>
          </w:p>
        </w:tc>
        <w:tc>
          <w:tcPr>
            <w:tcW w:w="709" w:type="pct"/>
            <w:tcBorders>
              <w:top w:val="nil"/>
              <w:left w:val="nil"/>
              <w:bottom w:val="nil"/>
              <w:right w:val="nil"/>
            </w:tcBorders>
            <w:vAlign w:val="center"/>
            <w:hideMark/>
          </w:tcPr>
          <w:p w14:paraId="40F97EBF"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27.055,8</w:t>
            </w:r>
          </w:p>
        </w:tc>
        <w:tc>
          <w:tcPr>
            <w:tcW w:w="710" w:type="pct"/>
            <w:tcBorders>
              <w:top w:val="nil"/>
              <w:left w:val="nil"/>
              <w:bottom w:val="nil"/>
              <w:right w:val="nil"/>
            </w:tcBorders>
            <w:vAlign w:val="center"/>
            <w:hideMark/>
          </w:tcPr>
          <w:p w14:paraId="3E80433C"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30.461,8</w:t>
            </w:r>
          </w:p>
        </w:tc>
        <w:tc>
          <w:tcPr>
            <w:tcW w:w="709" w:type="pct"/>
            <w:tcBorders>
              <w:top w:val="nil"/>
              <w:left w:val="nil"/>
              <w:bottom w:val="nil"/>
              <w:right w:val="nil"/>
            </w:tcBorders>
            <w:noWrap/>
            <w:vAlign w:val="center"/>
            <w:hideMark/>
          </w:tcPr>
          <w:p w14:paraId="59A02EDC"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33.632,2</w:t>
            </w:r>
          </w:p>
        </w:tc>
        <w:tc>
          <w:tcPr>
            <w:tcW w:w="710" w:type="pct"/>
            <w:tcBorders>
              <w:top w:val="nil"/>
              <w:left w:val="nil"/>
              <w:bottom w:val="nil"/>
              <w:right w:val="nil"/>
            </w:tcBorders>
            <w:noWrap/>
            <w:vAlign w:val="center"/>
            <w:hideMark/>
          </w:tcPr>
          <w:p w14:paraId="7132947F"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35.352,3</w:t>
            </w:r>
          </w:p>
        </w:tc>
      </w:tr>
      <w:tr w:rsidR="00112B0B" w:rsidRPr="003C1157" w14:paraId="2FE35255" w14:textId="77777777" w:rsidTr="00482D55">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nil"/>
              <w:bottom w:val="single" w:sz="4" w:space="0" w:color="002060"/>
            </w:tcBorders>
            <w:shd w:val="clear" w:color="auto" w:fill="E7E6E6" w:themeFill="background2"/>
            <w:noWrap/>
            <w:vAlign w:val="center"/>
            <w:hideMark/>
          </w:tcPr>
          <w:p w14:paraId="58FB6D64" w14:textId="77777777" w:rsidR="00112B0B" w:rsidRPr="003C1157" w:rsidRDefault="00112B0B" w:rsidP="00523B7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Јавни дуг (у мил. долара)</w:t>
            </w:r>
          </w:p>
        </w:tc>
        <w:tc>
          <w:tcPr>
            <w:tcW w:w="709" w:type="pct"/>
            <w:tcBorders>
              <w:top w:val="nil"/>
              <w:bottom w:val="single" w:sz="4" w:space="0" w:color="002060"/>
            </w:tcBorders>
            <w:shd w:val="clear" w:color="auto" w:fill="E7E6E6" w:themeFill="background2"/>
            <w:vAlign w:val="center"/>
            <w:hideMark/>
          </w:tcPr>
          <w:p w14:paraId="40A07CE1"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33.254,3</w:t>
            </w:r>
          </w:p>
        </w:tc>
        <w:tc>
          <w:tcPr>
            <w:tcW w:w="710" w:type="pct"/>
            <w:tcBorders>
              <w:top w:val="nil"/>
              <w:bottom w:val="single" w:sz="4" w:space="0" w:color="002060"/>
            </w:tcBorders>
            <w:shd w:val="clear" w:color="auto" w:fill="E7E6E6" w:themeFill="background2"/>
            <w:vAlign w:val="center"/>
            <w:hideMark/>
          </w:tcPr>
          <w:p w14:paraId="67E39EA0"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34.464,5</w:t>
            </w:r>
          </w:p>
        </w:tc>
        <w:tc>
          <w:tcPr>
            <w:tcW w:w="709" w:type="pct"/>
            <w:tcBorders>
              <w:top w:val="nil"/>
              <w:bottom w:val="single" w:sz="4" w:space="0" w:color="002060"/>
            </w:tcBorders>
            <w:shd w:val="clear" w:color="auto" w:fill="E7E6E6" w:themeFill="background2"/>
            <w:noWrap/>
            <w:vAlign w:val="center"/>
            <w:hideMark/>
          </w:tcPr>
          <w:p w14:paraId="224946A1"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35.821,6</w:t>
            </w:r>
          </w:p>
        </w:tc>
        <w:tc>
          <w:tcPr>
            <w:tcW w:w="710" w:type="pct"/>
            <w:tcBorders>
              <w:top w:val="nil"/>
              <w:bottom w:val="single" w:sz="4" w:space="0" w:color="002060"/>
            </w:tcBorders>
            <w:shd w:val="clear" w:color="auto" w:fill="E7E6E6" w:themeFill="background2"/>
            <w:noWrap/>
            <w:vAlign w:val="center"/>
            <w:hideMark/>
          </w:tcPr>
          <w:p w14:paraId="7027548B"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38.919,3</w:t>
            </w:r>
          </w:p>
        </w:tc>
      </w:tr>
    </w:tbl>
    <w:p w14:paraId="3EDA47D8" w14:textId="77777777" w:rsidR="00112B0B" w:rsidRPr="003C1157" w:rsidRDefault="00112B0B" w:rsidP="00523B7B">
      <w:pPr>
        <w:spacing w:after="280"/>
        <w:rPr>
          <w:rFonts w:ascii="Calibri" w:eastAsia="Calibri" w:hAnsi="Calibri" w:cs="Calibri"/>
          <w:bCs/>
          <w:szCs w:val="72"/>
          <w:lang w:val="sr-Cyrl-RS"/>
        </w:rPr>
        <w:sectPr w:rsidR="00112B0B" w:rsidRPr="003C1157" w:rsidSect="006272DB">
          <w:type w:val="continuous"/>
          <w:pgSz w:w="12240" w:h="15840"/>
          <w:pgMar w:top="1440" w:right="1440" w:bottom="1440" w:left="1440" w:header="720" w:footer="720" w:gutter="0"/>
          <w:cols w:space="720"/>
          <w15:footnoteColumns w:val="1"/>
        </w:sectPr>
      </w:pPr>
    </w:p>
    <w:p w14:paraId="5702EF73" w14:textId="77777777" w:rsidR="00112B0B" w:rsidRPr="003C1157" w:rsidRDefault="00112B0B" w:rsidP="00523B7B">
      <w:pPr>
        <w:spacing w:after="280"/>
        <w:rPr>
          <w:rFonts w:ascii="Calibri" w:eastAsia="Calibri" w:hAnsi="Calibri" w:cs="Calibri"/>
          <w:bCs/>
          <w:szCs w:val="72"/>
          <w:lang w:val="sr-Cyrl-RS"/>
        </w:rPr>
      </w:pPr>
      <w:r w:rsidRPr="003C1157">
        <w:rPr>
          <w:rFonts w:ascii="Calibri" w:eastAsia="Calibri" w:hAnsi="Calibri" w:cs="Calibri"/>
          <w:bCs/>
          <w:szCs w:val="72"/>
          <w:lang w:val="sr-Cyrl-RS"/>
        </w:rPr>
        <w:t xml:space="preserve">У последње две године приметан је интензиван раст јавног дуга централног нивоа власти у еврима. Услед повољнијих услова за задуживање на иностраном тржишту, емитоване су у два наврата еврообвезнице у еврима. Поред тога део дуга у америчким доларима, кинеским јуанима и УАЕ дирхамима је конвертован у евре, услед далеко мање осцилације курса евра према динару, у односу на наведене валуте, како би се смањио валутни ризик. Током 2022. и 2023. године дошло је до раста дуга у специјалним правима вучења, услед задуживања код ММФ по повољним условима. Током 2020. и 2021. године </w:t>
      </w:r>
      <w:r w:rsidRPr="003C1157">
        <w:rPr>
          <w:rFonts w:ascii="Calibri" w:eastAsia="Calibri" w:hAnsi="Calibri" w:cs="Calibri"/>
          <w:bCs/>
          <w:szCs w:val="72"/>
          <w:lang w:val="sr-Cyrl-RS"/>
        </w:rPr>
        <w:t>је растао дуг у динарима услед интензивног задуживања у домаћој валути, како би се додатно подстакао развој домаћег тржишта. Током 2022. и 2023. године приметан је пад, због редовне отплате доспелих државних обвезница. Честе осцилације курса америчког долара према динару показују пуну оправданост одлуке да се максимално смањи доларски дуг и на тај начин минимизира валутни ризик, као и да је за закључивање своп трансакција изабран прави моменат. Услед закључених своп трансакција, а такође са циљем да се минимизира валутни ризик, значајно је смањен дуг у осталим валутама.</w:t>
      </w:r>
    </w:p>
    <w:p w14:paraId="26A901A5" w14:textId="77777777" w:rsidR="00112B0B" w:rsidRPr="003C1157" w:rsidRDefault="00112B0B" w:rsidP="00C91F83">
      <w:pPr>
        <w:spacing w:line="256" w:lineRule="auto"/>
        <w:jc w:val="center"/>
        <w:rPr>
          <w:rFonts w:ascii="Calibri" w:eastAsia="Calibri" w:hAnsi="Calibri" w:cs="Times New Roman"/>
          <w:b/>
          <w:color w:val="002060"/>
          <w:lang w:val="sr-Cyrl-RS"/>
        </w:rPr>
        <w:sectPr w:rsidR="00112B0B" w:rsidRPr="003C1157" w:rsidSect="006272DB">
          <w:type w:val="continuous"/>
          <w:pgSz w:w="12240" w:h="15840"/>
          <w:pgMar w:top="1440" w:right="1440" w:bottom="1440" w:left="1440" w:header="720" w:footer="720" w:gutter="0"/>
          <w:cols w:num="2" w:space="720"/>
          <w15:footnoteColumns w:val="1"/>
        </w:sectPr>
      </w:pPr>
    </w:p>
    <w:p w14:paraId="3CB0DBE0" w14:textId="77777777" w:rsidR="00112B0B" w:rsidRPr="003C1157" w:rsidRDefault="00112B0B" w:rsidP="00C91F83">
      <w:pPr>
        <w:spacing w:line="256" w:lineRule="auto"/>
        <w:jc w:val="center"/>
        <w:rPr>
          <w:rFonts w:ascii="Calibri" w:eastAsia="Calibri" w:hAnsi="Calibri" w:cs="Times New Roman"/>
          <w:b/>
          <w:color w:val="002060"/>
          <w:lang w:val="sr-Cyrl-RS"/>
        </w:rPr>
      </w:pPr>
      <w:r w:rsidRPr="003C1157">
        <w:rPr>
          <w:rFonts w:ascii="Calibri" w:eastAsia="Calibri" w:hAnsi="Calibri" w:cs="Times New Roman"/>
          <w:b/>
          <w:color w:val="002060"/>
          <w:lang w:val="sr-Cyrl-RS"/>
        </w:rPr>
        <w:t xml:space="preserve">Табела 22. Стање јавног дуга централног нивоа државе по оригиналним валутама у периоду </w:t>
      </w:r>
      <w:r w:rsidRPr="003C1157">
        <w:rPr>
          <w:rFonts w:ascii="Calibri" w:eastAsia="Calibri" w:hAnsi="Calibri" w:cs="Times New Roman"/>
          <w:b/>
          <w:color w:val="002060"/>
          <w:lang w:val="sr-Cyrl-RS"/>
        </w:rPr>
        <w:br/>
        <w:t>крај 2020–31. јул 2023. године, у милионима</w:t>
      </w:r>
    </w:p>
    <w:tbl>
      <w:tblPr>
        <w:tblStyle w:val="LightShading-Accent12121"/>
        <w:tblW w:w="5000" w:type="pct"/>
        <w:tblInd w:w="-48" w:type="dxa"/>
        <w:tblLook w:val="04A0" w:firstRow="1" w:lastRow="0" w:firstColumn="1" w:lastColumn="0" w:noHBand="0" w:noVBand="1"/>
      </w:tblPr>
      <w:tblGrid>
        <w:gridCol w:w="3230"/>
        <w:gridCol w:w="1532"/>
        <w:gridCol w:w="1534"/>
        <w:gridCol w:w="1531"/>
        <w:gridCol w:w="1533"/>
      </w:tblGrid>
      <w:tr w:rsidR="00112B0B" w:rsidRPr="003C1157" w14:paraId="1F50EA72" w14:textId="77777777" w:rsidTr="00482D55">
        <w:trPr>
          <w:cnfStyle w:val="100000000000" w:firstRow="1" w:lastRow="0" w:firstColumn="0" w:lastColumn="0" w:oddVBand="0" w:evenVBand="0" w:oddHBand="0"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002060"/>
              <w:bottom w:val="single" w:sz="4" w:space="0" w:color="FFFFFF" w:themeColor="background1"/>
            </w:tcBorders>
            <w:noWrap/>
            <w:hideMark/>
          </w:tcPr>
          <w:p w14:paraId="67EFFE68" w14:textId="77777777" w:rsidR="00112B0B" w:rsidRPr="003C1157" w:rsidRDefault="00112B0B" w:rsidP="00523B7B">
            <w:pPr>
              <w:jc w:val="right"/>
              <w:rPr>
                <w:rFonts w:ascii="Calibri" w:hAnsi="Calibri" w:cs="Calibri"/>
                <w:color w:val="002060"/>
                <w:sz w:val="18"/>
                <w:szCs w:val="18"/>
                <w:lang w:val="sr-Cyrl-RS"/>
              </w:rPr>
            </w:pPr>
            <w:r w:rsidRPr="003C1157">
              <w:rPr>
                <w:rFonts w:ascii="Calibri" w:hAnsi="Calibri" w:cs="Calibri"/>
                <w:color w:val="002060"/>
                <w:sz w:val="18"/>
                <w:szCs w:val="18"/>
                <w:lang w:val="sr-Cyrl-RS"/>
              </w:rPr>
              <w:t> </w:t>
            </w:r>
          </w:p>
        </w:tc>
        <w:tc>
          <w:tcPr>
            <w:tcW w:w="818" w:type="pct"/>
            <w:tcBorders>
              <w:top w:val="single" w:sz="4" w:space="0" w:color="002060"/>
              <w:bottom w:val="single" w:sz="4" w:space="0" w:color="002060"/>
            </w:tcBorders>
            <w:noWrap/>
            <w:hideMark/>
          </w:tcPr>
          <w:p w14:paraId="7CFFDA68" w14:textId="77777777" w:rsidR="00112B0B" w:rsidRPr="003C1157" w:rsidRDefault="00112B0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2020</w:t>
            </w:r>
          </w:p>
        </w:tc>
        <w:tc>
          <w:tcPr>
            <w:tcW w:w="819" w:type="pct"/>
            <w:tcBorders>
              <w:top w:val="single" w:sz="4" w:space="0" w:color="002060"/>
              <w:bottom w:val="single" w:sz="4" w:space="0" w:color="002060"/>
            </w:tcBorders>
            <w:noWrap/>
            <w:hideMark/>
          </w:tcPr>
          <w:p w14:paraId="7E6AC6EE" w14:textId="77777777" w:rsidR="00112B0B" w:rsidRPr="003C1157" w:rsidRDefault="00112B0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2021</w:t>
            </w:r>
          </w:p>
        </w:tc>
        <w:tc>
          <w:tcPr>
            <w:tcW w:w="818" w:type="pct"/>
            <w:tcBorders>
              <w:top w:val="single" w:sz="4" w:space="0" w:color="002060"/>
              <w:bottom w:val="single" w:sz="4" w:space="0" w:color="002060"/>
            </w:tcBorders>
            <w:noWrap/>
            <w:hideMark/>
          </w:tcPr>
          <w:p w14:paraId="615EA21A" w14:textId="77777777" w:rsidR="00112B0B" w:rsidRPr="003C1157" w:rsidRDefault="00112B0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2022</w:t>
            </w:r>
          </w:p>
        </w:tc>
        <w:tc>
          <w:tcPr>
            <w:tcW w:w="819" w:type="pct"/>
            <w:tcBorders>
              <w:top w:val="single" w:sz="4" w:space="0" w:color="002060"/>
              <w:bottom w:val="single" w:sz="4" w:space="0" w:color="002060"/>
            </w:tcBorders>
            <w:noWrap/>
            <w:hideMark/>
          </w:tcPr>
          <w:p w14:paraId="067DB337" w14:textId="77777777" w:rsidR="00112B0B" w:rsidRPr="003C1157" w:rsidRDefault="00112B0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2023/VII</w:t>
            </w:r>
          </w:p>
        </w:tc>
      </w:tr>
      <w:tr w:rsidR="00112B0B" w:rsidRPr="003C1157" w14:paraId="73D39F31" w14:textId="77777777" w:rsidTr="00482D55">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FFFFFF" w:themeColor="background1"/>
              <w:bottom w:val="nil"/>
            </w:tcBorders>
            <w:shd w:val="clear" w:color="auto" w:fill="E7E6E6" w:themeFill="background2"/>
            <w:noWrap/>
            <w:hideMark/>
          </w:tcPr>
          <w:p w14:paraId="7E3EEA5B" w14:textId="77777777" w:rsidR="00112B0B" w:rsidRPr="003C1157" w:rsidRDefault="00112B0B" w:rsidP="00523B7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EUR</w:t>
            </w:r>
          </w:p>
        </w:tc>
        <w:tc>
          <w:tcPr>
            <w:tcW w:w="818" w:type="pct"/>
            <w:tcBorders>
              <w:top w:val="single" w:sz="4" w:space="0" w:color="002060"/>
              <w:bottom w:val="nil"/>
            </w:tcBorders>
            <w:shd w:val="clear" w:color="auto" w:fill="E7E6E6" w:themeFill="background2"/>
            <w:noWrap/>
            <w:hideMark/>
          </w:tcPr>
          <w:p w14:paraId="4EB1A82F"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13.222,5</w:t>
            </w:r>
          </w:p>
        </w:tc>
        <w:tc>
          <w:tcPr>
            <w:tcW w:w="819" w:type="pct"/>
            <w:tcBorders>
              <w:top w:val="single" w:sz="4" w:space="0" w:color="002060"/>
              <w:bottom w:val="nil"/>
            </w:tcBorders>
            <w:shd w:val="clear" w:color="auto" w:fill="E7E6E6" w:themeFill="background2"/>
            <w:noWrap/>
            <w:hideMark/>
          </w:tcPr>
          <w:p w14:paraId="108DE81F"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17.386,4</w:t>
            </w:r>
          </w:p>
        </w:tc>
        <w:tc>
          <w:tcPr>
            <w:tcW w:w="818" w:type="pct"/>
            <w:tcBorders>
              <w:top w:val="single" w:sz="4" w:space="0" w:color="002060"/>
              <w:bottom w:val="nil"/>
            </w:tcBorders>
            <w:shd w:val="clear" w:color="auto" w:fill="E7E6E6" w:themeFill="background2"/>
            <w:noWrap/>
            <w:hideMark/>
          </w:tcPr>
          <w:p w14:paraId="2F0EA6F5"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18.585,2</w:t>
            </w:r>
          </w:p>
        </w:tc>
        <w:tc>
          <w:tcPr>
            <w:tcW w:w="819" w:type="pct"/>
            <w:tcBorders>
              <w:top w:val="single" w:sz="4" w:space="0" w:color="002060"/>
              <w:bottom w:val="nil"/>
            </w:tcBorders>
            <w:shd w:val="clear" w:color="auto" w:fill="E7E6E6" w:themeFill="background2"/>
            <w:noWrap/>
            <w:hideMark/>
          </w:tcPr>
          <w:p w14:paraId="6027D999"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20.242,0</w:t>
            </w:r>
          </w:p>
        </w:tc>
      </w:tr>
      <w:tr w:rsidR="00112B0B" w:rsidRPr="003C1157" w14:paraId="0F51ABE1" w14:textId="77777777" w:rsidTr="00482D55">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nil"/>
              <w:right w:val="nil"/>
            </w:tcBorders>
            <w:noWrap/>
            <w:hideMark/>
          </w:tcPr>
          <w:p w14:paraId="188F0820" w14:textId="77777777" w:rsidR="00112B0B" w:rsidRPr="003C1157" w:rsidRDefault="00112B0B" w:rsidP="00523B7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USD</w:t>
            </w:r>
          </w:p>
        </w:tc>
        <w:tc>
          <w:tcPr>
            <w:tcW w:w="818" w:type="pct"/>
            <w:tcBorders>
              <w:top w:val="nil"/>
              <w:left w:val="nil"/>
              <w:bottom w:val="nil"/>
              <w:right w:val="nil"/>
            </w:tcBorders>
            <w:noWrap/>
            <w:hideMark/>
          </w:tcPr>
          <w:p w14:paraId="423767B3"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4.323,9</w:t>
            </w:r>
          </w:p>
        </w:tc>
        <w:tc>
          <w:tcPr>
            <w:tcW w:w="819" w:type="pct"/>
            <w:tcBorders>
              <w:top w:val="nil"/>
              <w:left w:val="nil"/>
              <w:bottom w:val="nil"/>
              <w:right w:val="nil"/>
            </w:tcBorders>
            <w:noWrap/>
            <w:hideMark/>
          </w:tcPr>
          <w:p w14:paraId="62922115"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3.694,6</w:t>
            </w:r>
          </w:p>
        </w:tc>
        <w:tc>
          <w:tcPr>
            <w:tcW w:w="818" w:type="pct"/>
            <w:tcBorders>
              <w:top w:val="nil"/>
              <w:left w:val="nil"/>
              <w:bottom w:val="nil"/>
              <w:right w:val="nil"/>
            </w:tcBorders>
            <w:noWrap/>
            <w:hideMark/>
          </w:tcPr>
          <w:p w14:paraId="1B0C016A"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5.076,7</w:t>
            </w:r>
          </w:p>
        </w:tc>
        <w:tc>
          <w:tcPr>
            <w:tcW w:w="819" w:type="pct"/>
            <w:tcBorders>
              <w:top w:val="nil"/>
              <w:left w:val="nil"/>
              <w:bottom w:val="nil"/>
              <w:right w:val="nil"/>
            </w:tcBorders>
            <w:noWrap/>
            <w:hideMark/>
          </w:tcPr>
          <w:p w14:paraId="369F10BB"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5.160,3</w:t>
            </w:r>
          </w:p>
        </w:tc>
      </w:tr>
      <w:tr w:rsidR="00112B0B" w:rsidRPr="003C1157" w14:paraId="2347EA6C" w14:textId="77777777" w:rsidTr="00482D55">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bottom w:val="nil"/>
            </w:tcBorders>
            <w:shd w:val="clear" w:color="auto" w:fill="E7E6E6" w:themeFill="background2"/>
            <w:noWrap/>
            <w:hideMark/>
          </w:tcPr>
          <w:p w14:paraId="4B3B9753" w14:textId="77777777" w:rsidR="00112B0B" w:rsidRPr="003C1157" w:rsidRDefault="00112B0B" w:rsidP="00523B7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RSD</w:t>
            </w:r>
          </w:p>
        </w:tc>
        <w:tc>
          <w:tcPr>
            <w:tcW w:w="818" w:type="pct"/>
            <w:tcBorders>
              <w:top w:val="nil"/>
              <w:bottom w:val="nil"/>
            </w:tcBorders>
            <w:shd w:val="clear" w:color="auto" w:fill="E7E6E6" w:themeFill="background2"/>
            <w:noWrap/>
            <w:hideMark/>
          </w:tcPr>
          <w:p w14:paraId="48293B05"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957.952,2</w:t>
            </w:r>
          </w:p>
        </w:tc>
        <w:tc>
          <w:tcPr>
            <w:tcW w:w="819" w:type="pct"/>
            <w:tcBorders>
              <w:top w:val="nil"/>
              <w:bottom w:val="nil"/>
            </w:tcBorders>
            <w:shd w:val="clear" w:color="auto" w:fill="E7E6E6" w:themeFill="background2"/>
            <w:noWrap/>
            <w:hideMark/>
          </w:tcPr>
          <w:p w14:paraId="70CA0FEC"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1.010.176,5</w:t>
            </w:r>
          </w:p>
        </w:tc>
        <w:tc>
          <w:tcPr>
            <w:tcW w:w="818" w:type="pct"/>
            <w:tcBorders>
              <w:top w:val="nil"/>
              <w:bottom w:val="nil"/>
            </w:tcBorders>
            <w:shd w:val="clear" w:color="auto" w:fill="E7E6E6" w:themeFill="background2"/>
            <w:noWrap/>
            <w:hideMark/>
          </w:tcPr>
          <w:p w14:paraId="12D1BA29"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983.500,7</w:t>
            </w:r>
          </w:p>
        </w:tc>
        <w:tc>
          <w:tcPr>
            <w:tcW w:w="819" w:type="pct"/>
            <w:tcBorders>
              <w:top w:val="nil"/>
              <w:bottom w:val="nil"/>
            </w:tcBorders>
            <w:shd w:val="clear" w:color="auto" w:fill="E7E6E6" w:themeFill="background2"/>
            <w:noWrap/>
            <w:hideMark/>
          </w:tcPr>
          <w:p w14:paraId="12DF8041"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876.762,4</w:t>
            </w:r>
          </w:p>
        </w:tc>
      </w:tr>
      <w:tr w:rsidR="00112B0B" w:rsidRPr="003C1157" w14:paraId="5C7875BE" w14:textId="77777777" w:rsidTr="00482D55">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nil"/>
              <w:right w:val="nil"/>
            </w:tcBorders>
            <w:noWrap/>
            <w:hideMark/>
          </w:tcPr>
          <w:p w14:paraId="18F8FC8A" w14:textId="77777777" w:rsidR="00112B0B" w:rsidRPr="003C1157" w:rsidRDefault="00112B0B" w:rsidP="00523B7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CHF</w:t>
            </w:r>
          </w:p>
        </w:tc>
        <w:tc>
          <w:tcPr>
            <w:tcW w:w="818" w:type="pct"/>
            <w:tcBorders>
              <w:top w:val="nil"/>
              <w:left w:val="nil"/>
              <w:bottom w:val="nil"/>
              <w:right w:val="nil"/>
            </w:tcBorders>
            <w:noWrap/>
            <w:hideMark/>
          </w:tcPr>
          <w:p w14:paraId="22FD02AA"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90,3</w:t>
            </w:r>
          </w:p>
        </w:tc>
        <w:tc>
          <w:tcPr>
            <w:tcW w:w="819" w:type="pct"/>
            <w:tcBorders>
              <w:top w:val="nil"/>
              <w:left w:val="nil"/>
              <w:bottom w:val="nil"/>
              <w:right w:val="nil"/>
            </w:tcBorders>
            <w:noWrap/>
            <w:hideMark/>
          </w:tcPr>
          <w:p w14:paraId="5F5C0700"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73,7</w:t>
            </w:r>
          </w:p>
        </w:tc>
        <w:tc>
          <w:tcPr>
            <w:tcW w:w="818" w:type="pct"/>
            <w:tcBorders>
              <w:top w:val="nil"/>
              <w:left w:val="nil"/>
              <w:bottom w:val="nil"/>
              <w:right w:val="nil"/>
            </w:tcBorders>
            <w:noWrap/>
            <w:hideMark/>
          </w:tcPr>
          <w:p w14:paraId="688583A2"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27,2</w:t>
            </w:r>
          </w:p>
        </w:tc>
        <w:tc>
          <w:tcPr>
            <w:tcW w:w="819" w:type="pct"/>
            <w:tcBorders>
              <w:top w:val="nil"/>
              <w:left w:val="nil"/>
              <w:bottom w:val="nil"/>
              <w:right w:val="nil"/>
            </w:tcBorders>
            <w:noWrap/>
            <w:hideMark/>
          </w:tcPr>
          <w:p w14:paraId="6517C89F"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18,7</w:t>
            </w:r>
          </w:p>
        </w:tc>
      </w:tr>
      <w:tr w:rsidR="00112B0B" w:rsidRPr="003C1157" w14:paraId="5A31D04F" w14:textId="77777777" w:rsidTr="00482D55">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bottom w:val="nil"/>
            </w:tcBorders>
            <w:shd w:val="clear" w:color="auto" w:fill="E7E6E6" w:themeFill="background2"/>
            <w:noWrap/>
            <w:hideMark/>
          </w:tcPr>
          <w:p w14:paraId="1449EF24" w14:textId="77777777" w:rsidR="00112B0B" w:rsidRPr="003C1157" w:rsidRDefault="00112B0B" w:rsidP="00523B7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Специјална права вучења</w:t>
            </w:r>
          </w:p>
        </w:tc>
        <w:tc>
          <w:tcPr>
            <w:tcW w:w="818" w:type="pct"/>
            <w:tcBorders>
              <w:top w:val="nil"/>
              <w:bottom w:val="nil"/>
            </w:tcBorders>
            <w:shd w:val="clear" w:color="auto" w:fill="E7E6E6" w:themeFill="background2"/>
            <w:noWrap/>
            <w:hideMark/>
          </w:tcPr>
          <w:p w14:paraId="7367E7E1"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522,7</w:t>
            </w:r>
          </w:p>
        </w:tc>
        <w:tc>
          <w:tcPr>
            <w:tcW w:w="819" w:type="pct"/>
            <w:tcBorders>
              <w:top w:val="nil"/>
              <w:bottom w:val="nil"/>
            </w:tcBorders>
            <w:shd w:val="clear" w:color="auto" w:fill="E7E6E6" w:themeFill="background2"/>
            <w:noWrap/>
            <w:hideMark/>
          </w:tcPr>
          <w:p w14:paraId="74379E98"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475,0</w:t>
            </w:r>
          </w:p>
        </w:tc>
        <w:tc>
          <w:tcPr>
            <w:tcW w:w="818" w:type="pct"/>
            <w:tcBorders>
              <w:top w:val="nil"/>
              <w:bottom w:val="nil"/>
            </w:tcBorders>
            <w:shd w:val="clear" w:color="auto" w:fill="E7E6E6" w:themeFill="background2"/>
            <w:noWrap/>
            <w:hideMark/>
          </w:tcPr>
          <w:p w14:paraId="14CC10CD"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1.064,9</w:t>
            </w:r>
          </w:p>
        </w:tc>
        <w:tc>
          <w:tcPr>
            <w:tcW w:w="819" w:type="pct"/>
            <w:tcBorders>
              <w:top w:val="nil"/>
              <w:bottom w:val="nil"/>
            </w:tcBorders>
            <w:shd w:val="clear" w:color="auto" w:fill="E7E6E6" w:themeFill="background2"/>
            <w:noWrap/>
            <w:hideMark/>
          </w:tcPr>
          <w:p w14:paraId="73AD4B61" w14:textId="77777777" w:rsidR="00112B0B" w:rsidRPr="003C1157" w:rsidRDefault="00112B0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1.998,1</w:t>
            </w:r>
          </w:p>
        </w:tc>
      </w:tr>
      <w:tr w:rsidR="00112B0B" w:rsidRPr="003C1157" w14:paraId="17C33B80" w14:textId="77777777" w:rsidTr="00482D55">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single" w:sz="4" w:space="0" w:color="002060"/>
              <w:right w:val="nil"/>
            </w:tcBorders>
            <w:noWrap/>
            <w:hideMark/>
          </w:tcPr>
          <w:p w14:paraId="44113B25" w14:textId="77777777" w:rsidR="00112B0B" w:rsidRPr="003C1157" w:rsidRDefault="00112B0B" w:rsidP="00523B7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Друге валуте (у RSD)</w:t>
            </w:r>
          </w:p>
        </w:tc>
        <w:tc>
          <w:tcPr>
            <w:tcW w:w="818" w:type="pct"/>
            <w:tcBorders>
              <w:top w:val="nil"/>
              <w:left w:val="nil"/>
              <w:bottom w:val="single" w:sz="4" w:space="0" w:color="002060"/>
              <w:right w:val="nil"/>
            </w:tcBorders>
            <w:noWrap/>
            <w:hideMark/>
          </w:tcPr>
          <w:p w14:paraId="6416C91D"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127.674,8</w:t>
            </w:r>
          </w:p>
        </w:tc>
        <w:tc>
          <w:tcPr>
            <w:tcW w:w="819" w:type="pct"/>
            <w:tcBorders>
              <w:top w:val="nil"/>
              <w:left w:val="nil"/>
              <w:bottom w:val="single" w:sz="4" w:space="0" w:color="002060"/>
              <w:right w:val="nil"/>
            </w:tcBorders>
            <w:noWrap/>
            <w:hideMark/>
          </w:tcPr>
          <w:p w14:paraId="592E5319"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27.304,8</w:t>
            </w:r>
          </w:p>
        </w:tc>
        <w:tc>
          <w:tcPr>
            <w:tcW w:w="818" w:type="pct"/>
            <w:tcBorders>
              <w:top w:val="nil"/>
              <w:left w:val="nil"/>
              <w:bottom w:val="single" w:sz="4" w:space="0" w:color="002060"/>
              <w:right w:val="nil"/>
            </w:tcBorders>
            <w:noWrap/>
            <w:hideMark/>
          </w:tcPr>
          <w:p w14:paraId="6136BFB2"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27.375,6</w:t>
            </w:r>
          </w:p>
        </w:tc>
        <w:tc>
          <w:tcPr>
            <w:tcW w:w="819" w:type="pct"/>
            <w:tcBorders>
              <w:top w:val="nil"/>
              <w:left w:val="nil"/>
              <w:bottom w:val="single" w:sz="4" w:space="0" w:color="002060"/>
              <w:right w:val="nil"/>
            </w:tcBorders>
            <w:noWrap/>
            <w:hideMark/>
          </w:tcPr>
          <w:p w14:paraId="0C64F2CC" w14:textId="77777777" w:rsidR="00112B0B" w:rsidRPr="003C1157" w:rsidRDefault="00112B0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23.984,5</w:t>
            </w:r>
          </w:p>
        </w:tc>
      </w:tr>
    </w:tbl>
    <w:p w14:paraId="37CE6A9A" w14:textId="77777777" w:rsidR="00112B0B" w:rsidRPr="003C1157" w:rsidRDefault="00112B0B" w:rsidP="00523B7B">
      <w:pPr>
        <w:spacing w:line="257" w:lineRule="auto"/>
        <w:rPr>
          <w:rFonts w:ascii="Calibri" w:eastAsia="Calibri" w:hAnsi="Calibri" w:cs="Calibri"/>
          <w:bCs/>
          <w:szCs w:val="72"/>
          <w:lang w:val="sr-Cyrl-RS"/>
        </w:rPr>
        <w:sectPr w:rsidR="00112B0B" w:rsidRPr="003C1157" w:rsidSect="006272DB">
          <w:type w:val="continuous"/>
          <w:pgSz w:w="12240" w:h="15840"/>
          <w:pgMar w:top="1440" w:right="1440" w:bottom="1440" w:left="1440" w:header="720" w:footer="720" w:gutter="0"/>
          <w:cols w:space="720"/>
          <w15:footnoteColumns w:val="1"/>
        </w:sectPr>
      </w:pPr>
    </w:p>
    <w:p w14:paraId="04DC6C44" w14:textId="77777777" w:rsidR="00112B0B" w:rsidRPr="003C1157" w:rsidRDefault="00112B0B" w:rsidP="00523B7B">
      <w:pPr>
        <w:spacing w:line="257" w:lineRule="auto"/>
        <w:rPr>
          <w:rFonts w:ascii="Calibri" w:eastAsia="Calibri" w:hAnsi="Calibri" w:cs="Calibri"/>
          <w:bCs/>
          <w:szCs w:val="72"/>
          <w:lang w:val="sr-Cyrl-RS"/>
        </w:rPr>
      </w:pPr>
      <w:r w:rsidRPr="003C1157">
        <w:rPr>
          <w:rFonts w:ascii="Calibri" w:eastAsia="Calibri" w:hAnsi="Calibri" w:cs="Calibri"/>
          <w:bCs/>
          <w:szCs w:val="72"/>
          <w:lang w:val="sr-Cyrl-RS"/>
        </w:rPr>
        <w:t>Према подацима од 31. јула 2023. године, највећи део јавног дуга сектора државе Републике Србије је деноминован у еврима и износи 58,0%. Затим су највише заступљени динар са 21,2% и амерички долар са 13,3%. Остатак дуга је деноминован у специјалним правима вучења 6,9% и осталим валутама 0,6%. Захваљујући континуираном развоју домаћег тржишта хартија од вредности и постепеном повећању обима емисија у домаћој валути, дошло је до раста учешћа дуга у домаћој валути у претходним годинама, са 16,4%, на крају 2011. године на 30,4% у 2020, али након тога долази до његовог пада услед нешто већих потреба за финансирањем и промењених тржишних околности.</w:t>
      </w:r>
    </w:p>
    <w:p w14:paraId="173229C6" w14:textId="77777777" w:rsidR="00112B0B" w:rsidRPr="003C1157" w:rsidRDefault="00112B0B" w:rsidP="00523B7B">
      <w:pPr>
        <w:spacing w:line="257" w:lineRule="auto"/>
        <w:jc w:val="center"/>
        <w:rPr>
          <w:rFonts w:ascii="Calibri" w:eastAsia="Calibri" w:hAnsi="Calibri" w:cs="Times New Roman"/>
          <w:b/>
          <w:color w:val="002060"/>
          <w:lang w:val="sr-Cyrl-RS"/>
        </w:rPr>
      </w:pPr>
      <w:r w:rsidRPr="003C1157">
        <w:rPr>
          <w:rFonts w:ascii="Calibri" w:eastAsia="Calibri" w:hAnsi="Calibri" w:cs="Times New Roman"/>
          <w:b/>
          <w:color w:val="002060"/>
          <w:lang w:val="sr-Cyrl-RS"/>
        </w:rPr>
        <w:t>Валутна структура дуга сектора државе у периоду од 2020. до 31. јула 2023. године</w:t>
      </w:r>
    </w:p>
    <w:p w14:paraId="7A7945D3" w14:textId="77777777" w:rsidR="00112B0B" w:rsidRPr="003C1157" w:rsidRDefault="00112B0B" w:rsidP="00523B7B">
      <w:pPr>
        <w:spacing w:line="256" w:lineRule="auto"/>
        <w:rPr>
          <w:rFonts w:ascii="Calibri" w:eastAsia="Calibri" w:hAnsi="Calibri" w:cs="Times New Roman"/>
          <w:b/>
          <w:lang w:val="sr-Cyrl-RS"/>
        </w:rPr>
      </w:pPr>
      <w:r w:rsidRPr="003C1157">
        <w:rPr>
          <w:rFonts w:ascii="Calibri" w:eastAsia="Calibri" w:hAnsi="Calibri" w:cs="Times New Roman"/>
          <w:noProof/>
        </w:rPr>
        <w:drawing>
          <wp:inline distT="0" distB="0" distL="0" distR="0" wp14:anchorId="277DC152" wp14:editId="1E6E2728">
            <wp:extent cx="2797810" cy="1581150"/>
            <wp:effectExtent l="0" t="0" r="2540" b="0"/>
            <wp:docPr id="61"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7"/>
              </a:graphicData>
            </a:graphic>
          </wp:inline>
        </w:drawing>
      </w:r>
    </w:p>
    <w:p w14:paraId="1978B900" w14:textId="77777777" w:rsidR="00112B0B" w:rsidRPr="003C1157" w:rsidRDefault="00112B0B">
      <w:pPr>
        <w:jc w:val="left"/>
        <w:rPr>
          <w:rFonts w:ascii="Calibri" w:eastAsia="Calibri" w:hAnsi="Calibri" w:cs="Calibri"/>
          <w:bCs/>
          <w:szCs w:val="72"/>
          <w:lang w:val="sr-Cyrl-RS"/>
        </w:rPr>
      </w:pPr>
      <w:r w:rsidRPr="003C1157">
        <w:rPr>
          <w:rFonts w:ascii="Calibri" w:eastAsia="Calibri" w:hAnsi="Calibri" w:cs="Calibri"/>
          <w:bCs/>
          <w:szCs w:val="72"/>
          <w:lang w:val="sr-Cyrl-RS"/>
        </w:rPr>
        <w:br w:type="page"/>
      </w:r>
    </w:p>
    <w:p w14:paraId="475DE687"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lastRenderedPageBreak/>
        <w:t>На дан 31. јул 2023. године, највећи део јавног дуга сектора државе Републике Србије је са фиксном каматном стопом – 73,9%, док се на јавни дуг са варијабилном каматном стопом односи 27,1% укупног јавног дуга. Међу варијабилним каматним стопама највише је заступљен EURIBOR са учешћем од 70,0%, затим варијабилна каматна стопа за специјална права вучења 25,2% и Belibor 3,8%, док је учешће обавеза са осталим каматним стопама 1,0%.</w:t>
      </w:r>
    </w:p>
    <w:p w14:paraId="7861A55A" w14:textId="77777777" w:rsidR="00112B0B" w:rsidRPr="003C1157" w:rsidRDefault="00112B0B" w:rsidP="00C91F83">
      <w:pPr>
        <w:spacing w:line="256" w:lineRule="auto"/>
        <w:jc w:val="center"/>
        <w:rPr>
          <w:rFonts w:ascii="Calibri" w:eastAsia="Calibri" w:hAnsi="Calibri" w:cs="Calibri"/>
          <w:bCs/>
          <w:color w:val="002060"/>
          <w:szCs w:val="72"/>
          <w:lang w:val="sr-Cyrl-RS"/>
        </w:rPr>
      </w:pPr>
      <w:r w:rsidRPr="003C1157">
        <w:rPr>
          <w:rFonts w:ascii="Calibri" w:eastAsia="Calibri" w:hAnsi="Calibri" w:cs="Times New Roman"/>
          <w:b/>
          <w:color w:val="002060"/>
          <w:lang w:val="sr-Cyrl-RS"/>
        </w:rPr>
        <w:t>Структура каматних стопа дуга сектора државе у периоду од 2020. до 31. јула 2023. године, %</w:t>
      </w:r>
    </w:p>
    <w:p w14:paraId="55116581" w14:textId="77777777" w:rsidR="00112B0B" w:rsidRPr="003C1157" w:rsidRDefault="00112B0B" w:rsidP="00C91F83">
      <w:pPr>
        <w:spacing w:line="256" w:lineRule="auto"/>
        <w:rPr>
          <w:rFonts w:ascii="Calibri" w:eastAsia="Calibri" w:hAnsi="Calibri" w:cs="Calibri"/>
          <w:bCs/>
          <w:szCs w:val="72"/>
          <w:lang w:val="sr-Cyrl-RS"/>
        </w:rPr>
      </w:pPr>
      <w:r w:rsidRPr="003C1157">
        <w:rPr>
          <w:rFonts w:ascii="Calibri" w:eastAsia="Calibri" w:hAnsi="Calibri" w:cs="Times New Roman"/>
          <w:noProof/>
        </w:rPr>
        <w:drawing>
          <wp:inline distT="0" distB="0" distL="0" distR="0" wp14:anchorId="02E0DE23" wp14:editId="07B68576">
            <wp:extent cx="2743200" cy="2124000"/>
            <wp:effectExtent l="0" t="0" r="0" b="0"/>
            <wp:docPr id="64" name="Chart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8"/>
              </a:graphicData>
            </a:graphic>
          </wp:inline>
        </w:drawing>
      </w:r>
    </w:p>
    <w:p w14:paraId="176FF0CA"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 xml:space="preserve">У периоду од 2014. до 2021. године дошло је до значајног пада трошкова задуживања, који је најизраженији код државних хартија од вредности емитованих на домаћем тржишту. До пада је дошло захваљујући развоју тржишта капитала државних обвезница, расту кредитног рејтинга земље, односно смањењу премије ризика, ниској стопи инфлације и смањењу референтне каматне стопе НБС. Просечно пондерисана каматна стопа на јавни дуг је пала са 5,70% колико је износила на крају 2014. године на 2,53% колико је износила на крају 2021. године. Приметан је још израженији пад код динарских државних хартија од вредности, код којих је просечна пондерисана купонска стопа смањена са 10,68% на крају 2014. године на 4,53 % на крају јула 2023. године. Током последњих годину дана, услед високе инфлације, </w:t>
      </w:r>
      <w:r w:rsidRPr="003C1157">
        <w:rPr>
          <w:rFonts w:ascii="Calibri" w:eastAsia="Calibri" w:hAnsi="Calibri" w:cs="Calibri"/>
          <w:bCs/>
          <w:szCs w:val="72"/>
          <w:lang w:val="sr-Cyrl-RS"/>
        </w:rPr>
        <w:t>дошло је до најинтензивнијег раста каматних стопа на међународном финансијском тржишту у овом веку. Ово се у извесној мери одразило и на раст трошкова задуживања Републике Србије. Тако је на крају јула 2023. године просечна пондерисана стопа на укупни јавни дуг износила 3,37%.</w:t>
      </w:r>
    </w:p>
    <w:p w14:paraId="3C753094" w14:textId="77777777" w:rsidR="00112B0B" w:rsidRPr="003C1157" w:rsidRDefault="00112B0B" w:rsidP="006272DB">
      <w:pPr>
        <w:spacing w:line="256" w:lineRule="auto"/>
        <w:jc w:val="center"/>
        <w:rPr>
          <w:rFonts w:ascii="Calibri" w:eastAsia="Calibri" w:hAnsi="Calibri" w:cs="Times New Roman"/>
          <w:b/>
          <w:color w:val="002060"/>
          <w:spacing w:val="-2"/>
          <w:lang w:val="sr-Cyrl-RS"/>
        </w:rPr>
      </w:pPr>
      <w:r w:rsidRPr="003C1157">
        <w:rPr>
          <w:rFonts w:ascii="Calibri" w:eastAsia="Calibri" w:hAnsi="Calibri" w:cs="Times New Roman"/>
          <w:b/>
          <w:color w:val="002060"/>
          <w:spacing w:val="-2"/>
          <w:lang w:val="sr-Cyrl-RS"/>
        </w:rPr>
        <w:t>Преглед кретања просечних извршних каматних стопа на динарске државне хартије од вредности у периоду 2011–31. јул 2023. године</w:t>
      </w:r>
    </w:p>
    <w:p w14:paraId="76D56445" w14:textId="77777777" w:rsidR="00112B0B" w:rsidRPr="003C1157" w:rsidRDefault="00112B0B" w:rsidP="006272DB">
      <w:pPr>
        <w:spacing w:line="256" w:lineRule="auto"/>
        <w:jc w:val="center"/>
        <w:rPr>
          <w:lang w:val="sr-Cyrl-RS"/>
        </w:rPr>
      </w:pPr>
      <w:r w:rsidRPr="003C1157">
        <w:rPr>
          <w:lang w:val="sr-Cyrl-RS"/>
        </w:rPr>
        <w:fldChar w:fldCharType="begin"/>
      </w:r>
      <w:r w:rsidRPr="003C1157">
        <w:rPr>
          <w:lang w:val="sr-Cyrl-RS"/>
        </w:rPr>
        <w:instrText xml:space="preserve"> LINK Excel.Sheet.12 "C:\\Users\\Admin\\Desktop\\Razni dokumenti\\Za Fiskalnu Strategiju\\new\\Chart in Microsoft Word02.xlsx!prosecne stope RSD![Chart in Microsoft Word02.xlsx]prosecne stope RSDChart 1" "" \a \p \* MERGEFORMAT </w:instrText>
      </w:r>
      <w:r w:rsidRPr="003C1157">
        <w:rPr>
          <w:lang w:val="sr-Cyrl-RS"/>
        </w:rPr>
        <w:fldChar w:fldCharType="separate"/>
      </w:r>
      <w:r w:rsidR="00000000">
        <w:rPr>
          <w:lang w:val="sr-Cyrl-RS"/>
        </w:rPr>
        <w:object w:dxaOrig="6465" w:dyaOrig="5505" w14:anchorId="67C089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9.75pt;height:162pt" o:ole="">
            <v:imagedata r:id="rId199" o:title=""/>
          </v:shape>
        </w:object>
      </w:r>
      <w:r w:rsidRPr="003C1157">
        <w:rPr>
          <w:lang w:val="sr-Cyrl-RS"/>
        </w:rPr>
        <w:fldChar w:fldCharType="end"/>
      </w:r>
    </w:p>
    <w:p w14:paraId="7374A858" w14:textId="77777777" w:rsidR="00112B0B" w:rsidRPr="003C1157" w:rsidRDefault="00112B0B" w:rsidP="00523B7B">
      <w:pPr>
        <w:spacing w:line="256" w:lineRule="auto"/>
        <w:jc w:val="center"/>
        <w:rPr>
          <w:lang w:val="sr-Cyrl-RS"/>
        </w:rPr>
      </w:pPr>
    </w:p>
    <w:p w14:paraId="5D6B2CC8" w14:textId="77777777" w:rsidR="00112B0B" w:rsidRPr="003C1157" w:rsidRDefault="00112B0B" w:rsidP="006272DB">
      <w:pPr>
        <w:spacing w:line="256" w:lineRule="auto"/>
        <w:jc w:val="center"/>
        <w:rPr>
          <w:rFonts w:ascii="Calibri" w:eastAsia="Calibri" w:hAnsi="Calibri" w:cs="Times New Roman"/>
          <w:b/>
          <w:color w:val="002060"/>
          <w:spacing w:val="-2"/>
          <w:lang w:val="sr-Cyrl-RS"/>
        </w:rPr>
      </w:pPr>
      <w:r w:rsidRPr="003C1157">
        <w:rPr>
          <w:rFonts w:ascii="Calibri" w:eastAsia="Calibri" w:hAnsi="Calibri" w:cs="Times New Roman"/>
          <w:b/>
          <w:color w:val="002060"/>
          <w:spacing w:val="-2"/>
          <w:lang w:val="sr-Cyrl-RS"/>
        </w:rPr>
        <w:t>Преглед кретања просечних извршних каматних стопа на евро деноминоване државне хартије од вредности у периоду 2011–31. јул 2023. године</w:t>
      </w:r>
    </w:p>
    <w:p w14:paraId="73A1D563" w14:textId="77777777" w:rsidR="00112B0B" w:rsidRPr="003C1157" w:rsidRDefault="00112B0B" w:rsidP="006272DB">
      <w:pPr>
        <w:spacing w:line="256" w:lineRule="auto"/>
        <w:jc w:val="center"/>
        <w:rPr>
          <w:lang w:val="sr-Cyrl-RS"/>
        </w:rPr>
      </w:pPr>
      <w:r w:rsidRPr="003C1157">
        <w:rPr>
          <w:noProof/>
        </w:rPr>
        <w:drawing>
          <wp:inline distT="0" distB="0" distL="0" distR="0" wp14:anchorId="002AC1D0" wp14:editId="0359E6AE">
            <wp:extent cx="2743200" cy="2419350"/>
            <wp:effectExtent l="0" t="0" r="0" b="0"/>
            <wp:docPr id="67" name="Chart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0"/>
              </a:graphicData>
            </a:graphic>
          </wp:inline>
        </w:drawing>
      </w:r>
    </w:p>
    <w:p w14:paraId="228423EA" w14:textId="77777777" w:rsidR="00112B0B" w:rsidRPr="003C1157" w:rsidRDefault="00112B0B" w:rsidP="006272DB">
      <w:pPr>
        <w:spacing w:line="256" w:lineRule="auto"/>
        <w:jc w:val="center"/>
        <w:rPr>
          <w:rFonts w:ascii="Calibri" w:eastAsia="Calibri" w:hAnsi="Calibri" w:cs="Times New Roman"/>
          <w:b/>
          <w:bCs/>
          <w:color w:val="002060"/>
          <w:spacing w:val="-4"/>
          <w:lang w:val="sr-Cyrl-RS"/>
        </w:rPr>
        <w:sectPr w:rsidR="00112B0B" w:rsidRPr="003C1157" w:rsidSect="006272DB">
          <w:type w:val="continuous"/>
          <w:pgSz w:w="12240" w:h="15840"/>
          <w:pgMar w:top="1440" w:right="1440" w:bottom="1440" w:left="1440" w:header="720" w:footer="720" w:gutter="0"/>
          <w:cols w:num="2" w:space="720"/>
          <w15:footnoteColumns w:val="1"/>
        </w:sectPr>
      </w:pPr>
    </w:p>
    <w:tbl>
      <w:tblPr>
        <w:tblStyle w:val="TableGrid621"/>
        <w:tblW w:w="94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8"/>
        <w:gridCol w:w="4726"/>
      </w:tblGrid>
      <w:tr w:rsidR="00112B0B" w:rsidRPr="003C1157" w14:paraId="33191F99" w14:textId="77777777" w:rsidTr="006272DB">
        <w:trPr>
          <w:trHeight w:val="3044"/>
        </w:trPr>
        <w:tc>
          <w:tcPr>
            <w:tcW w:w="4708" w:type="dxa"/>
            <w:tcMar>
              <w:left w:w="57" w:type="dxa"/>
              <w:right w:w="57" w:type="dxa"/>
            </w:tcMar>
          </w:tcPr>
          <w:p w14:paraId="42627FAE" w14:textId="77777777" w:rsidR="00112B0B" w:rsidRPr="003C1157" w:rsidRDefault="00112B0B" w:rsidP="006272DB">
            <w:pPr>
              <w:spacing w:line="256" w:lineRule="auto"/>
              <w:jc w:val="center"/>
              <w:rPr>
                <w:rFonts w:ascii="Calibri" w:eastAsia="Calibri" w:hAnsi="Calibri" w:cs="Times New Roman"/>
                <w:b/>
                <w:bCs/>
                <w:color w:val="002060"/>
                <w:spacing w:val="-4"/>
                <w:lang w:val="sr-Cyrl-RS"/>
              </w:rPr>
            </w:pPr>
            <w:r w:rsidRPr="003C1157">
              <w:rPr>
                <w:rFonts w:ascii="Calibri" w:eastAsia="Calibri" w:hAnsi="Calibri" w:cs="Times New Roman"/>
                <w:b/>
                <w:bCs/>
                <w:color w:val="002060"/>
                <w:spacing w:val="-4"/>
                <w:lang w:val="sr-Cyrl-RS"/>
              </w:rPr>
              <w:lastRenderedPageBreak/>
              <w:t xml:space="preserve">Преглед кретања цене и приноса на </w:t>
            </w:r>
            <w:r w:rsidRPr="003C1157">
              <w:rPr>
                <w:rFonts w:ascii="Calibri" w:eastAsia="Calibri" w:hAnsi="Calibri" w:cs="Times New Roman"/>
                <w:b/>
                <w:bCs/>
                <w:color w:val="002060"/>
                <w:spacing w:val="-4"/>
                <w:lang w:val="sr-Cyrl-RS"/>
              </w:rPr>
              <w:br w:type="textWrapping" w:clear="all"/>
              <w:t>еврообвезницу Србија (EB 2027 / 3,125%)</w:t>
            </w:r>
          </w:p>
          <w:p w14:paraId="57C90E7A" w14:textId="77777777" w:rsidR="00112B0B" w:rsidRPr="003C1157" w:rsidRDefault="00112B0B" w:rsidP="006272DB">
            <w:pPr>
              <w:jc w:val="center"/>
              <w:rPr>
                <w:color w:val="002060"/>
                <w:lang w:val="sr-Cyrl-RS"/>
              </w:rPr>
            </w:pPr>
            <w:r w:rsidRPr="003C1157">
              <w:rPr>
                <w:noProof/>
                <w:color w:val="002060"/>
              </w:rPr>
              <w:drawing>
                <wp:inline distT="0" distB="0" distL="0" distR="0" wp14:anchorId="2AF3462F" wp14:editId="51D83105">
                  <wp:extent cx="2588612" cy="2293200"/>
                  <wp:effectExtent l="0" t="0" r="254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2588612" cy="2293200"/>
                          </a:xfrm>
                          <a:prstGeom prst="rect">
                            <a:avLst/>
                          </a:prstGeom>
                          <a:noFill/>
                        </pic:spPr>
                      </pic:pic>
                    </a:graphicData>
                  </a:graphic>
                </wp:inline>
              </w:drawing>
            </w:r>
          </w:p>
        </w:tc>
        <w:tc>
          <w:tcPr>
            <w:tcW w:w="4726" w:type="dxa"/>
            <w:tcMar>
              <w:left w:w="57" w:type="dxa"/>
              <w:right w:w="57" w:type="dxa"/>
            </w:tcMar>
          </w:tcPr>
          <w:p w14:paraId="573D371C" w14:textId="77777777" w:rsidR="00112B0B" w:rsidRPr="003C1157" w:rsidRDefault="00112B0B" w:rsidP="006272DB">
            <w:pPr>
              <w:spacing w:line="256" w:lineRule="auto"/>
              <w:jc w:val="center"/>
              <w:rPr>
                <w:rFonts w:ascii="Calibri" w:eastAsia="Calibri" w:hAnsi="Calibri" w:cs="Times New Roman"/>
                <w:b/>
                <w:bCs/>
                <w:color w:val="002060"/>
                <w:spacing w:val="-4"/>
                <w:lang w:val="sr-Cyrl-RS"/>
              </w:rPr>
            </w:pPr>
            <w:r w:rsidRPr="003C1157">
              <w:rPr>
                <w:rFonts w:ascii="Calibri" w:eastAsia="Calibri" w:hAnsi="Calibri" w:cs="Times New Roman"/>
                <w:b/>
                <w:bCs/>
                <w:color w:val="002060"/>
                <w:spacing w:val="-4"/>
                <w:lang w:val="sr-Cyrl-RS"/>
              </w:rPr>
              <w:t xml:space="preserve">Преглед кретања цене и приноса на </w:t>
            </w:r>
            <w:r w:rsidRPr="003C1157">
              <w:rPr>
                <w:rFonts w:ascii="Calibri" w:eastAsia="Calibri" w:hAnsi="Calibri" w:cs="Times New Roman"/>
                <w:b/>
                <w:bCs/>
                <w:color w:val="002060"/>
                <w:spacing w:val="-4"/>
                <w:lang w:val="sr-Cyrl-RS"/>
              </w:rPr>
              <w:br w:type="textWrapping" w:clear="all"/>
              <w:t>еврообвезницу Србија (EB 2028 / 1,000%)</w:t>
            </w:r>
          </w:p>
          <w:p w14:paraId="62781060" w14:textId="77777777" w:rsidR="00112B0B" w:rsidRPr="003C1157" w:rsidRDefault="00112B0B" w:rsidP="006272DB">
            <w:pPr>
              <w:jc w:val="center"/>
              <w:rPr>
                <w:color w:val="002060"/>
                <w:lang w:val="sr-Cyrl-RS"/>
              </w:rPr>
            </w:pPr>
            <w:r w:rsidRPr="003C1157">
              <w:rPr>
                <w:noProof/>
                <w:color w:val="002060"/>
              </w:rPr>
              <w:drawing>
                <wp:inline distT="0" distB="0" distL="0" distR="0" wp14:anchorId="6DDD812D" wp14:editId="65B19EEB">
                  <wp:extent cx="2623661" cy="2293200"/>
                  <wp:effectExtent l="0" t="0" r="571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2623661" cy="2293200"/>
                          </a:xfrm>
                          <a:prstGeom prst="rect">
                            <a:avLst/>
                          </a:prstGeom>
                          <a:noFill/>
                        </pic:spPr>
                      </pic:pic>
                    </a:graphicData>
                  </a:graphic>
                </wp:inline>
              </w:drawing>
            </w:r>
          </w:p>
        </w:tc>
      </w:tr>
      <w:tr w:rsidR="00112B0B" w:rsidRPr="003C1157" w14:paraId="70EEFAD8" w14:textId="77777777" w:rsidTr="006272DB">
        <w:trPr>
          <w:trHeight w:val="4374"/>
        </w:trPr>
        <w:tc>
          <w:tcPr>
            <w:tcW w:w="4708" w:type="dxa"/>
            <w:tcMar>
              <w:left w:w="57" w:type="dxa"/>
              <w:right w:w="57" w:type="dxa"/>
            </w:tcMar>
          </w:tcPr>
          <w:p w14:paraId="65DDF98F" w14:textId="77777777" w:rsidR="00112B0B" w:rsidRPr="003C1157" w:rsidRDefault="00112B0B" w:rsidP="006272DB">
            <w:pPr>
              <w:spacing w:before="60" w:line="257" w:lineRule="auto"/>
              <w:jc w:val="center"/>
              <w:rPr>
                <w:rFonts w:ascii="Calibri" w:eastAsia="Calibri" w:hAnsi="Calibri" w:cs="Times New Roman"/>
                <w:b/>
                <w:bCs/>
                <w:color w:val="002060"/>
                <w:spacing w:val="-4"/>
                <w:lang w:val="sr-Cyrl-RS"/>
              </w:rPr>
            </w:pPr>
            <w:r w:rsidRPr="003C1157">
              <w:rPr>
                <w:rFonts w:ascii="Calibri" w:eastAsia="Calibri" w:hAnsi="Calibri" w:cs="Times New Roman"/>
                <w:b/>
                <w:bCs/>
                <w:color w:val="002060"/>
                <w:spacing w:val="-4"/>
                <w:lang w:val="sr-Cyrl-RS"/>
              </w:rPr>
              <w:t xml:space="preserve">Преглед кретања цене и приноса на </w:t>
            </w:r>
            <w:r w:rsidRPr="003C1157">
              <w:rPr>
                <w:rFonts w:ascii="Calibri" w:eastAsia="Calibri" w:hAnsi="Calibri" w:cs="Times New Roman"/>
                <w:b/>
                <w:bCs/>
                <w:color w:val="002060"/>
                <w:spacing w:val="-4"/>
                <w:lang w:val="sr-Cyrl-RS"/>
              </w:rPr>
              <w:br w:type="textWrapping" w:clear="all"/>
              <w:t>еврообвезницу Србија (EB 2029 / 1,500%)</w:t>
            </w:r>
          </w:p>
          <w:p w14:paraId="0FBBE002" w14:textId="77777777" w:rsidR="00112B0B" w:rsidRPr="003C1157" w:rsidRDefault="00112B0B" w:rsidP="006272DB">
            <w:pPr>
              <w:spacing w:before="60"/>
              <w:jc w:val="center"/>
              <w:rPr>
                <w:color w:val="002060"/>
                <w:lang w:val="sr-Cyrl-RS"/>
              </w:rPr>
            </w:pPr>
            <w:r w:rsidRPr="003C1157">
              <w:rPr>
                <w:noProof/>
                <w:color w:val="002060"/>
              </w:rPr>
              <w:drawing>
                <wp:inline distT="0" distB="0" distL="0" distR="0" wp14:anchorId="6A2A9C13" wp14:editId="7FB264A8">
                  <wp:extent cx="2588400" cy="2305845"/>
                  <wp:effectExtent l="0" t="0" r="254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2588400" cy="2305845"/>
                          </a:xfrm>
                          <a:prstGeom prst="rect">
                            <a:avLst/>
                          </a:prstGeom>
                          <a:noFill/>
                        </pic:spPr>
                      </pic:pic>
                    </a:graphicData>
                  </a:graphic>
                </wp:inline>
              </w:drawing>
            </w:r>
          </w:p>
        </w:tc>
        <w:tc>
          <w:tcPr>
            <w:tcW w:w="4726" w:type="dxa"/>
            <w:tcMar>
              <w:left w:w="57" w:type="dxa"/>
              <w:right w:w="57" w:type="dxa"/>
            </w:tcMar>
          </w:tcPr>
          <w:p w14:paraId="358D6646" w14:textId="77777777" w:rsidR="00112B0B" w:rsidRPr="003C1157" w:rsidRDefault="00112B0B" w:rsidP="006272DB">
            <w:pPr>
              <w:spacing w:before="60" w:line="257" w:lineRule="auto"/>
              <w:jc w:val="center"/>
              <w:rPr>
                <w:rFonts w:ascii="Calibri" w:eastAsia="Calibri" w:hAnsi="Calibri" w:cs="Times New Roman"/>
                <w:b/>
                <w:bCs/>
                <w:color w:val="002060"/>
                <w:spacing w:val="-4"/>
                <w:lang w:val="sr-Cyrl-RS"/>
              </w:rPr>
            </w:pPr>
            <w:r w:rsidRPr="003C1157">
              <w:rPr>
                <w:rFonts w:ascii="Calibri" w:eastAsia="Calibri" w:hAnsi="Calibri" w:cs="Times New Roman"/>
                <w:b/>
                <w:bCs/>
                <w:color w:val="002060"/>
                <w:spacing w:val="-4"/>
                <w:lang w:val="sr-Cyrl-RS"/>
              </w:rPr>
              <w:t xml:space="preserve">Преглед кретања цене и приноса на </w:t>
            </w:r>
            <w:r w:rsidRPr="003C1157">
              <w:rPr>
                <w:rFonts w:ascii="Calibri" w:eastAsia="Calibri" w:hAnsi="Calibri" w:cs="Times New Roman"/>
                <w:b/>
                <w:bCs/>
                <w:color w:val="002060"/>
                <w:spacing w:val="-4"/>
                <w:lang w:val="sr-Cyrl-RS"/>
              </w:rPr>
              <w:br w:type="textWrapping" w:clear="all"/>
              <w:t>еврообвезницу Србија (EB 2033 / 1,650%)</w:t>
            </w:r>
          </w:p>
          <w:p w14:paraId="0C995217" w14:textId="77777777" w:rsidR="00112B0B" w:rsidRPr="003C1157" w:rsidRDefault="00112B0B" w:rsidP="006272DB">
            <w:pPr>
              <w:spacing w:before="60" w:after="60"/>
              <w:jc w:val="center"/>
              <w:rPr>
                <w:color w:val="002060"/>
                <w:lang w:val="sr-Cyrl-RS"/>
              </w:rPr>
            </w:pPr>
            <w:r w:rsidRPr="003C1157">
              <w:rPr>
                <w:noProof/>
                <w:color w:val="002060"/>
              </w:rPr>
              <w:drawing>
                <wp:inline distT="0" distB="0" distL="0" distR="0" wp14:anchorId="79CC867A" wp14:editId="364FE37E">
                  <wp:extent cx="2624400" cy="2307054"/>
                  <wp:effectExtent l="0" t="0" r="508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2624400" cy="2307054"/>
                          </a:xfrm>
                          <a:prstGeom prst="rect">
                            <a:avLst/>
                          </a:prstGeom>
                          <a:noFill/>
                        </pic:spPr>
                      </pic:pic>
                    </a:graphicData>
                  </a:graphic>
                </wp:inline>
              </w:drawing>
            </w:r>
          </w:p>
        </w:tc>
      </w:tr>
      <w:tr w:rsidR="00112B0B" w:rsidRPr="003C1157" w14:paraId="107B24A6" w14:textId="77777777" w:rsidTr="006272DB">
        <w:trPr>
          <w:trHeight w:val="3944"/>
        </w:trPr>
        <w:tc>
          <w:tcPr>
            <w:tcW w:w="4708" w:type="dxa"/>
            <w:tcMar>
              <w:left w:w="57" w:type="dxa"/>
              <w:right w:w="57" w:type="dxa"/>
            </w:tcMar>
          </w:tcPr>
          <w:p w14:paraId="1B1A1D0B" w14:textId="77777777" w:rsidR="00112B0B" w:rsidRPr="003C1157" w:rsidRDefault="00112B0B" w:rsidP="006272DB">
            <w:pPr>
              <w:spacing w:before="60" w:line="257" w:lineRule="auto"/>
              <w:jc w:val="center"/>
              <w:rPr>
                <w:rFonts w:ascii="Calibri" w:eastAsia="Calibri" w:hAnsi="Calibri" w:cs="Times New Roman"/>
                <w:b/>
                <w:bCs/>
                <w:color w:val="002060"/>
                <w:spacing w:val="-4"/>
                <w:lang w:val="sr-Cyrl-RS"/>
              </w:rPr>
            </w:pPr>
            <w:r w:rsidRPr="003C1157">
              <w:rPr>
                <w:rFonts w:ascii="Calibri" w:eastAsia="Calibri" w:hAnsi="Calibri" w:cs="Times New Roman"/>
                <w:b/>
                <w:bCs/>
                <w:color w:val="002060"/>
                <w:spacing w:val="-4"/>
                <w:lang w:val="sr-Cyrl-RS"/>
              </w:rPr>
              <w:t xml:space="preserve">Преглед кретања цене и приноса на </w:t>
            </w:r>
            <w:r w:rsidRPr="003C1157">
              <w:rPr>
                <w:rFonts w:ascii="Calibri" w:eastAsia="Calibri" w:hAnsi="Calibri" w:cs="Times New Roman"/>
                <w:b/>
                <w:bCs/>
                <w:color w:val="002060"/>
                <w:spacing w:val="-4"/>
                <w:lang w:val="sr-Cyrl-RS"/>
              </w:rPr>
              <w:br w:type="textWrapping" w:clear="all"/>
              <w:t xml:space="preserve">еврообвезницу </w:t>
            </w:r>
            <w:r w:rsidRPr="00AE005A">
              <w:rPr>
                <w:rFonts w:ascii="Calibri" w:eastAsia="Calibri" w:hAnsi="Calibri" w:cs="Times New Roman"/>
                <w:b/>
                <w:bCs/>
                <w:color w:val="002060"/>
                <w:spacing w:val="-4"/>
                <w:lang w:val="sr-Cyrl-RS"/>
              </w:rPr>
              <w:t>Србија</w:t>
            </w:r>
            <w:r w:rsidRPr="003C1157">
              <w:rPr>
                <w:rFonts w:ascii="Calibri" w:eastAsia="Calibri" w:hAnsi="Calibri" w:cs="Times New Roman"/>
                <w:b/>
                <w:bCs/>
                <w:color w:val="002060"/>
                <w:spacing w:val="-4"/>
                <w:lang w:val="sr-Cyrl-RS"/>
              </w:rPr>
              <w:t xml:space="preserve"> (EB 2036 / 2,050%)</w:t>
            </w:r>
          </w:p>
          <w:p w14:paraId="53D8EA1D" w14:textId="77777777" w:rsidR="00112B0B" w:rsidRPr="003C1157" w:rsidRDefault="00112B0B" w:rsidP="006272DB">
            <w:pPr>
              <w:jc w:val="center"/>
              <w:rPr>
                <w:color w:val="002060"/>
                <w:lang w:val="sr-Cyrl-RS"/>
              </w:rPr>
            </w:pPr>
            <w:r w:rsidRPr="003C1157">
              <w:rPr>
                <w:noProof/>
                <w:color w:val="002060"/>
              </w:rPr>
              <w:drawing>
                <wp:inline distT="0" distB="0" distL="0" distR="0" wp14:anchorId="31D72547" wp14:editId="25BDD9BB">
                  <wp:extent cx="2592000" cy="2291768"/>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2592000" cy="2291768"/>
                          </a:xfrm>
                          <a:prstGeom prst="rect">
                            <a:avLst/>
                          </a:prstGeom>
                          <a:noFill/>
                        </pic:spPr>
                      </pic:pic>
                    </a:graphicData>
                  </a:graphic>
                </wp:inline>
              </w:drawing>
            </w:r>
          </w:p>
        </w:tc>
        <w:tc>
          <w:tcPr>
            <w:tcW w:w="4726" w:type="dxa"/>
            <w:tcMar>
              <w:left w:w="57" w:type="dxa"/>
              <w:right w:w="57" w:type="dxa"/>
            </w:tcMar>
          </w:tcPr>
          <w:p w14:paraId="439A4070" w14:textId="77777777" w:rsidR="00112B0B" w:rsidRPr="003C1157" w:rsidRDefault="00112B0B" w:rsidP="006272DB">
            <w:pPr>
              <w:spacing w:before="60" w:line="257" w:lineRule="auto"/>
              <w:jc w:val="center"/>
              <w:rPr>
                <w:rFonts w:ascii="Calibri" w:eastAsia="Calibri" w:hAnsi="Calibri" w:cs="Times New Roman"/>
                <w:b/>
                <w:bCs/>
                <w:color w:val="002060"/>
                <w:spacing w:val="-4"/>
                <w:lang w:val="sr-Cyrl-RS"/>
              </w:rPr>
            </w:pPr>
            <w:r w:rsidRPr="003C1157">
              <w:rPr>
                <w:rFonts w:ascii="Calibri" w:eastAsia="Calibri" w:hAnsi="Calibri" w:cs="Times New Roman"/>
                <w:b/>
                <w:bCs/>
                <w:color w:val="002060"/>
                <w:spacing w:val="-4"/>
                <w:lang w:val="sr-Cyrl-RS"/>
              </w:rPr>
              <w:t xml:space="preserve">Преглед кретања цене и приноса на </w:t>
            </w:r>
            <w:r w:rsidRPr="003C1157">
              <w:rPr>
                <w:rFonts w:ascii="Calibri" w:eastAsia="Calibri" w:hAnsi="Calibri" w:cs="Times New Roman"/>
                <w:b/>
                <w:bCs/>
                <w:color w:val="002060"/>
                <w:spacing w:val="-4"/>
                <w:lang w:val="sr-Cyrl-RS"/>
              </w:rPr>
              <w:br w:type="textWrapping" w:clear="all"/>
              <w:t>еврообвезницу Србија (EB 2028 / 6,250%)</w:t>
            </w:r>
          </w:p>
          <w:p w14:paraId="0FA6E3BB" w14:textId="77777777" w:rsidR="00112B0B" w:rsidRPr="003C1157" w:rsidRDefault="00112B0B" w:rsidP="006272DB">
            <w:pPr>
              <w:spacing w:before="60"/>
              <w:jc w:val="center"/>
              <w:rPr>
                <w:color w:val="002060"/>
                <w:lang w:val="sr-Cyrl-RS" w:eastAsia="en-GB"/>
              </w:rPr>
            </w:pPr>
            <w:r w:rsidRPr="003C1157">
              <w:rPr>
                <w:noProof/>
                <w:color w:val="002060"/>
              </w:rPr>
              <w:drawing>
                <wp:inline distT="0" distB="0" distL="0" distR="0" wp14:anchorId="7F56929A" wp14:editId="37431C93">
                  <wp:extent cx="2592000" cy="2265527"/>
                  <wp:effectExtent l="0" t="0" r="0" b="190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2592000" cy="2265527"/>
                          </a:xfrm>
                          <a:prstGeom prst="rect">
                            <a:avLst/>
                          </a:prstGeom>
                          <a:noFill/>
                        </pic:spPr>
                      </pic:pic>
                    </a:graphicData>
                  </a:graphic>
                </wp:inline>
              </w:drawing>
            </w:r>
          </w:p>
        </w:tc>
      </w:tr>
    </w:tbl>
    <w:tbl>
      <w:tblPr>
        <w:tblStyle w:val="TableGrid621"/>
        <w:tblpPr w:leftFromText="181" w:rightFromText="181" w:vertAnchor="text" w:tblpY="1"/>
        <w:tblW w:w="94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8"/>
        <w:gridCol w:w="4726"/>
      </w:tblGrid>
      <w:tr w:rsidR="00112B0B" w:rsidRPr="003C1157" w14:paraId="409BD9E7" w14:textId="77777777" w:rsidTr="006272DB">
        <w:trPr>
          <w:trHeight w:val="3044"/>
        </w:trPr>
        <w:tc>
          <w:tcPr>
            <w:tcW w:w="4708" w:type="dxa"/>
            <w:tcMar>
              <w:left w:w="57" w:type="dxa"/>
              <w:right w:w="57" w:type="dxa"/>
            </w:tcMar>
          </w:tcPr>
          <w:p w14:paraId="5F39B21E" w14:textId="77777777" w:rsidR="00112B0B" w:rsidRPr="003C1157" w:rsidRDefault="00112B0B" w:rsidP="006272DB">
            <w:pPr>
              <w:spacing w:line="256" w:lineRule="auto"/>
              <w:jc w:val="center"/>
              <w:rPr>
                <w:rFonts w:ascii="Calibri" w:eastAsia="Calibri" w:hAnsi="Calibri" w:cs="Times New Roman"/>
                <w:b/>
                <w:bCs/>
                <w:color w:val="002060"/>
                <w:spacing w:val="-4"/>
                <w:lang w:val="sr-Cyrl-RS"/>
              </w:rPr>
            </w:pPr>
            <w:r w:rsidRPr="003C1157">
              <w:rPr>
                <w:rFonts w:ascii="Calibri" w:eastAsia="Calibri" w:hAnsi="Calibri" w:cs="Times New Roman"/>
                <w:b/>
                <w:bCs/>
                <w:color w:val="002060"/>
                <w:spacing w:val="-4"/>
                <w:lang w:val="sr-Cyrl-RS"/>
              </w:rPr>
              <w:lastRenderedPageBreak/>
              <w:t xml:space="preserve">Преглед кретања цене и приноса на </w:t>
            </w:r>
            <w:r w:rsidRPr="003C1157">
              <w:rPr>
                <w:rFonts w:ascii="Calibri" w:eastAsia="Calibri" w:hAnsi="Calibri" w:cs="Times New Roman"/>
                <w:b/>
                <w:bCs/>
                <w:color w:val="002060"/>
                <w:spacing w:val="-4"/>
                <w:lang w:val="sr-Cyrl-RS"/>
              </w:rPr>
              <w:br w:type="textWrapping" w:clear="all"/>
              <w:t>еврообвезницу Србија (EB 2030 / 2,125%)</w:t>
            </w:r>
          </w:p>
          <w:p w14:paraId="4373237B" w14:textId="77777777" w:rsidR="00112B0B" w:rsidRPr="003C1157" w:rsidRDefault="00112B0B" w:rsidP="006272DB">
            <w:pPr>
              <w:jc w:val="center"/>
              <w:rPr>
                <w:color w:val="002060"/>
                <w:lang w:val="sr-Cyrl-RS"/>
              </w:rPr>
            </w:pPr>
            <w:r w:rsidRPr="003C1157">
              <w:rPr>
                <w:noProof/>
                <w:color w:val="002060"/>
              </w:rPr>
              <w:drawing>
                <wp:inline distT="0" distB="0" distL="0" distR="0" wp14:anchorId="24AC0C58" wp14:editId="776256BE">
                  <wp:extent cx="2592000" cy="2314106"/>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2592000" cy="2314106"/>
                          </a:xfrm>
                          <a:prstGeom prst="rect">
                            <a:avLst/>
                          </a:prstGeom>
                          <a:noFill/>
                        </pic:spPr>
                      </pic:pic>
                    </a:graphicData>
                  </a:graphic>
                </wp:inline>
              </w:drawing>
            </w:r>
          </w:p>
        </w:tc>
        <w:tc>
          <w:tcPr>
            <w:tcW w:w="4726" w:type="dxa"/>
            <w:tcMar>
              <w:left w:w="57" w:type="dxa"/>
              <w:right w:w="57" w:type="dxa"/>
            </w:tcMar>
          </w:tcPr>
          <w:p w14:paraId="332505D1" w14:textId="77777777" w:rsidR="00112B0B" w:rsidRPr="003C1157" w:rsidRDefault="00112B0B" w:rsidP="006272DB">
            <w:pPr>
              <w:spacing w:line="256" w:lineRule="auto"/>
              <w:jc w:val="center"/>
              <w:rPr>
                <w:rFonts w:ascii="Calibri" w:eastAsia="Calibri" w:hAnsi="Calibri" w:cs="Times New Roman"/>
                <w:b/>
                <w:bCs/>
                <w:color w:val="002060"/>
                <w:spacing w:val="-4"/>
                <w:lang w:val="sr-Cyrl-RS"/>
              </w:rPr>
            </w:pPr>
            <w:r w:rsidRPr="003C1157">
              <w:rPr>
                <w:rFonts w:ascii="Calibri" w:eastAsia="Calibri" w:hAnsi="Calibri" w:cs="Times New Roman"/>
                <w:b/>
                <w:bCs/>
                <w:color w:val="002060"/>
                <w:spacing w:val="-4"/>
                <w:lang w:val="sr-Cyrl-RS"/>
              </w:rPr>
              <w:t xml:space="preserve">Преглед кретања цене и приноса на </w:t>
            </w:r>
            <w:r w:rsidRPr="003C1157">
              <w:rPr>
                <w:rFonts w:ascii="Calibri" w:eastAsia="Calibri" w:hAnsi="Calibri" w:cs="Times New Roman"/>
                <w:b/>
                <w:bCs/>
                <w:color w:val="002060"/>
                <w:spacing w:val="-4"/>
                <w:lang w:val="sr-Cyrl-RS"/>
              </w:rPr>
              <w:br w:type="textWrapping" w:clear="all"/>
              <w:t>еврообвезницу Србија (EB 2033 / 6,500%)</w:t>
            </w:r>
          </w:p>
          <w:p w14:paraId="2E5CFE7D" w14:textId="77777777" w:rsidR="00112B0B" w:rsidRPr="003C1157" w:rsidRDefault="00112B0B" w:rsidP="006272DB">
            <w:pPr>
              <w:jc w:val="center"/>
              <w:rPr>
                <w:color w:val="002060"/>
                <w:lang w:val="sr-Cyrl-RS"/>
              </w:rPr>
            </w:pPr>
            <w:r w:rsidRPr="003C1157">
              <w:rPr>
                <w:noProof/>
                <w:color w:val="002060"/>
              </w:rPr>
              <w:drawing>
                <wp:inline distT="0" distB="0" distL="0" distR="0" wp14:anchorId="12A6C1DE" wp14:editId="22682B74">
                  <wp:extent cx="2592000" cy="2282954"/>
                  <wp:effectExtent l="0" t="0" r="0" b="317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2592000" cy="2282954"/>
                          </a:xfrm>
                          <a:prstGeom prst="rect">
                            <a:avLst/>
                          </a:prstGeom>
                          <a:noFill/>
                        </pic:spPr>
                      </pic:pic>
                    </a:graphicData>
                  </a:graphic>
                </wp:inline>
              </w:drawing>
            </w:r>
          </w:p>
        </w:tc>
      </w:tr>
    </w:tbl>
    <w:p w14:paraId="36033A40" w14:textId="77777777" w:rsidR="00112B0B" w:rsidRPr="003C1157" w:rsidRDefault="00112B0B" w:rsidP="006272DB">
      <w:pPr>
        <w:spacing w:after="0"/>
        <w:rPr>
          <w:lang w:val="sr-Cyrl-RS"/>
        </w:rPr>
      </w:pPr>
    </w:p>
    <w:p w14:paraId="34DE8018" w14:textId="77777777" w:rsidR="00112B0B" w:rsidRPr="003C1157" w:rsidRDefault="00112B0B" w:rsidP="00C91F83">
      <w:pPr>
        <w:spacing w:line="256" w:lineRule="auto"/>
        <w:jc w:val="center"/>
        <w:rPr>
          <w:rFonts w:ascii="Calibri" w:eastAsia="Calibri" w:hAnsi="Calibri" w:cs="Times New Roman"/>
          <w:b/>
          <w:color w:val="002060"/>
          <w:lang w:val="sr-Cyrl-RS"/>
        </w:rPr>
      </w:pPr>
      <w:r w:rsidRPr="003C1157">
        <w:rPr>
          <w:rFonts w:ascii="Calibri" w:eastAsia="Calibri" w:hAnsi="Calibri" w:cs="Times New Roman"/>
          <w:b/>
          <w:color w:val="002060"/>
          <w:lang w:val="sr-Cyrl-RS"/>
        </w:rPr>
        <w:t>Табела 23. Пројекције отплате камата и главница до 2026. године</w:t>
      </w:r>
      <w:r w:rsidRPr="003C1157">
        <w:rPr>
          <w:rFonts w:ascii="Calibri" w:eastAsia="Calibri" w:hAnsi="Calibri" w:cs="Times New Roman"/>
          <w:color w:val="002060"/>
          <w:lang w:val="sr-Cyrl-RS"/>
        </w:rPr>
        <w:t xml:space="preserve"> </w:t>
      </w:r>
      <w:r w:rsidRPr="003C1157">
        <w:rPr>
          <w:rFonts w:ascii="Calibri" w:eastAsia="Calibri" w:hAnsi="Calibri" w:cs="Times New Roman"/>
          <w:b/>
          <w:color w:val="002060"/>
          <w:lang w:val="sr-Cyrl-RS"/>
        </w:rPr>
        <w:t>(млрд динара)</w:t>
      </w:r>
    </w:p>
    <w:tbl>
      <w:tblPr>
        <w:tblStyle w:val="LightShading-Accent1222"/>
        <w:tblW w:w="5000" w:type="pct"/>
        <w:tblInd w:w="0" w:type="dxa"/>
        <w:tblLook w:val="0420" w:firstRow="1" w:lastRow="0" w:firstColumn="0" w:lastColumn="0" w:noHBand="0" w:noVBand="1"/>
      </w:tblPr>
      <w:tblGrid>
        <w:gridCol w:w="4937"/>
        <w:gridCol w:w="1105"/>
        <w:gridCol w:w="1106"/>
        <w:gridCol w:w="1106"/>
        <w:gridCol w:w="1106"/>
      </w:tblGrid>
      <w:tr w:rsidR="00112B0B" w:rsidRPr="003C1157" w14:paraId="53C57F50" w14:textId="77777777" w:rsidTr="00C91F83">
        <w:trPr>
          <w:cnfStyle w:val="100000000000" w:firstRow="1" w:lastRow="0" w:firstColumn="0" w:lastColumn="0" w:oddVBand="0" w:evenVBand="0" w:oddHBand="0" w:evenHBand="0" w:firstRowFirstColumn="0" w:firstRowLastColumn="0" w:lastRowFirstColumn="0" w:lastRowLastColumn="0"/>
          <w:trHeight w:val="226"/>
        </w:trPr>
        <w:tc>
          <w:tcPr>
            <w:tcW w:w="2637" w:type="pct"/>
            <w:tcBorders>
              <w:top w:val="single" w:sz="4" w:space="0" w:color="002060"/>
              <w:bottom w:val="single" w:sz="4" w:space="0" w:color="FFFFFF" w:themeColor="background1"/>
            </w:tcBorders>
            <w:noWrap/>
            <w:hideMark/>
          </w:tcPr>
          <w:p w14:paraId="56E4E033" w14:textId="77777777" w:rsidR="00112B0B" w:rsidRPr="003C1157" w:rsidRDefault="00112B0B" w:rsidP="00523B7B">
            <w:pPr>
              <w:rPr>
                <w:rFonts w:ascii="Calibri" w:eastAsia="Times New Roman" w:hAnsi="Calibri" w:cs="Calibri"/>
                <w:color w:val="002060"/>
                <w:sz w:val="18"/>
                <w:szCs w:val="18"/>
                <w:lang w:val="sr-Cyrl-RS" w:eastAsia="ja-JP"/>
              </w:rPr>
            </w:pPr>
            <w:r w:rsidRPr="003C1157">
              <w:rPr>
                <w:rFonts w:ascii="Calibri" w:eastAsia="Times New Roman" w:hAnsi="Calibri" w:cs="Calibri"/>
                <w:color w:val="002060"/>
                <w:sz w:val="18"/>
                <w:szCs w:val="18"/>
                <w:lang w:val="sr-Cyrl-RS" w:eastAsia="ja-JP"/>
              </w:rPr>
              <w:t> </w:t>
            </w:r>
          </w:p>
        </w:tc>
        <w:tc>
          <w:tcPr>
            <w:tcW w:w="590" w:type="pct"/>
            <w:tcBorders>
              <w:top w:val="single" w:sz="4" w:space="0" w:color="002060"/>
              <w:bottom w:val="single" w:sz="4" w:space="0" w:color="002060"/>
            </w:tcBorders>
            <w:noWrap/>
            <w:hideMark/>
          </w:tcPr>
          <w:p w14:paraId="2579E94F" w14:textId="77777777" w:rsidR="00112B0B" w:rsidRPr="003C1157" w:rsidRDefault="00112B0B" w:rsidP="00523B7B">
            <w:pPr>
              <w:jc w:val="right"/>
              <w:rPr>
                <w:rFonts w:ascii="Calibri" w:hAnsi="Calibri" w:cs="Calibri"/>
                <w:color w:val="002060"/>
                <w:sz w:val="18"/>
                <w:szCs w:val="18"/>
                <w:lang w:val="sr-Cyrl-RS"/>
              </w:rPr>
            </w:pPr>
            <w:r w:rsidRPr="003C1157">
              <w:rPr>
                <w:rFonts w:ascii="Calibri" w:hAnsi="Calibri" w:cs="Calibri"/>
                <w:color w:val="002060"/>
                <w:sz w:val="18"/>
                <w:szCs w:val="18"/>
                <w:lang w:val="sr-Cyrl-RS"/>
              </w:rPr>
              <w:t>2023 п</w:t>
            </w:r>
          </w:p>
        </w:tc>
        <w:tc>
          <w:tcPr>
            <w:tcW w:w="591" w:type="pct"/>
            <w:tcBorders>
              <w:top w:val="single" w:sz="4" w:space="0" w:color="002060"/>
              <w:bottom w:val="single" w:sz="4" w:space="0" w:color="002060"/>
            </w:tcBorders>
            <w:noWrap/>
            <w:hideMark/>
          </w:tcPr>
          <w:p w14:paraId="50F83AF0" w14:textId="77777777" w:rsidR="00112B0B" w:rsidRPr="003C1157" w:rsidRDefault="00112B0B" w:rsidP="00523B7B">
            <w:pPr>
              <w:jc w:val="right"/>
              <w:rPr>
                <w:rFonts w:ascii="Calibri" w:hAnsi="Calibri" w:cs="Calibri"/>
                <w:color w:val="002060"/>
                <w:sz w:val="18"/>
                <w:szCs w:val="18"/>
                <w:lang w:val="sr-Cyrl-RS"/>
              </w:rPr>
            </w:pPr>
            <w:r w:rsidRPr="003C1157">
              <w:rPr>
                <w:rFonts w:ascii="Calibri" w:hAnsi="Calibri" w:cs="Calibri"/>
                <w:color w:val="002060"/>
                <w:sz w:val="18"/>
                <w:szCs w:val="18"/>
                <w:lang w:val="sr-Cyrl-RS"/>
              </w:rPr>
              <w:t>2024 п</w:t>
            </w:r>
          </w:p>
        </w:tc>
        <w:tc>
          <w:tcPr>
            <w:tcW w:w="591" w:type="pct"/>
            <w:tcBorders>
              <w:top w:val="single" w:sz="4" w:space="0" w:color="002060"/>
              <w:bottom w:val="single" w:sz="4" w:space="0" w:color="002060"/>
            </w:tcBorders>
            <w:noWrap/>
            <w:hideMark/>
          </w:tcPr>
          <w:p w14:paraId="5DF9EEB7" w14:textId="77777777" w:rsidR="00112B0B" w:rsidRPr="003C1157" w:rsidRDefault="00112B0B" w:rsidP="00523B7B">
            <w:pPr>
              <w:jc w:val="right"/>
              <w:rPr>
                <w:rFonts w:ascii="Calibri" w:hAnsi="Calibri" w:cs="Calibri"/>
                <w:color w:val="002060"/>
                <w:sz w:val="18"/>
                <w:szCs w:val="18"/>
                <w:lang w:val="sr-Cyrl-RS"/>
              </w:rPr>
            </w:pPr>
            <w:r w:rsidRPr="003C1157">
              <w:rPr>
                <w:rFonts w:ascii="Calibri" w:hAnsi="Calibri" w:cs="Calibri"/>
                <w:color w:val="002060"/>
                <w:sz w:val="18"/>
                <w:szCs w:val="18"/>
                <w:lang w:val="sr-Cyrl-RS"/>
              </w:rPr>
              <w:t>2025 п</w:t>
            </w:r>
          </w:p>
        </w:tc>
        <w:tc>
          <w:tcPr>
            <w:tcW w:w="591" w:type="pct"/>
            <w:tcBorders>
              <w:top w:val="single" w:sz="4" w:space="0" w:color="002060"/>
              <w:bottom w:val="single" w:sz="4" w:space="0" w:color="002060"/>
            </w:tcBorders>
            <w:noWrap/>
            <w:hideMark/>
          </w:tcPr>
          <w:p w14:paraId="5847C10A" w14:textId="77777777" w:rsidR="00112B0B" w:rsidRPr="003C1157" w:rsidRDefault="00112B0B" w:rsidP="00523B7B">
            <w:pPr>
              <w:jc w:val="right"/>
              <w:rPr>
                <w:rFonts w:ascii="Calibri" w:hAnsi="Calibri" w:cs="Calibri"/>
                <w:color w:val="002060"/>
                <w:sz w:val="18"/>
                <w:szCs w:val="18"/>
                <w:lang w:val="sr-Cyrl-RS"/>
              </w:rPr>
            </w:pPr>
            <w:r w:rsidRPr="003C1157">
              <w:rPr>
                <w:rFonts w:ascii="Calibri" w:hAnsi="Calibri" w:cs="Calibri"/>
                <w:color w:val="002060"/>
                <w:sz w:val="18"/>
                <w:szCs w:val="18"/>
                <w:lang w:val="sr-Cyrl-RS"/>
              </w:rPr>
              <w:t>2026 п</w:t>
            </w:r>
          </w:p>
        </w:tc>
      </w:tr>
      <w:tr w:rsidR="00112B0B" w:rsidRPr="003C1157" w14:paraId="5B585011" w14:textId="77777777" w:rsidTr="00C91F83">
        <w:trPr>
          <w:cnfStyle w:val="000000100000" w:firstRow="0" w:lastRow="0" w:firstColumn="0" w:lastColumn="0" w:oddVBand="0" w:evenVBand="0" w:oddHBand="1" w:evenHBand="0" w:firstRowFirstColumn="0" w:firstRowLastColumn="0" w:lastRowFirstColumn="0" w:lastRowLastColumn="0"/>
          <w:trHeight w:val="226"/>
        </w:trPr>
        <w:tc>
          <w:tcPr>
            <w:tcW w:w="2637" w:type="pct"/>
            <w:tcBorders>
              <w:top w:val="single" w:sz="4" w:space="0" w:color="FFFFFF" w:themeColor="background1"/>
              <w:bottom w:val="nil"/>
            </w:tcBorders>
            <w:shd w:val="clear" w:color="auto" w:fill="E7E6E6" w:themeFill="background2"/>
            <w:noWrap/>
            <w:hideMark/>
          </w:tcPr>
          <w:p w14:paraId="5AB2025E"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bCs/>
                <w:color w:val="002060"/>
                <w:sz w:val="18"/>
                <w:szCs w:val="18"/>
                <w:lang w:val="sr-Cyrl-RS"/>
              </w:rPr>
              <w:t>Главница*</w:t>
            </w:r>
          </w:p>
        </w:tc>
        <w:tc>
          <w:tcPr>
            <w:tcW w:w="590" w:type="pct"/>
            <w:tcBorders>
              <w:top w:val="single" w:sz="4" w:space="0" w:color="002060"/>
              <w:bottom w:val="nil"/>
            </w:tcBorders>
            <w:shd w:val="clear" w:color="auto" w:fill="E7E6E6" w:themeFill="background2"/>
            <w:noWrap/>
            <w:hideMark/>
          </w:tcPr>
          <w:p w14:paraId="7A11B5F9"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669,0</w:t>
            </w:r>
          </w:p>
        </w:tc>
        <w:tc>
          <w:tcPr>
            <w:tcW w:w="591" w:type="pct"/>
            <w:tcBorders>
              <w:top w:val="single" w:sz="4" w:space="0" w:color="002060"/>
              <w:bottom w:val="nil"/>
            </w:tcBorders>
            <w:shd w:val="clear" w:color="auto" w:fill="E7E6E6" w:themeFill="background2"/>
            <w:noWrap/>
            <w:hideMark/>
          </w:tcPr>
          <w:p w14:paraId="147F0BE5"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676,5</w:t>
            </w:r>
          </w:p>
        </w:tc>
        <w:tc>
          <w:tcPr>
            <w:tcW w:w="591" w:type="pct"/>
            <w:tcBorders>
              <w:top w:val="single" w:sz="4" w:space="0" w:color="002060"/>
              <w:bottom w:val="nil"/>
            </w:tcBorders>
            <w:shd w:val="clear" w:color="auto" w:fill="E7E6E6" w:themeFill="background2"/>
            <w:noWrap/>
            <w:hideMark/>
          </w:tcPr>
          <w:p w14:paraId="68F7FC2C"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565,0</w:t>
            </w:r>
          </w:p>
        </w:tc>
        <w:tc>
          <w:tcPr>
            <w:tcW w:w="591" w:type="pct"/>
            <w:tcBorders>
              <w:top w:val="single" w:sz="4" w:space="0" w:color="002060"/>
              <w:bottom w:val="nil"/>
            </w:tcBorders>
            <w:shd w:val="clear" w:color="auto" w:fill="E7E6E6" w:themeFill="background2"/>
            <w:noWrap/>
            <w:hideMark/>
          </w:tcPr>
          <w:p w14:paraId="0C9215BB"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632,0</w:t>
            </w:r>
          </w:p>
        </w:tc>
      </w:tr>
      <w:tr w:rsidR="00112B0B" w:rsidRPr="003C1157" w14:paraId="2C469730" w14:textId="77777777" w:rsidTr="00C91F83">
        <w:trPr>
          <w:trHeight w:val="226"/>
        </w:trPr>
        <w:tc>
          <w:tcPr>
            <w:tcW w:w="2637" w:type="pct"/>
            <w:tcBorders>
              <w:top w:val="nil"/>
              <w:left w:val="nil"/>
              <w:bottom w:val="nil"/>
              <w:right w:val="nil"/>
            </w:tcBorders>
            <w:noWrap/>
            <w:hideMark/>
          </w:tcPr>
          <w:p w14:paraId="660491A9" w14:textId="77777777" w:rsidR="00112B0B" w:rsidRPr="003C1157" w:rsidRDefault="00112B0B" w:rsidP="006272DB">
            <w:pPr>
              <w:spacing w:line="240" w:lineRule="auto"/>
              <w:rPr>
                <w:rFonts w:ascii="Calibri" w:hAnsi="Calibri" w:cs="Calibri"/>
                <w:bCs/>
                <w:color w:val="002060"/>
                <w:sz w:val="18"/>
                <w:szCs w:val="18"/>
                <w:lang w:val="sr-Cyrl-RS"/>
              </w:rPr>
            </w:pPr>
            <w:r w:rsidRPr="003C1157">
              <w:rPr>
                <w:rFonts w:ascii="Calibri" w:hAnsi="Calibri" w:cs="Calibri"/>
                <w:bCs/>
                <w:color w:val="002060"/>
                <w:sz w:val="18"/>
                <w:szCs w:val="18"/>
                <w:lang w:val="sr-Cyrl-RS"/>
              </w:rPr>
              <w:t>Камата</w:t>
            </w:r>
          </w:p>
        </w:tc>
        <w:tc>
          <w:tcPr>
            <w:tcW w:w="590" w:type="pct"/>
            <w:tcBorders>
              <w:top w:val="nil"/>
              <w:left w:val="nil"/>
              <w:bottom w:val="nil"/>
              <w:right w:val="nil"/>
            </w:tcBorders>
            <w:noWrap/>
            <w:hideMark/>
          </w:tcPr>
          <w:p w14:paraId="5854F967"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148,6</w:t>
            </w:r>
          </w:p>
        </w:tc>
        <w:tc>
          <w:tcPr>
            <w:tcW w:w="591" w:type="pct"/>
            <w:tcBorders>
              <w:top w:val="nil"/>
              <w:left w:val="nil"/>
              <w:bottom w:val="nil"/>
              <w:right w:val="nil"/>
            </w:tcBorders>
            <w:noWrap/>
            <w:hideMark/>
          </w:tcPr>
          <w:p w14:paraId="4EF0CBAB"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183,2</w:t>
            </w:r>
          </w:p>
        </w:tc>
        <w:tc>
          <w:tcPr>
            <w:tcW w:w="591" w:type="pct"/>
            <w:tcBorders>
              <w:top w:val="nil"/>
              <w:left w:val="nil"/>
              <w:bottom w:val="nil"/>
              <w:right w:val="nil"/>
            </w:tcBorders>
            <w:noWrap/>
            <w:hideMark/>
          </w:tcPr>
          <w:p w14:paraId="06C24481"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202,7</w:t>
            </w:r>
          </w:p>
        </w:tc>
        <w:tc>
          <w:tcPr>
            <w:tcW w:w="591" w:type="pct"/>
            <w:tcBorders>
              <w:top w:val="nil"/>
              <w:left w:val="nil"/>
              <w:bottom w:val="nil"/>
              <w:right w:val="nil"/>
            </w:tcBorders>
            <w:noWrap/>
            <w:hideMark/>
          </w:tcPr>
          <w:p w14:paraId="65CAB31F"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234,7</w:t>
            </w:r>
          </w:p>
        </w:tc>
      </w:tr>
      <w:tr w:rsidR="00112B0B" w:rsidRPr="003C1157" w14:paraId="4DAB43DF" w14:textId="77777777" w:rsidTr="00C91F83">
        <w:trPr>
          <w:cnfStyle w:val="000000100000" w:firstRow="0" w:lastRow="0" w:firstColumn="0" w:lastColumn="0" w:oddVBand="0" w:evenVBand="0" w:oddHBand="1" w:evenHBand="0" w:firstRowFirstColumn="0" w:firstRowLastColumn="0" w:lastRowFirstColumn="0" w:lastRowLastColumn="0"/>
          <w:trHeight w:val="226"/>
        </w:trPr>
        <w:tc>
          <w:tcPr>
            <w:tcW w:w="2637" w:type="pct"/>
            <w:tcBorders>
              <w:top w:val="nil"/>
              <w:bottom w:val="nil"/>
            </w:tcBorders>
            <w:shd w:val="clear" w:color="auto" w:fill="E7E6E6" w:themeFill="background2"/>
            <w:noWrap/>
            <w:hideMark/>
          </w:tcPr>
          <w:p w14:paraId="2B22C7A2"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bCs/>
                <w:color w:val="002060"/>
                <w:sz w:val="18"/>
                <w:szCs w:val="18"/>
                <w:lang w:val="sr-Cyrl-RS"/>
              </w:rPr>
              <w:t>Укупно</w:t>
            </w:r>
          </w:p>
        </w:tc>
        <w:tc>
          <w:tcPr>
            <w:tcW w:w="590" w:type="pct"/>
            <w:tcBorders>
              <w:top w:val="nil"/>
              <w:bottom w:val="nil"/>
            </w:tcBorders>
            <w:shd w:val="clear" w:color="auto" w:fill="E7E6E6" w:themeFill="background2"/>
            <w:noWrap/>
            <w:hideMark/>
          </w:tcPr>
          <w:p w14:paraId="7051585B"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817,6</w:t>
            </w:r>
          </w:p>
        </w:tc>
        <w:tc>
          <w:tcPr>
            <w:tcW w:w="591" w:type="pct"/>
            <w:tcBorders>
              <w:top w:val="nil"/>
              <w:bottom w:val="nil"/>
            </w:tcBorders>
            <w:shd w:val="clear" w:color="auto" w:fill="E7E6E6" w:themeFill="background2"/>
            <w:noWrap/>
            <w:hideMark/>
          </w:tcPr>
          <w:p w14:paraId="7BB79856"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859,7</w:t>
            </w:r>
          </w:p>
        </w:tc>
        <w:tc>
          <w:tcPr>
            <w:tcW w:w="591" w:type="pct"/>
            <w:tcBorders>
              <w:top w:val="nil"/>
              <w:bottom w:val="nil"/>
            </w:tcBorders>
            <w:shd w:val="clear" w:color="auto" w:fill="E7E6E6" w:themeFill="background2"/>
            <w:noWrap/>
            <w:hideMark/>
          </w:tcPr>
          <w:p w14:paraId="4D5C100E"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767,7</w:t>
            </w:r>
          </w:p>
        </w:tc>
        <w:tc>
          <w:tcPr>
            <w:tcW w:w="591" w:type="pct"/>
            <w:tcBorders>
              <w:top w:val="nil"/>
              <w:bottom w:val="nil"/>
            </w:tcBorders>
            <w:shd w:val="clear" w:color="auto" w:fill="E7E6E6" w:themeFill="background2"/>
            <w:noWrap/>
            <w:hideMark/>
          </w:tcPr>
          <w:p w14:paraId="5FE0C9D1"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866,7</w:t>
            </w:r>
          </w:p>
        </w:tc>
      </w:tr>
      <w:tr w:rsidR="00112B0B" w:rsidRPr="003C1157" w14:paraId="78A972C5" w14:textId="77777777" w:rsidTr="00C91F83">
        <w:trPr>
          <w:trHeight w:val="226"/>
        </w:trPr>
        <w:tc>
          <w:tcPr>
            <w:tcW w:w="2637" w:type="pct"/>
            <w:tcBorders>
              <w:top w:val="nil"/>
              <w:left w:val="nil"/>
              <w:bottom w:val="single" w:sz="4" w:space="0" w:color="002060"/>
              <w:right w:val="nil"/>
            </w:tcBorders>
            <w:noWrap/>
            <w:hideMark/>
          </w:tcPr>
          <w:p w14:paraId="3E579FE6" w14:textId="77777777" w:rsidR="00112B0B" w:rsidRPr="003C1157" w:rsidRDefault="00112B0B" w:rsidP="006272DB">
            <w:pPr>
              <w:spacing w:line="240" w:lineRule="auto"/>
              <w:rPr>
                <w:rFonts w:ascii="Calibri" w:hAnsi="Calibri" w:cs="Calibri"/>
                <w:bCs/>
                <w:color w:val="002060"/>
                <w:sz w:val="18"/>
                <w:szCs w:val="18"/>
                <w:lang w:val="sr-Cyrl-RS"/>
              </w:rPr>
            </w:pPr>
            <w:r w:rsidRPr="003C1157">
              <w:rPr>
                <w:rFonts w:ascii="Calibri" w:hAnsi="Calibri" w:cs="Calibri"/>
                <w:bCs/>
                <w:color w:val="002060"/>
                <w:sz w:val="18"/>
                <w:szCs w:val="18"/>
                <w:lang w:val="sr-Cyrl-RS"/>
              </w:rPr>
              <w:t xml:space="preserve"> У односу на јавни дуг на дан 31.7.2023. године</w:t>
            </w:r>
          </w:p>
        </w:tc>
        <w:tc>
          <w:tcPr>
            <w:tcW w:w="590" w:type="pct"/>
            <w:tcBorders>
              <w:top w:val="nil"/>
              <w:left w:val="nil"/>
              <w:bottom w:val="single" w:sz="4" w:space="0" w:color="002060"/>
              <w:right w:val="nil"/>
            </w:tcBorders>
            <w:noWrap/>
            <w:hideMark/>
          </w:tcPr>
          <w:p w14:paraId="429E04E2"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19,9%</w:t>
            </w:r>
          </w:p>
        </w:tc>
        <w:tc>
          <w:tcPr>
            <w:tcW w:w="591" w:type="pct"/>
            <w:tcBorders>
              <w:top w:val="nil"/>
              <w:left w:val="nil"/>
              <w:bottom w:val="single" w:sz="4" w:space="0" w:color="002060"/>
              <w:right w:val="nil"/>
            </w:tcBorders>
            <w:noWrap/>
            <w:hideMark/>
          </w:tcPr>
          <w:p w14:paraId="432E3322"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20,9%</w:t>
            </w:r>
          </w:p>
        </w:tc>
        <w:tc>
          <w:tcPr>
            <w:tcW w:w="591" w:type="pct"/>
            <w:tcBorders>
              <w:top w:val="nil"/>
              <w:left w:val="nil"/>
              <w:bottom w:val="single" w:sz="4" w:space="0" w:color="002060"/>
              <w:right w:val="nil"/>
            </w:tcBorders>
            <w:noWrap/>
            <w:hideMark/>
          </w:tcPr>
          <w:p w14:paraId="5E6C81CE"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18,7%</w:t>
            </w:r>
          </w:p>
        </w:tc>
        <w:tc>
          <w:tcPr>
            <w:tcW w:w="591" w:type="pct"/>
            <w:tcBorders>
              <w:top w:val="nil"/>
              <w:left w:val="nil"/>
              <w:bottom w:val="single" w:sz="4" w:space="0" w:color="002060"/>
              <w:right w:val="nil"/>
            </w:tcBorders>
            <w:noWrap/>
            <w:hideMark/>
          </w:tcPr>
          <w:p w14:paraId="03BCAF9B"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21,1%</w:t>
            </w:r>
          </w:p>
        </w:tc>
      </w:tr>
    </w:tbl>
    <w:p w14:paraId="17A4E8E1" w14:textId="77777777" w:rsidR="00112B0B" w:rsidRPr="003C1157" w:rsidRDefault="00112B0B" w:rsidP="006272DB">
      <w:pPr>
        <w:spacing w:line="240" w:lineRule="auto"/>
        <w:rPr>
          <w:rFonts w:ascii="Calibri" w:eastAsia="Calibri" w:hAnsi="Calibri" w:cs="Calibri"/>
          <w:bCs/>
          <w:sz w:val="18"/>
          <w:szCs w:val="18"/>
          <w:lang w:val="sr-Cyrl-RS"/>
        </w:rPr>
      </w:pPr>
      <w:r w:rsidRPr="003C1157">
        <w:rPr>
          <w:rFonts w:ascii="Calibri" w:eastAsia="Calibri" w:hAnsi="Calibri" w:cs="Calibri"/>
          <w:bCs/>
          <w:sz w:val="18"/>
          <w:szCs w:val="18"/>
          <w:lang w:val="sr-Cyrl-RS"/>
        </w:rPr>
        <w:t>*</w:t>
      </w:r>
      <w:r w:rsidRPr="003C1157">
        <w:rPr>
          <w:lang w:val="sr-Cyrl-RS"/>
        </w:rPr>
        <w:t xml:space="preserve"> </w:t>
      </w:r>
      <w:r w:rsidRPr="003C1157">
        <w:rPr>
          <w:rFonts w:ascii="Calibri" w:eastAsia="Calibri" w:hAnsi="Calibri" w:cs="Calibri"/>
          <w:bCs/>
          <w:sz w:val="18"/>
          <w:szCs w:val="18"/>
          <w:lang w:val="sr-Cyrl-RS"/>
        </w:rPr>
        <w:t xml:space="preserve">укључена и средства за </w:t>
      </w:r>
      <w:r w:rsidRPr="003C1157">
        <w:rPr>
          <w:rFonts w:ascii="Calibri" w:eastAsia="Calibri" w:hAnsi="Calibri" w:cs="Calibri"/>
          <w:bCs/>
          <w:i/>
          <w:sz w:val="18"/>
          <w:szCs w:val="18"/>
          <w:lang w:val="sr-Cyrl-RS"/>
        </w:rPr>
        <w:t>buy-back</w:t>
      </w:r>
      <w:r w:rsidRPr="003C1157">
        <w:rPr>
          <w:rFonts w:ascii="Calibri" w:eastAsia="Calibri" w:hAnsi="Calibri" w:cs="Calibri"/>
          <w:bCs/>
          <w:sz w:val="18"/>
          <w:szCs w:val="18"/>
          <w:lang w:val="sr-Cyrl-RS"/>
        </w:rPr>
        <w:t xml:space="preserve"> операције</w:t>
      </w:r>
    </w:p>
    <w:p w14:paraId="2C86B636" w14:textId="77777777" w:rsidR="00112B0B" w:rsidRPr="003C1157" w:rsidRDefault="00112B0B" w:rsidP="00C91F83">
      <w:pPr>
        <w:spacing w:line="256" w:lineRule="auto"/>
        <w:jc w:val="center"/>
        <w:rPr>
          <w:rFonts w:ascii="Calibri" w:eastAsia="Calibri" w:hAnsi="Calibri" w:cs="Times New Roman"/>
          <w:b/>
          <w:color w:val="002060"/>
          <w:lang w:val="sr-Cyrl-RS"/>
        </w:rPr>
      </w:pPr>
      <w:r w:rsidRPr="003C1157">
        <w:rPr>
          <w:rFonts w:ascii="Calibri" w:eastAsia="Calibri" w:hAnsi="Calibri" w:cs="Times New Roman"/>
          <w:b/>
          <w:color w:val="002060"/>
          <w:lang w:val="sr-Cyrl-RS"/>
        </w:rPr>
        <w:t>Табела 24. Пројекције отплате камата и главница до 2026. године (% БДП)</w:t>
      </w:r>
    </w:p>
    <w:tbl>
      <w:tblPr>
        <w:tblStyle w:val="LightShading-Accent1222"/>
        <w:tblW w:w="5000" w:type="pct"/>
        <w:tblInd w:w="0" w:type="dxa"/>
        <w:tblLook w:val="0420" w:firstRow="1" w:lastRow="0" w:firstColumn="0" w:lastColumn="0" w:noHBand="0" w:noVBand="1"/>
      </w:tblPr>
      <w:tblGrid>
        <w:gridCol w:w="4949"/>
        <w:gridCol w:w="1102"/>
        <w:gridCol w:w="1103"/>
        <w:gridCol w:w="1103"/>
        <w:gridCol w:w="1103"/>
      </w:tblGrid>
      <w:tr w:rsidR="00112B0B" w:rsidRPr="003C1157" w14:paraId="21683ECC" w14:textId="77777777" w:rsidTr="00C91F83">
        <w:trPr>
          <w:cnfStyle w:val="100000000000" w:firstRow="1" w:lastRow="0" w:firstColumn="0" w:lastColumn="0" w:oddVBand="0" w:evenVBand="0" w:oddHBand="0" w:evenHBand="0" w:firstRowFirstColumn="0" w:firstRowLastColumn="0" w:lastRowFirstColumn="0" w:lastRowLastColumn="0"/>
          <w:trHeight w:val="220"/>
        </w:trPr>
        <w:tc>
          <w:tcPr>
            <w:tcW w:w="2644" w:type="pct"/>
            <w:tcBorders>
              <w:top w:val="single" w:sz="4" w:space="0" w:color="002060"/>
              <w:bottom w:val="single" w:sz="4" w:space="0" w:color="FFFFFF" w:themeColor="background1"/>
            </w:tcBorders>
            <w:noWrap/>
            <w:hideMark/>
          </w:tcPr>
          <w:p w14:paraId="4709117B" w14:textId="77777777" w:rsidR="00112B0B" w:rsidRPr="003C1157" w:rsidRDefault="00112B0B" w:rsidP="00523B7B">
            <w:pPr>
              <w:jc w:val="right"/>
              <w:rPr>
                <w:rFonts w:ascii="Calibri" w:hAnsi="Calibri" w:cs="Calibri"/>
                <w:color w:val="002060"/>
                <w:sz w:val="18"/>
                <w:szCs w:val="18"/>
                <w:lang w:val="sr-Cyrl-RS"/>
              </w:rPr>
            </w:pPr>
            <w:r w:rsidRPr="003C1157">
              <w:rPr>
                <w:rFonts w:ascii="Calibri" w:hAnsi="Calibri" w:cs="Calibri"/>
                <w:color w:val="002060"/>
                <w:sz w:val="18"/>
                <w:szCs w:val="18"/>
                <w:lang w:val="sr-Cyrl-RS"/>
              </w:rPr>
              <w:t> </w:t>
            </w:r>
          </w:p>
        </w:tc>
        <w:tc>
          <w:tcPr>
            <w:tcW w:w="589" w:type="pct"/>
            <w:tcBorders>
              <w:top w:val="single" w:sz="4" w:space="0" w:color="002060"/>
              <w:bottom w:val="single" w:sz="4" w:space="0" w:color="002060"/>
            </w:tcBorders>
            <w:noWrap/>
            <w:hideMark/>
          </w:tcPr>
          <w:p w14:paraId="41F069AF" w14:textId="77777777" w:rsidR="00112B0B" w:rsidRPr="003C1157" w:rsidRDefault="00112B0B" w:rsidP="00523B7B">
            <w:pPr>
              <w:jc w:val="right"/>
              <w:rPr>
                <w:rFonts w:ascii="Calibri" w:hAnsi="Calibri" w:cs="Calibri"/>
                <w:color w:val="002060"/>
                <w:sz w:val="18"/>
                <w:szCs w:val="18"/>
                <w:lang w:val="sr-Cyrl-RS"/>
              </w:rPr>
            </w:pPr>
            <w:r w:rsidRPr="003C1157">
              <w:rPr>
                <w:rFonts w:ascii="Calibri" w:hAnsi="Calibri" w:cs="Calibri"/>
                <w:color w:val="002060"/>
                <w:sz w:val="18"/>
                <w:szCs w:val="18"/>
                <w:lang w:val="sr-Cyrl-RS"/>
              </w:rPr>
              <w:t>2023 п</w:t>
            </w:r>
          </w:p>
        </w:tc>
        <w:tc>
          <w:tcPr>
            <w:tcW w:w="589" w:type="pct"/>
            <w:tcBorders>
              <w:top w:val="single" w:sz="4" w:space="0" w:color="002060"/>
              <w:bottom w:val="single" w:sz="4" w:space="0" w:color="002060"/>
            </w:tcBorders>
            <w:noWrap/>
            <w:hideMark/>
          </w:tcPr>
          <w:p w14:paraId="3F133BC9" w14:textId="77777777" w:rsidR="00112B0B" w:rsidRPr="003C1157" w:rsidRDefault="00112B0B" w:rsidP="00523B7B">
            <w:pPr>
              <w:jc w:val="right"/>
              <w:rPr>
                <w:rFonts w:ascii="Calibri" w:hAnsi="Calibri" w:cs="Calibri"/>
                <w:color w:val="002060"/>
                <w:sz w:val="18"/>
                <w:szCs w:val="18"/>
                <w:lang w:val="sr-Cyrl-RS"/>
              </w:rPr>
            </w:pPr>
            <w:r w:rsidRPr="003C1157">
              <w:rPr>
                <w:rFonts w:ascii="Calibri" w:hAnsi="Calibri" w:cs="Calibri"/>
                <w:color w:val="002060"/>
                <w:sz w:val="18"/>
                <w:szCs w:val="18"/>
                <w:lang w:val="sr-Cyrl-RS"/>
              </w:rPr>
              <w:t>2024 п</w:t>
            </w:r>
          </w:p>
        </w:tc>
        <w:tc>
          <w:tcPr>
            <w:tcW w:w="589" w:type="pct"/>
            <w:tcBorders>
              <w:top w:val="single" w:sz="4" w:space="0" w:color="002060"/>
              <w:bottom w:val="single" w:sz="4" w:space="0" w:color="002060"/>
            </w:tcBorders>
            <w:noWrap/>
            <w:hideMark/>
          </w:tcPr>
          <w:p w14:paraId="5FE9665C" w14:textId="77777777" w:rsidR="00112B0B" w:rsidRPr="003C1157" w:rsidRDefault="00112B0B" w:rsidP="00523B7B">
            <w:pPr>
              <w:jc w:val="right"/>
              <w:rPr>
                <w:rFonts w:ascii="Calibri" w:hAnsi="Calibri" w:cs="Calibri"/>
                <w:color w:val="002060"/>
                <w:sz w:val="18"/>
                <w:szCs w:val="18"/>
                <w:lang w:val="sr-Cyrl-RS"/>
              </w:rPr>
            </w:pPr>
            <w:r w:rsidRPr="003C1157">
              <w:rPr>
                <w:rFonts w:ascii="Calibri" w:hAnsi="Calibri" w:cs="Calibri"/>
                <w:color w:val="002060"/>
                <w:sz w:val="18"/>
                <w:szCs w:val="18"/>
                <w:lang w:val="sr-Cyrl-RS"/>
              </w:rPr>
              <w:t>2025 п</w:t>
            </w:r>
          </w:p>
        </w:tc>
        <w:tc>
          <w:tcPr>
            <w:tcW w:w="589" w:type="pct"/>
            <w:tcBorders>
              <w:top w:val="single" w:sz="4" w:space="0" w:color="002060"/>
              <w:bottom w:val="single" w:sz="4" w:space="0" w:color="002060"/>
            </w:tcBorders>
            <w:noWrap/>
            <w:hideMark/>
          </w:tcPr>
          <w:p w14:paraId="1808B72F" w14:textId="77777777" w:rsidR="00112B0B" w:rsidRPr="003C1157" w:rsidRDefault="00112B0B" w:rsidP="00523B7B">
            <w:pPr>
              <w:jc w:val="right"/>
              <w:rPr>
                <w:rFonts w:ascii="Calibri" w:hAnsi="Calibri" w:cs="Calibri"/>
                <w:color w:val="002060"/>
                <w:sz w:val="18"/>
                <w:szCs w:val="18"/>
                <w:lang w:val="sr-Cyrl-RS"/>
              </w:rPr>
            </w:pPr>
            <w:r w:rsidRPr="003C1157">
              <w:rPr>
                <w:rFonts w:ascii="Calibri" w:hAnsi="Calibri" w:cs="Calibri"/>
                <w:color w:val="002060"/>
                <w:sz w:val="18"/>
                <w:szCs w:val="18"/>
                <w:lang w:val="sr-Cyrl-RS"/>
              </w:rPr>
              <w:t>2026 п</w:t>
            </w:r>
          </w:p>
        </w:tc>
      </w:tr>
      <w:tr w:rsidR="00112B0B" w:rsidRPr="003C1157" w14:paraId="07B0C1D5" w14:textId="77777777" w:rsidTr="00C91F83">
        <w:trPr>
          <w:cnfStyle w:val="000000100000" w:firstRow="0" w:lastRow="0" w:firstColumn="0" w:lastColumn="0" w:oddVBand="0" w:evenVBand="0" w:oddHBand="1" w:evenHBand="0" w:firstRowFirstColumn="0" w:firstRowLastColumn="0" w:lastRowFirstColumn="0" w:lastRowLastColumn="0"/>
          <w:trHeight w:val="220"/>
        </w:trPr>
        <w:tc>
          <w:tcPr>
            <w:tcW w:w="2644" w:type="pct"/>
            <w:tcBorders>
              <w:top w:val="nil"/>
              <w:bottom w:val="nil"/>
            </w:tcBorders>
            <w:shd w:val="clear" w:color="auto" w:fill="E7E6E6" w:themeFill="background2"/>
            <w:noWrap/>
            <w:hideMark/>
          </w:tcPr>
          <w:p w14:paraId="373DDED8" w14:textId="77777777" w:rsidR="00112B0B" w:rsidRPr="003C1157" w:rsidRDefault="00112B0B" w:rsidP="006272DB">
            <w:pPr>
              <w:spacing w:line="240" w:lineRule="auto"/>
              <w:rPr>
                <w:rFonts w:ascii="Calibri" w:hAnsi="Calibri" w:cs="Calibri"/>
                <w:bCs/>
                <w:color w:val="002060"/>
                <w:sz w:val="18"/>
                <w:szCs w:val="18"/>
                <w:lang w:val="sr-Cyrl-RS"/>
              </w:rPr>
            </w:pPr>
            <w:r w:rsidRPr="003C1157">
              <w:rPr>
                <w:rFonts w:ascii="Calibri" w:hAnsi="Calibri" w:cs="Calibri"/>
                <w:bCs/>
                <w:color w:val="002060"/>
                <w:sz w:val="18"/>
                <w:szCs w:val="18"/>
                <w:lang w:val="sr-Cyrl-RS"/>
              </w:rPr>
              <w:t>Главница</w:t>
            </w:r>
          </w:p>
        </w:tc>
        <w:tc>
          <w:tcPr>
            <w:tcW w:w="589" w:type="pct"/>
            <w:tcBorders>
              <w:top w:val="nil"/>
              <w:bottom w:val="nil"/>
            </w:tcBorders>
            <w:shd w:val="clear" w:color="auto" w:fill="E7E6E6" w:themeFill="background2"/>
            <w:noWrap/>
            <w:hideMark/>
          </w:tcPr>
          <w:p w14:paraId="5B9AC9ED"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8,3%</w:t>
            </w:r>
          </w:p>
        </w:tc>
        <w:tc>
          <w:tcPr>
            <w:tcW w:w="589" w:type="pct"/>
            <w:tcBorders>
              <w:top w:val="nil"/>
              <w:bottom w:val="nil"/>
            </w:tcBorders>
            <w:shd w:val="clear" w:color="auto" w:fill="E7E6E6" w:themeFill="background2"/>
            <w:noWrap/>
            <w:hideMark/>
          </w:tcPr>
          <w:p w14:paraId="5C41718C"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7,7%</w:t>
            </w:r>
          </w:p>
        </w:tc>
        <w:tc>
          <w:tcPr>
            <w:tcW w:w="589" w:type="pct"/>
            <w:tcBorders>
              <w:top w:val="nil"/>
              <w:bottom w:val="nil"/>
            </w:tcBorders>
            <w:shd w:val="clear" w:color="auto" w:fill="E7E6E6" w:themeFill="background2"/>
            <w:noWrap/>
            <w:hideMark/>
          </w:tcPr>
          <w:p w14:paraId="55ADE9A4"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6,0%</w:t>
            </w:r>
          </w:p>
        </w:tc>
        <w:tc>
          <w:tcPr>
            <w:tcW w:w="589" w:type="pct"/>
            <w:tcBorders>
              <w:top w:val="nil"/>
              <w:bottom w:val="nil"/>
            </w:tcBorders>
            <w:shd w:val="clear" w:color="auto" w:fill="E7E6E6" w:themeFill="background2"/>
            <w:noWrap/>
            <w:hideMark/>
          </w:tcPr>
          <w:p w14:paraId="0BE913FF"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6,2%</w:t>
            </w:r>
          </w:p>
        </w:tc>
      </w:tr>
      <w:tr w:rsidR="00112B0B" w:rsidRPr="003C1157" w14:paraId="4186E492" w14:textId="77777777" w:rsidTr="00C91F83">
        <w:trPr>
          <w:trHeight w:val="220"/>
        </w:trPr>
        <w:tc>
          <w:tcPr>
            <w:tcW w:w="2644" w:type="pct"/>
            <w:tcBorders>
              <w:top w:val="nil"/>
              <w:left w:val="nil"/>
              <w:bottom w:val="nil"/>
              <w:right w:val="nil"/>
            </w:tcBorders>
            <w:noWrap/>
            <w:hideMark/>
          </w:tcPr>
          <w:p w14:paraId="2308B197"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bCs/>
                <w:color w:val="002060"/>
                <w:sz w:val="18"/>
                <w:szCs w:val="18"/>
                <w:lang w:val="sr-Cyrl-RS"/>
              </w:rPr>
              <w:t>Камата</w:t>
            </w:r>
          </w:p>
        </w:tc>
        <w:tc>
          <w:tcPr>
            <w:tcW w:w="589" w:type="pct"/>
            <w:tcBorders>
              <w:top w:val="nil"/>
              <w:left w:val="nil"/>
              <w:bottom w:val="nil"/>
              <w:right w:val="nil"/>
            </w:tcBorders>
            <w:noWrap/>
            <w:hideMark/>
          </w:tcPr>
          <w:p w14:paraId="1F91C3F3"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1,8%</w:t>
            </w:r>
          </w:p>
        </w:tc>
        <w:tc>
          <w:tcPr>
            <w:tcW w:w="589" w:type="pct"/>
            <w:tcBorders>
              <w:top w:val="nil"/>
              <w:left w:val="nil"/>
              <w:bottom w:val="nil"/>
              <w:right w:val="nil"/>
            </w:tcBorders>
            <w:noWrap/>
            <w:hideMark/>
          </w:tcPr>
          <w:p w14:paraId="36170FCE"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2,1%</w:t>
            </w:r>
          </w:p>
        </w:tc>
        <w:tc>
          <w:tcPr>
            <w:tcW w:w="589" w:type="pct"/>
            <w:tcBorders>
              <w:top w:val="nil"/>
              <w:left w:val="nil"/>
              <w:bottom w:val="nil"/>
              <w:right w:val="nil"/>
            </w:tcBorders>
            <w:noWrap/>
            <w:hideMark/>
          </w:tcPr>
          <w:p w14:paraId="2DC6131A"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2,1%</w:t>
            </w:r>
          </w:p>
        </w:tc>
        <w:tc>
          <w:tcPr>
            <w:tcW w:w="589" w:type="pct"/>
            <w:tcBorders>
              <w:top w:val="nil"/>
              <w:left w:val="nil"/>
              <w:bottom w:val="nil"/>
              <w:right w:val="nil"/>
            </w:tcBorders>
            <w:noWrap/>
            <w:hideMark/>
          </w:tcPr>
          <w:p w14:paraId="22D787F1"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2,3%</w:t>
            </w:r>
          </w:p>
        </w:tc>
      </w:tr>
      <w:tr w:rsidR="00112B0B" w:rsidRPr="003C1157" w14:paraId="5AF116BE" w14:textId="77777777" w:rsidTr="00C91F83">
        <w:trPr>
          <w:cnfStyle w:val="000000100000" w:firstRow="0" w:lastRow="0" w:firstColumn="0" w:lastColumn="0" w:oddVBand="0" w:evenVBand="0" w:oddHBand="1" w:evenHBand="0" w:firstRowFirstColumn="0" w:firstRowLastColumn="0" w:lastRowFirstColumn="0" w:lastRowLastColumn="0"/>
          <w:trHeight w:val="220"/>
        </w:trPr>
        <w:tc>
          <w:tcPr>
            <w:tcW w:w="2644" w:type="pct"/>
            <w:tcBorders>
              <w:top w:val="nil"/>
              <w:bottom w:val="single" w:sz="4" w:space="0" w:color="002060"/>
            </w:tcBorders>
            <w:shd w:val="clear" w:color="auto" w:fill="E7E6E6" w:themeFill="background2"/>
            <w:noWrap/>
            <w:hideMark/>
          </w:tcPr>
          <w:p w14:paraId="6EFB7B78" w14:textId="77777777" w:rsidR="00112B0B" w:rsidRPr="003C1157" w:rsidRDefault="00112B0B" w:rsidP="006272DB">
            <w:pPr>
              <w:spacing w:line="240" w:lineRule="auto"/>
              <w:rPr>
                <w:rFonts w:ascii="Calibri" w:hAnsi="Calibri" w:cs="Calibri"/>
                <w:bCs/>
                <w:color w:val="002060"/>
                <w:sz w:val="18"/>
                <w:szCs w:val="18"/>
                <w:lang w:val="sr-Cyrl-RS"/>
              </w:rPr>
            </w:pPr>
            <w:r w:rsidRPr="003C1157">
              <w:rPr>
                <w:rFonts w:ascii="Calibri" w:hAnsi="Calibri" w:cs="Calibri"/>
                <w:bCs/>
                <w:color w:val="002060"/>
                <w:sz w:val="18"/>
                <w:szCs w:val="18"/>
                <w:lang w:val="sr-Cyrl-RS"/>
              </w:rPr>
              <w:t>Укупно</w:t>
            </w:r>
          </w:p>
        </w:tc>
        <w:tc>
          <w:tcPr>
            <w:tcW w:w="589" w:type="pct"/>
            <w:tcBorders>
              <w:top w:val="nil"/>
              <w:bottom w:val="single" w:sz="4" w:space="0" w:color="002060"/>
            </w:tcBorders>
            <w:shd w:val="clear" w:color="auto" w:fill="E7E6E6" w:themeFill="background2"/>
            <w:noWrap/>
            <w:hideMark/>
          </w:tcPr>
          <w:p w14:paraId="40BCA0E8"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10,1%</w:t>
            </w:r>
          </w:p>
        </w:tc>
        <w:tc>
          <w:tcPr>
            <w:tcW w:w="589" w:type="pct"/>
            <w:tcBorders>
              <w:top w:val="nil"/>
              <w:bottom w:val="single" w:sz="4" w:space="0" w:color="002060"/>
            </w:tcBorders>
            <w:shd w:val="clear" w:color="auto" w:fill="E7E6E6" w:themeFill="background2"/>
            <w:noWrap/>
            <w:hideMark/>
          </w:tcPr>
          <w:p w14:paraId="1F75B6EE"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9,8%</w:t>
            </w:r>
          </w:p>
        </w:tc>
        <w:tc>
          <w:tcPr>
            <w:tcW w:w="589" w:type="pct"/>
            <w:tcBorders>
              <w:top w:val="nil"/>
              <w:bottom w:val="single" w:sz="4" w:space="0" w:color="002060"/>
            </w:tcBorders>
            <w:shd w:val="clear" w:color="auto" w:fill="E7E6E6" w:themeFill="background2"/>
            <w:noWrap/>
            <w:hideMark/>
          </w:tcPr>
          <w:p w14:paraId="01F7895A"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8,1%</w:t>
            </w:r>
          </w:p>
        </w:tc>
        <w:tc>
          <w:tcPr>
            <w:tcW w:w="589" w:type="pct"/>
            <w:tcBorders>
              <w:top w:val="nil"/>
              <w:bottom w:val="single" w:sz="4" w:space="0" w:color="002060"/>
            </w:tcBorders>
            <w:shd w:val="clear" w:color="auto" w:fill="E7E6E6" w:themeFill="background2"/>
            <w:noWrap/>
            <w:hideMark/>
          </w:tcPr>
          <w:p w14:paraId="105D00B7"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8,5%</w:t>
            </w:r>
          </w:p>
        </w:tc>
      </w:tr>
    </w:tbl>
    <w:p w14:paraId="6E025295" w14:textId="77777777" w:rsidR="00112B0B" w:rsidRPr="003C1157" w:rsidRDefault="00112B0B" w:rsidP="00C91F83">
      <w:pPr>
        <w:rPr>
          <w:rFonts w:ascii="Calibri" w:eastAsia="Calibri" w:hAnsi="Calibri" w:cs="Calibri"/>
          <w:bCs/>
          <w:szCs w:val="72"/>
          <w:lang w:val="sr-Cyrl-RS"/>
        </w:rPr>
        <w:sectPr w:rsidR="00112B0B" w:rsidRPr="003C1157" w:rsidSect="006272DB">
          <w:headerReference w:type="even" r:id="rId209"/>
          <w:footerReference w:type="even" r:id="rId210"/>
          <w:footerReference w:type="default" r:id="rId211"/>
          <w:headerReference w:type="first" r:id="rId212"/>
          <w:footerReference w:type="first" r:id="rId213"/>
          <w:type w:val="continuous"/>
          <w:pgSz w:w="12240" w:h="15840" w:code="1"/>
          <w:pgMar w:top="1440" w:right="1440" w:bottom="1440" w:left="1440" w:header="720" w:footer="720" w:gutter="0"/>
          <w:cols w:space="720"/>
          <w:titlePg/>
          <w:docGrid w:linePitch="360"/>
        </w:sectPr>
      </w:pPr>
    </w:p>
    <w:p w14:paraId="6A271CFB"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 xml:space="preserve">Планирани износи за отплату камата и главница, на централном нивоу државе, укључују и средства за </w:t>
      </w:r>
      <w:r w:rsidRPr="003C1157">
        <w:rPr>
          <w:rFonts w:ascii="Calibri" w:eastAsia="Calibri" w:hAnsi="Calibri" w:cs="Calibri"/>
          <w:bCs/>
          <w:i/>
          <w:szCs w:val="72"/>
          <w:lang w:val="sr-Cyrl-RS"/>
        </w:rPr>
        <w:t>buy-back</w:t>
      </w:r>
      <w:r w:rsidRPr="003C1157">
        <w:rPr>
          <w:rFonts w:ascii="Calibri" w:eastAsia="Calibri" w:hAnsi="Calibri" w:cs="Calibri"/>
          <w:bCs/>
          <w:szCs w:val="72"/>
          <w:lang w:val="sr-Cyrl-RS"/>
        </w:rPr>
        <w:t xml:space="preserve"> операције, тј. превремену отплату дуга, како би се скупљи дуг заменио јефтинијим, као и премије осигурања на експортне кредите.</w:t>
      </w:r>
    </w:p>
    <w:p w14:paraId="798FB6F3" w14:textId="77777777" w:rsidR="00112B0B" w:rsidRPr="003C1157" w:rsidRDefault="00112B0B" w:rsidP="00C91F83">
      <w:pPr>
        <w:spacing w:line="256" w:lineRule="auto"/>
        <w:rPr>
          <w:rFonts w:ascii="Calibri" w:eastAsia="Calibri" w:hAnsi="Calibri" w:cs="Times New Roman"/>
          <w:b/>
          <w:color w:val="2F5496" w:themeColor="accent1" w:themeShade="BF"/>
          <w:sz w:val="22"/>
          <w:lang w:val="sr-Cyrl-RS"/>
        </w:rPr>
      </w:pPr>
      <w:r w:rsidRPr="003C1157">
        <w:rPr>
          <w:rFonts w:ascii="Calibri" w:eastAsia="Calibri" w:hAnsi="Calibri" w:cs="Times New Roman"/>
          <w:b/>
          <w:color w:val="2F5496" w:themeColor="accent1" w:themeShade="BF"/>
          <w:sz w:val="22"/>
          <w:lang w:val="sr-Cyrl-RS"/>
        </w:rPr>
        <w:t>Пројекција стања јавног дуга сектора државе у периоду 2023–2026. године</w:t>
      </w:r>
    </w:p>
    <w:p w14:paraId="196A8C74" w14:textId="77777777" w:rsidR="00112B0B" w:rsidRPr="003C1157" w:rsidRDefault="00112B0B" w:rsidP="00523B7B">
      <w:pPr>
        <w:spacing w:after="240"/>
        <w:rPr>
          <w:rFonts w:ascii="Calibri" w:eastAsia="Calibri" w:hAnsi="Calibri" w:cs="Calibri"/>
          <w:bCs/>
          <w:szCs w:val="72"/>
          <w:lang w:val="sr-Cyrl-RS"/>
        </w:rPr>
      </w:pPr>
      <w:r w:rsidRPr="003C1157">
        <w:rPr>
          <w:rFonts w:ascii="Calibri" w:eastAsia="Calibri" w:hAnsi="Calibri" w:cs="Calibri"/>
          <w:bCs/>
          <w:szCs w:val="72"/>
          <w:lang w:val="sr-Cyrl-RS"/>
        </w:rPr>
        <w:t xml:space="preserve">Имајући у виду пројектовани примарни резултат буџета Републике Србије за период 2023–2026. </w:t>
      </w:r>
      <w:r w:rsidRPr="003C1157">
        <w:rPr>
          <w:rFonts w:ascii="Calibri" w:eastAsia="Calibri" w:hAnsi="Calibri" w:cs="Calibri"/>
          <w:bCs/>
          <w:szCs w:val="72"/>
          <w:lang w:val="sr-Cyrl-RS"/>
        </w:rPr>
        <w:t>године, укључујући и обим повлачења кредитних средстава за пројектно финансирање од буџетских корисника, ефекте промене девизног курса динара према евру и америчком долару, у основном макроекономском сценарију, стање дуга централног нивоа државе требало би да буде на нивоу од 50,0% БДП на крају 2026. године.</w:t>
      </w:r>
    </w:p>
    <w:p w14:paraId="279B0181" w14:textId="77777777" w:rsidR="00112B0B" w:rsidRPr="003C1157" w:rsidRDefault="00112B0B" w:rsidP="006272DB">
      <w:pPr>
        <w:spacing w:after="600"/>
        <w:rPr>
          <w:rFonts w:ascii="Calibri" w:eastAsia="Calibri" w:hAnsi="Calibri" w:cs="Calibri"/>
          <w:bCs/>
          <w:szCs w:val="72"/>
          <w:lang w:val="sr-Cyrl-RS"/>
        </w:rPr>
      </w:pPr>
    </w:p>
    <w:p w14:paraId="009570A8" w14:textId="77777777" w:rsidR="00112B0B" w:rsidRPr="003C1157" w:rsidRDefault="00112B0B" w:rsidP="00C91F83">
      <w:pPr>
        <w:spacing w:line="256" w:lineRule="auto"/>
        <w:jc w:val="center"/>
        <w:rPr>
          <w:rFonts w:ascii="Calibri" w:eastAsia="Calibri" w:hAnsi="Calibri" w:cs="Times New Roman"/>
          <w:b/>
          <w:color w:val="002060"/>
          <w:lang w:val="sr-Cyrl-RS"/>
        </w:rPr>
        <w:sectPr w:rsidR="00112B0B" w:rsidRPr="003C1157" w:rsidSect="006272DB">
          <w:type w:val="continuous"/>
          <w:pgSz w:w="12240" w:h="15840" w:code="1"/>
          <w:pgMar w:top="1440" w:right="1440" w:bottom="1440" w:left="1440" w:header="720" w:footer="720" w:gutter="0"/>
          <w:cols w:num="2" w:space="720"/>
          <w:titlePg/>
          <w:docGrid w:linePitch="360"/>
        </w:sectPr>
      </w:pPr>
    </w:p>
    <w:p w14:paraId="000F98C1" w14:textId="77777777" w:rsidR="00112B0B" w:rsidRPr="003C1157" w:rsidRDefault="00112B0B" w:rsidP="00C91F83">
      <w:pPr>
        <w:spacing w:line="256" w:lineRule="auto"/>
        <w:jc w:val="center"/>
        <w:rPr>
          <w:rFonts w:ascii="Calibri" w:eastAsia="Calibri" w:hAnsi="Calibri" w:cs="Times New Roman"/>
          <w:b/>
          <w:color w:val="002060"/>
          <w:lang w:val="sr-Cyrl-RS"/>
        </w:rPr>
      </w:pPr>
      <w:r w:rsidRPr="003C1157">
        <w:rPr>
          <w:rFonts w:ascii="Calibri" w:eastAsia="Calibri" w:hAnsi="Calibri" w:cs="Times New Roman"/>
          <w:b/>
          <w:color w:val="002060"/>
          <w:lang w:val="sr-Cyrl-RS"/>
        </w:rPr>
        <w:t>Табела 25. Основна пројекција стања јавног дуга сектора државе до 2026. године</w:t>
      </w:r>
    </w:p>
    <w:tbl>
      <w:tblPr>
        <w:tblStyle w:val="LightShading-Accent1222"/>
        <w:tblW w:w="5000" w:type="pct"/>
        <w:tblInd w:w="0" w:type="dxa"/>
        <w:tblLook w:val="0420" w:firstRow="1" w:lastRow="0" w:firstColumn="0" w:lastColumn="0" w:noHBand="0" w:noVBand="1"/>
      </w:tblPr>
      <w:tblGrid>
        <w:gridCol w:w="5100"/>
        <w:gridCol w:w="1065"/>
        <w:gridCol w:w="1065"/>
        <w:gridCol w:w="1065"/>
        <w:gridCol w:w="1065"/>
      </w:tblGrid>
      <w:tr w:rsidR="00112B0B" w:rsidRPr="003C1157" w14:paraId="0ABAD903" w14:textId="77777777" w:rsidTr="00C91F83">
        <w:trPr>
          <w:cnfStyle w:val="100000000000" w:firstRow="1" w:lastRow="0" w:firstColumn="0" w:lastColumn="0" w:oddVBand="0" w:evenVBand="0" w:oddHBand="0" w:evenHBand="0" w:firstRowFirstColumn="0" w:firstRowLastColumn="0" w:lastRowFirstColumn="0" w:lastRowLastColumn="0"/>
          <w:trHeight w:val="20"/>
        </w:trPr>
        <w:tc>
          <w:tcPr>
            <w:tcW w:w="2724" w:type="pct"/>
            <w:tcBorders>
              <w:top w:val="single" w:sz="4" w:space="0" w:color="002060"/>
              <w:bottom w:val="single" w:sz="8" w:space="0" w:color="FFFFFF" w:themeColor="background1"/>
            </w:tcBorders>
            <w:noWrap/>
            <w:hideMark/>
          </w:tcPr>
          <w:p w14:paraId="7163CEAC" w14:textId="77777777" w:rsidR="00112B0B" w:rsidRPr="003C1157" w:rsidRDefault="00112B0B" w:rsidP="00523B7B">
            <w:pPr>
              <w:spacing w:line="256" w:lineRule="auto"/>
              <w:rPr>
                <w:rFonts w:ascii="Calibri" w:hAnsi="Calibri"/>
                <w:color w:val="002060"/>
                <w:lang w:val="sr-Cyrl-RS"/>
              </w:rPr>
            </w:pPr>
          </w:p>
        </w:tc>
        <w:tc>
          <w:tcPr>
            <w:tcW w:w="569" w:type="pct"/>
            <w:tcBorders>
              <w:top w:val="single" w:sz="4" w:space="0" w:color="002060"/>
              <w:bottom w:val="single" w:sz="4" w:space="0" w:color="002060"/>
            </w:tcBorders>
            <w:noWrap/>
            <w:hideMark/>
          </w:tcPr>
          <w:p w14:paraId="1CFC886B" w14:textId="77777777" w:rsidR="00112B0B" w:rsidRPr="003C1157" w:rsidRDefault="00112B0B" w:rsidP="00523B7B">
            <w:pPr>
              <w:jc w:val="right"/>
              <w:rPr>
                <w:rFonts w:ascii="Calibri" w:hAnsi="Calibri" w:cs="Calibri"/>
                <w:color w:val="002060"/>
                <w:sz w:val="18"/>
                <w:szCs w:val="18"/>
                <w:lang w:val="sr-Cyrl-RS"/>
              </w:rPr>
            </w:pPr>
            <w:r w:rsidRPr="003C1157">
              <w:rPr>
                <w:rFonts w:ascii="Calibri" w:hAnsi="Calibri" w:cs="Calibri"/>
                <w:color w:val="002060"/>
                <w:sz w:val="18"/>
                <w:szCs w:val="18"/>
                <w:lang w:val="sr-Cyrl-RS"/>
              </w:rPr>
              <w:t>2023 п</w:t>
            </w:r>
          </w:p>
        </w:tc>
        <w:tc>
          <w:tcPr>
            <w:tcW w:w="569" w:type="pct"/>
            <w:tcBorders>
              <w:top w:val="single" w:sz="4" w:space="0" w:color="002060"/>
              <w:bottom w:val="single" w:sz="4" w:space="0" w:color="002060"/>
            </w:tcBorders>
            <w:noWrap/>
            <w:hideMark/>
          </w:tcPr>
          <w:p w14:paraId="1F0A3BE0" w14:textId="77777777" w:rsidR="00112B0B" w:rsidRPr="003C1157" w:rsidRDefault="00112B0B" w:rsidP="00523B7B">
            <w:pPr>
              <w:jc w:val="right"/>
              <w:rPr>
                <w:rFonts w:ascii="Calibri" w:hAnsi="Calibri" w:cs="Calibri"/>
                <w:color w:val="002060"/>
                <w:sz w:val="18"/>
                <w:szCs w:val="18"/>
                <w:lang w:val="sr-Cyrl-RS"/>
              </w:rPr>
            </w:pPr>
            <w:r w:rsidRPr="003C1157">
              <w:rPr>
                <w:rFonts w:ascii="Calibri" w:hAnsi="Calibri" w:cs="Calibri"/>
                <w:color w:val="002060"/>
                <w:sz w:val="18"/>
                <w:szCs w:val="18"/>
                <w:lang w:val="sr-Cyrl-RS"/>
              </w:rPr>
              <w:t>2024 п</w:t>
            </w:r>
          </w:p>
        </w:tc>
        <w:tc>
          <w:tcPr>
            <w:tcW w:w="569" w:type="pct"/>
            <w:tcBorders>
              <w:top w:val="single" w:sz="4" w:space="0" w:color="002060"/>
              <w:bottom w:val="single" w:sz="4" w:space="0" w:color="002060"/>
            </w:tcBorders>
            <w:noWrap/>
            <w:hideMark/>
          </w:tcPr>
          <w:p w14:paraId="66A7D365" w14:textId="77777777" w:rsidR="00112B0B" w:rsidRPr="003C1157" w:rsidRDefault="00112B0B" w:rsidP="00523B7B">
            <w:pPr>
              <w:jc w:val="right"/>
              <w:rPr>
                <w:rFonts w:ascii="Calibri" w:hAnsi="Calibri" w:cs="Calibri"/>
                <w:color w:val="002060"/>
                <w:sz w:val="18"/>
                <w:szCs w:val="18"/>
                <w:lang w:val="sr-Cyrl-RS"/>
              </w:rPr>
            </w:pPr>
            <w:r w:rsidRPr="003C1157">
              <w:rPr>
                <w:rFonts w:ascii="Calibri" w:hAnsi="Calibri" w:cs="Calibri"/>
                <w:color w:val="002060"/>
                <w:sz w:val="18"/>
                <w:szCs w:val="18"/>
                <w:lang w:val="sr-Cyrl-RS"/>
              </w:rPr>
              <w:t>2025 п</w:t>
            </w:r>
          </w:p>
        </w:tc>
        <w:tc>
          <w:tcPr>
            <w:tcW w:w="569" w:type="pct"/>
            <w:tcBorders>
              <w:top w:val="single" w:sz="4" w:space="0" w:color="002060"/>
              <w:bottom w:val="single" w:sz="4" w:space="0" w:color="002060"/>
            </w:tcBorders>
            <w:noWrap/>
            <w:hideMark/>
          </w:tcPr>
          <w:p w14:paraId="4F65AD6C" w14:textId="77777777" w:rsidR="00112B0B" w:rsidRPr="003C1157" w:rsidRDefault="00112B0B" w:rsidP="00523B7B">
            <w:pPr>
              <w:jc w:val="right"/>
              <w:rPr>
                <w:rFonts w:ascii="Calibri" w:hAnsi="Calibri" w:cs="Calibri"/>
                <w:color w:val="002060"/>
                <w:sz w:val="18"/>
                <w:szCs w:val="18"/>
                <w:lang w:val="sr-Cyrl-RS"/>
              </w:rPr>
            </w:pPr>
            <w:r w:rsidRPr="003C1157">
              <w:rPr>
                <w:rFonts w:ascii="Calibri" w:hAnsi="Calibri" w:cs="Calibri"/>
                <w:color w:val="002060"/>
                <w:sz w:val="18"/>
                <w:szCs w:val="18"/>
                <w:lang w:val="sr-Cyrl-RS"/>
              </w:rPr>
              <w:t>2026 п</w:t>
            </w:r>
          </w:p>
        </w:tc>
      </w:tr>
      <w:tr w:rsidR="00112B0B" w:rsidRPr="003C1157" w14:paraId="7AD2B969" w14:textId="77777777" w:rsidTr="006272DB">
        <w:trPr>
          <w:cnfStyle w:val="000000100000" w:firstRow="0" w:lastRow="0" w:firstColumn="0" w:lastColumn="0" w:oddVBand="0" w:evenVBand="0" w:oddHBand="1" w:evenHBand="0" w:firstRowFirstColumn="0" w:firstRowLastColumn="0" w:lastRowFirstColumn="0" w:lastRowLastColumn="0"/>
          <w:trHeight w:val="20"/>
        </w:trPr>
        <w:tc>
          <w:tcPr>
            <w:tcW w:w="2724" w:type="pct"/>
            <w:tcBorders>
              <w:top w:val="nil"/>
              <w:bottom w:val="nil"/>
            </w:tcBorders>
            <w:shd w:val="clear" w:color="auto" w:fill="E7E6E6" w:themeFill="background2"/>
            <w:noWrap/>
            <w:hideMark/>
          </w:tcPr>
          <w:p w14:paraId="3D23F439" w14:textId="77777777" w:rsidR="00112B0B" w:rsidRPr="003C1157" w:rsidRDefault="00112B0B" w:rsidP="006272DB">
            <w:pPr>
              <w:spacing w:line="240" w:lineRule="auto"/>
              <w:rPr>
                <w:rFonts w:ascii="Calibri" w:hAnsi="Calibri" w:cs="Calibri"/>
                <w:bCs/>
                <w:color w:val="44546A"/>
                <w:sz w:val="18"/>
                <w:szCs w:val="18"/>
                <w:lang w:val="sr-Cyrl-RS"/>
              </w:rPr>
            </w:pPr>
            <w:r w:rsidRPr="003C1157">
              <w:rPr>
                <w:rFonts w:ascii="Calibri" w:hAnsi="Calibri" w:cs="Calibri"/>
                <w:bCs/>
                <w:color w:val="002060"/>
                <w:sz w:val="18"/>
                <w:szCs w:val="18"/>
                <w:lang w:val="sr-Cyrl-RS"/>
              </w:rPr>
              <w:t>Јавни дуг (централни ниво власти), млрд РСД</w:t>
            </w:r>
          </w:p>
        </w:tc>
        <w:tc>
          <w:tcPr>
            <w:tcW w:w="569" w:type="pct"/>
            <w:tcBorders>
              <w:top w:val="single" w:sz="4" w:space="0" w:color="002060"/>
              <w:bottom w:val="nil"/>
            </w:tcBorders>
            <w:shd w:val="clear" w:color="auto" w:fill="E7E6E6" w:themeFill="background2"/>
            <w:noWrap/>
            <w:vAlign w:val="bottom"/>
            <w:hideMark/>
          </w:tcPr>
          <w:p w14:paraId="275D0806"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4.273,9</w:t>
            </w:r>
          </w:p>
        </w:tc>
        <w:tc>
          <w:tcPr>
            <w:tcW w:w="569" w:type="pct"/>
            <w:tcBorders>
              <w:top w:val="single" w:sz="4" w:space="0" w:color="002060"/>
              <w:bottom w:val="nil"/>
            </w:tcBorders>
            <w:shd w:val="clear" w:color="auto" w:fill="E7E6E6" w:themeFill="background2"/>
            <w:noWrap/>
            <w:hideMark/>
          </w:tcPr>
          <w:p w14:paraId="37099570"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4.472,9</w:t>
            </w:r>
          </w:p>
        </w:tc>
        <w:tc>
          <w:tcPr>
            <w:tcW w:w="569" w:type="pct"/>
            <w:tcBorders>
              <w:top w:val="single" w:sz="4" w:space="0" w:color="002060"/>
              <w:bottom w:val="nil"/>
            </w:tcBorders>
            <w:shd w:val="clear" w:color="auto" w:fill="E7E6E6" w:themeFill="background2"/>
            <w:noWrap/>
            <w:hideMark/>
          </w:tcPr>
          <w:p w14:paraId="05B6B991"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4.719,9</w:t>
            </w:r>
          </w:p>
        </w:tc>
        <w:tc>
          <w:tcPr>
            <w:tcW w:w="569" w:type="pct"/>
            <w:tcBorders>
              <w:top w:val="single" w:sz="4" w:space="0" w:color="002060"/>
              <w:bottom w:val="nil"/>
            </w:tcBorders>
            <w:shd w:val="clear" w:color="auto" w:fill="E7E6E6" w:themeFill="background2"/>
            <w:noWrap/>
            <w:hideMark/>
          </w:tcPr>
          <w:p w14:paraId="4DF994EA"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4.967,9</w:t>
            </w:r>
          </w:p>
        </w:tc>
      </w:tr>
      <w:tr w:rsidR="00112B0B" w:rsidRPr="003C1157" w14:paraId="545D2199" w14:textId="77777777" w:rsidTr="00C91F83">
        <w:trPr>
          <w:trHeight w:val="20"/>
        </w:trPr>
        <w:tc>
          <w:tcPr>
            <w:tcW w:w="2724" w:type="pct"/>
            <w:tcBorders>
              <w:top w:val="nil"/>
              <w:left w:val="nil"/>
              <w:bottom w:val="nil"/>
              <w:right w:val="nil"/>
            </w:tcBorders>
            <w:hideMark/>
          </w:tcPr>
          <w:p w14:paraId="011FDA46" w14:textId="77777777" w:rsidR="00112B0B" w:rsidRPr="003C1157" w:rsidRDefault="00112B0B" w:rsidP="006272DB">
            <w:pPr>
              <w:spacing w:line="240" w:lineRule="auto"/>
              <w:rPr>
                <w:rFonts w:ascii="Calibri" w:hAnsi="Calibri" w:cs="Calibri"/>
                <w:bCs/>
                <w:color w:val="002060"/>
                <w:sz w:val="18"/>
                <w:szCs w:val="18"/>
                <w:lang w:val="sr-Cyrl-RS"/>
              </w:rPr>
            </w:pPr>
            <w:r w:rsidRPr="003C1157">
              <w:rPr>
                <w:rFonts w:ascii="Calibri" w:hAnsi="Calibri" w:cs="Calibri"/>
                <w:bCs/>
                <w:color w:val="002060"/>
                <w:sz w:val="18"/>
                <w:szCs w:val="18"/>
                <w:lang w:val="sr-Cyrl-RS"/>
              </w:rPr>
              <w:t>Дуг централне државе, у % БДП</w:t>
            </w:r>
          </w:p>
        </w:tc>
        <w:tc>
          <w:tcPr>
            <w:tcW w:w="569" w:type="pct"/>
            <w:tcBorders>
              <w:top w:val="nil"/>
              <w:left w:val="nil"/>
              <w:bottom w:val="nil"/>
              <w:right w:val="nil"/>
            </w:tcBorders>
            <w:noWrap/>
            <w:hideMark/>
          </w:tcPr>
          <w:p w14:paraId="3E055CE9"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52,7%</w:t>
            </w:r>
          </w:p>
        </w:tc>
        <w:tc>
          <w:tcPr>
            <w:tcW w:w="569" w:type="pct"/>
            <w:tcBorders>
              <w:top w:val="nil"/>
              <w:left w:val="nil"/>
              <w:bottom w:val="nil"/>
              <w:right w:val="nil"/>
            </w:tcBorders>
            <w:noWrap/>
            <w:hideMark/>
          </w:tcPr>
          <w:p w14:paraId="6ECA3A4C"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51,0%</w:t>
            </w:r>
          </w:p>
        </w:tc>
        <w:tc>
          <w:tcPr>
            <w:tcW w:w="569" w:type="pct"/>
            <w:tcBorders>
              <w:top w:val="nil"/>
              <w:left w:val="nil"/>
              <w:bottom w:val="nil"/>
              <w:right w:val="nil"/>
            </w:tcBorders>
            <w:noWrap/>
            <w:hideMark/>
          </w:tcPr>
          <w:p w14:paraId="5F2B713D"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49,9%</w:t>
            </w:r>
          </w:p>
        </w:tc>
        <w:tc>
          <w:tcPr>
            <w:tcW w:w="569" w:type="pct"/>
            <w:tcBorders>
              <w:top w:val="nil"/>
              <w:left w:val="nil"/>
              <w:bottom w:val="nil"/>
              <w:right w:val="nil"/>
            </w:tcBorders>
            <w:noWrap/>
            <w:hideMark/>
          </w:tcPr>
          <w:p w14:paraId="20A42646"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49,0%</w:t>
            </w:r>
          </w:p>
        </w:tc>
      </w:tr>
      <w:tr w:rsidR="00112B0B" w:rsidRPr="003C1157" w14:paraId="6113F47D" w14:textId="77777777" w:rsidTr="00C91F83">
        <w:trPr>
          <w:cnfStyle w:val="000000100000" w:firstRow="0" w:lastRow="0" w:firstColumn="0" w:lastColumn="0" w:oddVBand="0" w:evenVBand="0" w:oddHBand="1" w:evenHBand="0" w:firstRowFirstColumn="0" w:firstRowLastColumn="0" w:lastRowFirstColumn="0" w:lastRowLastColumn="0"/>
          <w:trHeight w:val="20"/>
        </w:trPr>
        <w:tc>
          <w:tcPr>
            <w:tcW w:w="2724" w:type="pct"/>
            <w:tcBorders>
              <w:top w:val="nil"/>
              <w:bottom w:val="nil"/>
            </w:tcBorders>
            <w:shd w:val="clear" w:color="auto" w:fill="E7E6E6" w:themeFill="background2"/>
            <w:hideMark/>
          </w:tcPr>
          <w:p w14:paraId="13DEC014" w14:textId="77777777" w:rsidR="00112B0B" w:rsidRPr="003C1157" w:rsidRDefault="00112B0B" w:rsidP="006272DB">
            <w:pPr>
              <w:spacing w:line="240" w:lineRule="auto"/>
              <w:rPr>
                <w:rFonts w:ascii="Calibri" w:hAnsi="Calibri" w:cs="Calibri"/>
                <w:bCs/>
                <w:color w:val="002060"/>
                <w:sz w:val="18"/>
                <w:szCs w:val="18"/>
                <w:lang w:val="sr-Cyrl-RS"/>
              </w:rPr>
            </w:pPr>
            <w:r w:rsidRPr="003C1157">
              <w:rPr>
                <w:rFonts w:ascii="Calibri" w:hAnsi="Calibri" w:cs="Calibri"/>
                <w:bCs/>
                <w:color w:val="002060"/>
                <w:sz w:val="18"/>
                <w:szCs w:val="18"/>
                <w:lang w:val="sr-Cyrl-RS"/>
              </w:rPr>
              <w:t>Негарантовани дуг јединица локалне самоуправе*, у % БДП</w:t>
            </w:r>
          </w:p>
        </w:tc>
        <w:tc>
          <w:tcPr>
            <w:tcW w:w="569" w:type="pct"/>
            <w:tcBorders>
              <w:top w:val="nil"/>
              <w:bottom w:val="nil"/>
            </w:tcBorders>
            <w:shd w:val="clear" w:color="auto" w:fill="E7E6E6" w:themeFill="background2"/>
            <w:noWrap/>
            <w:hideMark/>
          </w:tcPr>
          <w:p w14:paraId="637B7C68"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0,6%</w:t>
            </w:r>
          </w:p>
        </w:tc>
        <w:tc>
          <w:tcPr>
            <w:tcW w:w="569" w:type="pct"/>
            <w:tcBorders>
              <w:top w:val="nil"/>
              <w:bottom w:val="nil"/>
            </w:tcBorders>
            <w:shd w:val="clear" w:color="auto" w:fill="E7E6E6" w:themeFill="background2"/>
            <w:noWrap/>
            <w:hideMark/>
          </w:tcPr>
          <w:p w14:paraId="13608404"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0,7%</w:t>
            </w:r>
          </w:p>
        </w:tc>
        <w:tc>
          <w:tcPr>
            <w:tcW w:w="569" w:type="pct"/>
            <w:tcBorders>
              <w:top w:val="nil"/>
              <w:bottom w:val="nil"/>
            </w:tcBorders>
            <w:shd w:val="clear" w:color="auto" w:fill="E7E6E6" w:themeFill="background2"/>
            <w:noWrap/>
            <w:hideMark/>
          </w:tcPr>
          <w:p w14:paraId="78B545F2"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0,8%</w:t>
            </w:r>
          </w:p>
        </w:tc>
        <w:tc>
          <w:tcPr>
            <w:tcW w:w="569" w:type="pct"/>
            <w:tcBorders>
              <w:top w:val="nil"/>
              <w:bottom w:val="nil"/>
            </w:tcBorders>
            <w:shd w:val="clear" w:color="auto" w:fill="E7E6E6" w:themeFill="background2"/>
            <w:noWrap/>
            <w:hideMark/>
          </w:tcPr>
          <w:p w14:paraId="5D495377"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1,0%</w:t>
            </w:r>
          </w:p>
        </w:tc>
      </w:tr>
      <w:tr w:rsidR="00112B0B" w:rsidRPr="003C1157" w14:paraId="06F44EB7" w14:textId="77777777" w:rsidTr="00C91F83">
        <w:trPr>
          <w:trHeight w:val="20"/>
        </w:trPr>
        <w:tc>
          <w:tcPr>
            <w:tcW w:w="2724" w:type="pct"/>
            <w:tcBorders>
              <w:top w:val="nil"/>
              <w:left w:val="nil"/>
              <w:bottom w:val="single" w:sz="4" w:space="0" w:color="002060"/>
              <w:right w:val="nil"/>
            </w:tcBorders>
            <w:hideMark/>
          </w:tcPr>
          <w:p w14:paraId="55974DB4" w14:textId="77777777" w:rsidR="00112B0B" w:rsidRPr="003C1157" w:rsidRDefault="00112B0B" w:rsidP="006272DB">
            <w:pPr>
              <w:spacing w:line="240" w:lineRule="auto"/>
              <w:rPr>
                <w:rFonts w:ascii="Calibri" w:hAnsi="Calibri" w:cs="Calibri"/>
                <w:bCs/>
                <w:color w:val="002060"/>
                <w:sz w:val="18"/>
                <w:szCs w:val="18"/>
                <w:lang w:val="sr-Cyrl-RS"/>
              </w:rPr>
            </w:pPr>
            <w:r w:rsidRPr="003C1157">
              <w:rPr>
                <w:rFonts w:ascii="Calibri" w:hAnsi="Calibri" w:cs="Calibri"/>
                <w:bCs/>
                <w:color w:val="002060"/>
                <w:sz w:val="18"/>
                <w:szCs w:val="18"/>
                <w:lang w:val="sr-Cyrl-RS"/>
              </w:rPr>
              <w:t>Дуг сектора државе, у % БДП</w:t>
            </w:r>
          </w:p>
        </w:tc>
        <w:tc>
          <w:tcPr>
            <w:tcW w:w="569" w:type="pct"/>
            <w:tcBorders>
              <w:top w:val="nil"/>
              <w:left w:val="nil"/>
              <w:bottom w:val="single" w:sz="4" w:space="0" w:color="002060"/>
              <w:right w:val="nil"/>
            </w:tcBorders>
            <w:noWrap/>
            <w:hideMark/>
          </w:tcPr>
          <w:p w14:paraId="288CDA9E"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53,3%</w:t>
            </w:r>
          </w:p>
        </w:tc>
        <w:tc>
          <w:tcPr>
            <w:tcW w:w="569" w:type="pct"/>
            <w:tcBorders>
              <w:top w:val="nil"/>
              <w:left w:val="nil"/>
              <w:bottom w:val="single" w:sz="4" w:space="0" w:color="002060"/>
              <w:right w:val="nil"/>
            </w:tcBorders>
            <w:noWrap/>
            <w:hideMark/>
          </w:tcPr>
          <w:p w14:paraId="3EABAC46"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51,7%</w:t>
            </w:r>
          </w:p>
        </w:tc>
        <w:tc>
          <w:tcPr>
            <w:tcW w:w="569" w:type="pct"/>
            <w:tcBorders>
              <w:top w:val="nil"/>
              <w:left w:val="nil"/>
              <w:bottom w:val="single" w:sz="4" w:space="0" w:color="002060"/>
              <w:right w:val="nil"/>
            </w:tcBorders>
            <w:noWrap/>
            <w:hideMark/>
          </w:tcPr>
          <w:p w14:paraId="5AFCE134"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50,7%</w:t>
            </w:r>
          </w:p>
        </w:tc>
        <w:tc>
          <w:tcPr>
            <w:tcW w:w="569" w:type="pct"/>
            <w:tcBorders>
              <w:top w:val="nil"/>
              <w:left w:val="nil"/>
              <w:bottom w:val="single" w:sz="4" w:space="0" w:color="002060"/>
              <w:right w:val="nil"/>
            </w:tcBorders>
            <w:noWrap/>
            <w:hideMark/>
          </w:tcPr>
          <w:p w14:paraId="325877AF" w14:textId="77777777" w:rsidR="00112B0B" w:rsidRPr="003C1157" w:rsidRDefault="00112B0B" w:rsidP="006272DB">
            <w:pPr>
              <w:spacing w:line="240" w:lineRule="auto"/>
              <w:jc w:val="right"/>
              <w:rPr>
                <w:rFonts w:ascii="Calibri" w:hAnsi="Calibri" w:cs="Calibri"/>
                <w:bCs/>
                <w:color w:val="002060"/>
                <w:sz w:val="18"/>
                <w:szCs w:val="18"/>
                <w:lang w:val="sr-Cyrl-RS"/>
              </w:rPr>
            </w:pPr>
            <w:r w:rsidRPr="003C1157">
              <w:rPr>
                <w:rFonts w:ascii="Calibri" w:hAnsi="Calibri" w:cs="Calibri"/>
                <w:bCs/>
                <w:color w:val="002060"/>
                <w:sz w:val="18"/>
                <w:szCs w:val="18"/>
                <w:lang w:val="sr-Cyrl-RS"/>
              </w:rPr>
              <w:t>50,0%</w:t>
            </w:r>
          </w:p>
        </w:tc>
      </w:tr>
    </w:tbl>
    <w:p w14:paraId="657C89A9" w14:textId="77777777" w:rsidR="00112B0B" w:rsidRPr="003C1157" w:rsidRDefault="00112B0B" w:rsidP="00C91F83">
      <w:pPr>
        <w:spacing w:after="240" w:line="240" w:lineRule="auto"/>
        <w:rPr>
          <w:rFonts w:ascii="Calibri" w:eastAsia="Calibri" w:hAnsi="Calibri" w:cs="Calibri"/>
          <w:bCs/>
          <w:sz w:val="18"/>
          <w:szCs w:val="18"/>
          <w:lang w:val="sr-Cyrl-RS"/>
        </w:rPr>
      </w:pPr>
      <w:r w:rsidRPr="003C1157">
        <w:rPr>
          <w:rFonts w:ascii="Calibri" w:eastAsia="Calibri" w:hAnsi="Calibri" w:cs="Calibri"/>
          <w:bCs/>
          <w:sz w:val="18"/>
          <w:szCs w:val="18"/>
          <w:lang w:val="sr-Cyrl-RS"/>
        </w:rPr>
        <w:t>*</w:t>
      </w:r>
      <w:r w:rsidRPr="003C1157">
        <w:rPr>
          <w:lang w:val="sr-Cyrl-RS"/>
        </w:rPr>
        <w:t xml:space="preserve"> </w:t>
      </w:r>
      <w:r w:rsidRPr="003C1157">
        <w:rPr>
          <w:rFonts w:ascii="Calibri" w:eastAsia="Calibri" w:hAnsi="Calibri" w:cs="Calibri"/>
          <w:bCs/>
          <w:sz w:val="18"/>
          <w:szCs w:val="18"/>
          <w:lang w:val="sr-Cyrl-RS"/>
        </w:rPr>
        <w:t>и осталог сектора државе</w:t>
      </w:r>
    </w:p>
    <w:p w14:paraId="75BA07A9" w14:textId="77777777" w:rsidR="00112B0B" w:rsidRPr="003C1157" w:rsidRDefault="00112B0B" w:rsidP="00C91F83">
      <w:pPr>
        <w:rPr>
          <w:rFonts w:ascii="Calibri" w:eastAsia="Calibri" w:hAnsi="Calibri" w:cs="Calibri"/>
          <w:bCs/>
          <w:spacing w:val="-2"/>
          <w:szCs w:val="72"/>
          <w:lang w:val="sr-Cyrl-RS"/>
        </w:rPr>
        <w:sectPr w:rsidR="00112B0B" w:rsidRPr="003C1157" w:rsidSect="006272DB">
          <w:type w:val="continuous"/>
          <w:pgSz w:w="12240" w:h="15840" w:code="1"/>
          <w:pgMar w:top="1440" w:right="1440" w:bottom="1440" w:left="1440" w:header="720" w:footer="720" w:gutter="0"/>
          <w:cols w:space="720"/>
          <w:titlePg/>
          <w:docGrid w:linePitch="360"/>
        </w:sectPr>
      </w:pPr>
    </w:p>
    <w:p w14:paraId="7CC4D47A" w14:textId="77777777" w:rsidR="00112B0B" w:rsidRPr="003C1157" w:rsidRDefault="00112B0B" w:rsidP="00C91F83">
      <w:pPr>
        <w:rPr>
          <w:rFonts w:ascii="Calibri" w:eastAsia="Calibri" w:hAnsi="Calibri" w:cs="Calibri"/>
          <w:bCs/>
          <w:spacing w:val="-2"/>
          <w:szCs w:val="72"/>
          <w:lang w:val="sr-Cyrl-RS"/>
        </w:rPr>
      </w:pPr>
      <w:r w:rsidRPr="003C1157">
        <w:rPr>
          <w:rFonts w:ascii="Calibri" w:eastAsia="Calibri" w:hAnsi="Calibri" w:cs="Calibri"/>
          <w:bCs/>
          <w:spacing w:val="-2"/>
          <w:szCs w:val="72"/>
          <w:lang w:val="sr-Cyrl-RS"/>
        </w:rPr>
        <w:lastRenderedPageBreak/>
        <w:t>На крају 2023. године очекује се да учешће јавног дуга сектора државе у БДП износи 53,3%. У наредним годинама се очекује пад рација, који би у основном сценарију требало на крају 2024. године да износи 51,7%, на крају 2025. године 50,7%, а на крају 2026. године 50,0%. У датом периоду се очекује реализација великих инфраструктурних пројеката који ће бити финансирани углавном из пројектних зајмова, те њихова интензивнија реализација у односу на претходни период. Ово је управо једна од тачака где се може видети јасна координација фискалних и развојних циљева. Води се рачуна о одрживости јавног дуга и постепеном паду његовог учешћа у БДП, уз истовремено коришћење новог задуживања за побољшање инфраструктурних услова који доводе до раста БДП, животног стандарда и нових инвестиција. Предвиђа се да ће негарантовани дуг јединица локалне самоуправе и осталог сектора државе у наредном периоду бити на релативно стабилном нивоу од 0,6% до 1,0% БДП.</w:t>
      </w:r>
    </w:p>
    <w:p w14:paraId="261856B7" w14:textId="77777777" w:rsidR="00112B0B" w:rsidRPr="003C1157" w:rsidRDefault="00112B0B" w:rsidP="00C91F83">
      <w:pPr>
        <w:spacing w:line="256" w:lineRule="auto"/>
        <w:rPr>
          <w:rFonts w:ascii="Calibri" w:eastAsia="Calibri" w:hAnsi="Calibri" w:cs="Times New Roman"/>
          <w:b/>
          <w:color w:val="2F5496" w:themeColor="accent1" w:themeShade="BF"/>
          <w:sz w:val="22"/>
          <w:lang w:val="sr-Cyrl-RS"/>
        </w:rPr>
      </w:pPr>
      <w:r w:rsidRPr="003C1157">
        <w:rPr>
          <w:rFonts w:ascii="Calibri" w:eastAsia="Calibri" w:hAnsi="Calibri" w:cs="Times New Roman"/>
          <w:b/>
          <w:color w:val="2F5496" w:themeColor="accent1" w:themeShade="BF"/>
          <w:sz w:val="22"/>
          <w:lang w:val="sr-Cyrl-RS"/>
        </w:rPr>
        <w:t>Принципи управљања јавним дугом</w:t>
      </w:r>
    </w:p>
    <w:p w14:paraId="0EC370D7"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Према Закону о јавном дугу, примарни циљ задуживања Републике Србије и управљања јавним дугом је обезбеђивање средстава за редовно сервисирање буџетских потреба по најповољнијим условима и трошковима финансирања уз прихватљив ниво ризика. На основу тога, Стратегија управљања јавним дугом Републике Србије дефинише следеће опште циљеве и принципе:</w:t>
      </w:r>
    </w:p>
    <w:p w14:paraId="7ACCB115"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1) Осигурати финансирање фискалног дефицита и редовно сервисирање обавеза по основу јавног дуга Републике Србије;</w:t>
      </w:r>
    </w:p>
    <w:p w14:paraId="19B26FB0"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2) Дефинисати прихватљив ниво ризика који треба да буде одређен у условима циљане структуре портфолија дуга у смислу валутне структуре дуга, структуре каматних стопа, структуре рочности и структуре дуга према инструментима;</w:t>
      </w:r>
    </w:p>
    <w:p w14:paraId="6D736C8E"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3) Наставити развој тржишта државних хартија од вредности које се емитују на домаћем и међународном тржишту, што би помогло у смањењу трошкова задуживања у средњем и дугом року;</w:t>
      </w:r>
    </w:p>
    <w:p w14:paraId="00187794"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4) Омогућити транспарентност и предвидивост процеса задуживања.</w:t>
      </w:r>
    </w:p>
    <w:p w14:paraId="45B02322"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Стратегија управљања јавним дугом конзистентна је са општим средњорочним макроекономским и фискалним оквиром.</w:t>
      </w:r>
    </w:p>
    <w:p w14:paraId="1140BC4D" w14:textId="77777777" w:rsidR="00112B0B" w:rsidRPr="003C1157" w:rsidRDefault="00112B0B" w:rsidP="00C91F83">
      <w:pPr>
        <w:rPr>
          <w:rFonts w:ascii="Calibri" w:eastAsia="Calibri" w:hAnsi="Calibri" w:cs="Calibri"/>
          <w:bCs/>
          <w:spacing w:val="-2"/>
          <w:szCs w:val="72"/>
          <w:lang w:val="sr-Cyrl-RS"/>
        </w:rPr>
      </w:pPr>
      <w:r w:rsidRPr="003C1157">
        <w:rPr>
          <w:rFonts w:ascii="Calibri" w:eastAsia="Calibri" w:hAnsi="Calibri" w:cs="Calibri"/>
          <w:bCs/>
          <w:spacing w:val="-2"/>
          <w:szCs w:val="72"/>
          <w:lang w:val="sr-Cyrl-RS"/>
        </w:rPr>
        <w:t>Стратегија управљања јавним дугом у наредном средњорочном периоду базира се на финансирању дефицита и главнице дуга буџета Републике Србије путем емисија државних хартија од вредности на домаћем и међународном тржишту капитала како би било испуњено редовно сервисирање обавеза. Флексибилност ће се огледати у домену избора тржишта на коме ће се вршити задуживање, валуте задуживања и инструмената финансирања. Избор структуре финансирања узимаће у обзир тренутно стање и тренд развоја домаћег и међународног финансијског тржишта (ниво каматних стопа, премије ризика, криву приноса, девизне курсеве референтних валута) и прихватљив ниво изложености финансијским ризицима.</w:t>
      </w:r>
    </w:p>
    <w:p w14:paraId="7B849B21"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 xml:space="preserve">Циљ је да се у наредном дугорочном периоду финансирање обавља пре свега емитовањем динарских хартија од вредности на домаћем тржишту. Део финансирања може бити обезбеђен и на међународном финансијском тржишту у средњорочном периоду. Успостављање </w:t>
      </w:r>
      <w:r w:rsidRPr="003C1157">
        <w:rPr>
          <w:rFonts w:ascii="Calibri" w:eastAsia="Calibri" w:hAnsi="Calibri" w:cs="Calibri"/>
          <w:bCs/>
          <w:i/>
          <w:szCs w:val="72"/>
          <w:lang w:val="sr-Cyrl-RS"/>
        </w:rPr>
        <w:t>GMTN</w:t>
      </w:r>
      <w:r w:rsidRPr="003C1157">
        <w:rPr>
          <w:rFonts w:ascii="Calibri" w:eastAsia="Calibri" w:hAnsi="Calibri" w:cs="Calibri"/>
          <w:bCs/>
          <w:szCs w:val="72"/>
          <w:lang w:val="sr-Cyrl-RS"/>
        </w:rPr>
        <w:t xml:space="preserve"> програма у 2020. години омогућило је флексибилност у избору финансирања и бржи приступ финансирању на међународном тржишту.</w:t>
      </w:r>
    </w:p>
    <w:p w14:paraId="294033EE"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Позајмљивање у страној валути, као нпр. у америчким доларима, за собом повлачи и девизни ризик услед промене курса евро – амерички долар, те ће се из тог разлога користити могућност хеџинга.</w:t>
      </w:r>
    </w:p>
    <w:p w14:paraId="1F14FD84"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Политика управљања јавним дугом мора да узме у обзир дугорочну перспективу, али се одлука о финансирању буџетских издатака мора доносити годишње. Одлука о годишњем задуживању се доноси у оквиру Закона о буџету за одређену фискалну годину. У зависности од промене основних фискалних агрегата могућа је корекција плана задуживања током фискалне године.</w:t>
      </w:r>
    </w:p>
    <w:p w14:paraId="034E7272" w14:textId="77777777" w:rsidR="00112B0B" w:rsidRPr="003C1157" w:rsidRDefault="00112B0B" w:rsidP="00523B7B">
      <w:pPr>
        <w:rPr>
          <w:lang w:val="sr-Cyrl-RS"/>
        </w:rPr>
      </w:pPr>
      <w:r w:rsidRPr="003C1157">
        <w:rPr>
          <w:lang w:val="sr-Cyrl-RS"/>
        </w:rPr>
        <w:br w:type="page"/>
      </w:r>
    </w:p>
    <w:p w14:paraId="73892972" w14:textId="77777777" w:rsidR="00112B0B" w:rsidRPr="003C1157" w:rsidRDefault="00112B0B" w:rsidP="00C91F83">
      <w:pPr>
        <w:spacing w:line="256" w:lineRule="auto"/>
        <w:rPr>
          <w:rFonts w:ascii="Calibri" w:eastAsia="Calibri" w:hAnsi="Calibri" w:cs="Times New Roman"/>
          <w:b/>
          <w:color w:val="2F5496" w:themeColor="accent1" w:themeShade="BF"/>
          <w:sz w:val="22"/>
          <w:lang w:val="sr-Cyrl-RS"/>
        </w:rPr>
      </w:pPr>
      <w:r w:rsidRPr="003C1157">
        <w:rPr>
          <w:rFonts w:ascii="Calibri" w:eastAsia="Calibri" w:hAnsi="Calibri" w:cs="Times New Roman"/>
          <w:b/>
          <w:color w:val="2F5496" w:themeColor="accent1" w:themeShade="BF"/>
          <w:sz w:val="22"/>
          <w:lang w:val="sr-Cyrl-RS"/>
        </w:rPr>
        <w:lastRenderedPageBreak/>
        <w:t>Финансијски ризици и мере за управљање финансијским ризицима</w:t>
      </w:r>
    </w:p>
    <w:p w14:paraId="7007F6CB"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Утицај финансијских и фискалних ризика може довести до већег раста јавног дуга него што предвиђа основни сценарио. Ризици који су присутни и који могу да доведу до раста задужености и трошкова сервисирања јавног дуга су: ризик рефинансирања, девизни ризик, тржишни ризик (ризик каматних стопа, ризик инфлације), ризик ликвидности, кредитни и оперативни ризици и ризици везани за дистрибуцију трошкова сервисирања (структура дуга, концентрација обавеза).</w:t>
      </w:r>
    </w:p>
    <w:p w14:paraId="7C93CEBE" w14:textId="77777777" w:rsidR="00112B0B" w:rsidRPr="003C1157" w:rsidRDefault="00112B0B" w:rsidP="00C91F83">
      <w:pPr>
        <w:spacing w:after="120"/>
        <w:rPr>
          <w:rFonts w:ascii="Calibri" w:eastAsia="Calibri" w:hAnsi="Calibri" w:cs="Calibri"/>
          <w:bCs/>
          <w:szCs w:val="72"/>
          <w:lang w:val="sr-Cyrl-RS"/>
        </w:rPr>
      </w:pPr>
      <w:r w:rsidRPr="003C1157">
        <w:rPr>
          <w:rFonts w:ascii="Calibri" w:eastAsia="Calibri" w:hAnsi="Calibri" w:cs="Calibri"/>
          <w:bCs/>
          <w:szCs w:val="72"/>
          <w:lang w:val="sr-Cyrl-RS"/>
        </w:rPr>
        <w:t>У циљу смањења изложености финансијским ризицима потребно је спроводити следеће мере:</w:t>
      </w:r>
    </w:p>
    <w:p w14:paraId="4D6F38BF" w14:textId="77777777" w:rsidR="00112B0B" w:rsidRPr="003C1157" w:rsidRDefault="00112B0B" w:rsidP="00C91F83">
      <w:pPr>
        <w:spacing w:after="60"/>
        <w:rPr>
          <w:rFonts w:ascii="Calibri" w:eastAsia="Calibri" w:hAnsi="Calibri" w:cs="Calibri"/>
          <w:bCs/>
          <w:szCs w:val="72"/>
          <w:lang w:val="sr-Cyrl-RS"/>
        </w:rPr>
      </w:pPr>
      <w:r w:rsidRPr="003C1157">
        <w:rPr>
          <w:rFonts w:ascii="Calibri" w:eastAsia="Calibri" w:hAnsi="Calibri" w:cs="Calibri"/>
          <w:bCs/>
          <w:szCs w:val="72"/>
          <w:lang w:val="sr-Cyrl-RS"/>
        </w:rPr>
        <w:t>1. ризик рефинансирања</w:t>
      </w:r>
    </w:p>
    <w:p w14:paraId="3EE0DC9D" w14:textId="77777777" w:rsidR="00112B0B" w:rsidRPr="003C1157" w:rsidRDefault="00112B0B" w:rsidP="00DB0157">
      <w:pPr>
        <w:numPr>
          <w:ilvl w:val="0"/>
          <w:numId w:val="8"/>
        </w:numPr>
        <w:ind w:left="180" w:hanging="180"/>
        <w:contextualSpacing/>
        <w:rPr>
          <w:rFonts w:ascii="Calibri" w:eastAsia="Calibri" w:hAnsi="Calibri" w:cs="Calibri"/>
          <w:bCs/>
          <w:szCs w:val="72"/>
          <w:lang w:val="sr-Cyrl-RS"/>
        </w:rPr>
      </w:pPr>
      <w:r w:rsidRPr="003C1157">
        <w:rPr>
          <w:rFonts w:ascii="Calibri" w:eastAsia="Calibri" w:hAnsi="Calibri" w:cs="Calibri"/>
          <w:bCs/>
          <w:szCs w:val="72"/>
          <w:lang w:val="sr-Cyrl-RS"/>
        </w:rPr>
        <w:t>повећање учешћа средњорочних и дугорочних финансијских инструмената деноминованих у динарима на домаћем финансијском тржишту;</w:t>
      </w:r>
    </w:p>
    <w:p w14:paraId="537C5C15" w14:textId="77777777" w:rsidR="00112B0B" w:rsidRPr="003C1157" w:rsidRDefault="00112B0B" w:rsidP="00DB0157">
      <w:pPr>
        <w:numPr>
          <w:ilvl w:val="0"/>
          <w:numId w:val="8"/>
        </w:numPr>
        <w:ind w:left="180" w:hanging="180"/>
        <w:contextualSpacing/>
        <w:rPr>
          <w:rFonts w:ascii="Calibri" w:eastAsia="Calibri" w:hAnsi="Calibri" w:cs="Calibri"/>
          <w:bCs/>
          <w:szCs w:val="72"/>
          <w:lang w:val="sr-Cyrl-RS"/>
        </w:rPr>
      </w:pPr>
      <w:r w:rsidRPr="003C1157">
        <w:rPr>
          <w:rFonts w:ascii="Calibri" w:eastAsia="Calibri" w:hAnsi="Calibri" w:cs="Calibri"/>
          <w:bCs/>
          <w:szCs w:val="72"/>
          <w:lang w:val="sr-Cyrl-RS"/>
        </w:rPr>
        <w:t>равномерна расподела обавеза по основу јавног дуга на годишњем нивоу у наредном дугорочном периоду;</w:t>
      </w:r>
    </w:p>
    <w:p w14:paraId="64E584CB" w14:textId="77777777" w:rsidR="00112B0B" w:rsidRPr="003C1157" w:rsidRDefault="00112B0B" w:rsidP="00DB0157">
      <w:pPr>
        <w:numPr>
          <w:ilvl w:val="0"/>
          <w:numId w:val="8"/>
        </w:numPr>
        <w:spacing w:after="120"/>
        <w:ind w:left="181" w:hanging="181"/>
        <w:rPr>
          <w:rFonts w:ascii="Calibri" w:eastAsia="Calibri" w:hAnsi="Calibri" w:cs="Calibri"/>
          <w:bCs/>
          <w:szCs w:val="72"/>
          <w:lang w:val="sr-Cyrl-RS"/>
        </w:rPr>
      </w:pPr>
      <w:r w:rsidRPr="003C1157">
        <w:rPr>
          <w:rFonts w:ascii="Calibri" w:eastAsia="Calibri" w:hAnsi="Calibri" w:cs="Calibri"/>
          <w:bCs/>
          <w:szCs w:val="72"/>
          <w:lang w:val="sr-Cyrl-RS"/>
        </w:rPr>
        <w:t>продужавање просечне рочности дуга који се емитује у хартијама од вредности;</w:t>
      </w:r>
    </w:p>
    <w:p w14:paraId="5424408D" w14:textId="77777777" w:rsidR="00112B0B" w:rsidRPr="003C1157" w:rsidRDefault="00112B0B" w:rsidP="00C91F83">
      <w:pPr>
        <w:spacing w:after="60"/>
        <w:rPr>
          <w:rFonts w:ascii="Calibri" w:eastAsia="Calibri" w:hAnsi="Calibri" w:cs="Calibri"/>
          <w:bCs/>
          <w:szCs w:val="72"/>
          <w:lang w:val="sr-Cyrl-RS"/>
        </w:rPr>
      </w:pPr>
      <w:r w:rsidRPr="003C1157">
        <w:rPr>
          <w:rFonts w:ascii="Calibri" w:eastAsia="Calibri" w:hAnsi="Calibri" w:cs="Calibri"/>
          <w:bCs/>
          <w:szCs w:val="72"/>
          <w:lang w:val="sr-Cyrl-RS"/>
        </w:rPr>
        <w:t>2. девизни ризик</w:t>
      </w:r>
    </w:p>
    <w:p w14:paraId="0DCD5524" w14:textId="77777777" w:rsidR="00112B0B" w:rsidRPr="003C1157" w:rsidRDefault="00112B0B" w:rsidP="00DB0157">
      <w:pPr>
        <w:numPr>
          <w:ilvl w:val="1"/>
          <w:numId w:val="9"/>
        </w:numPr>
        <w:ind w:left="180" w:hanging="180"/>
        <w:contextualSpacing/>
        <w:rPr>
          <w:rFonts w:ascii="Calibri" w:eastAsia="Calibri" w:hAnsi="Calibri" w:cs="Calibri"/>
          <w:bCs/>
          <w:szCs w:val="72"/>
          <w:lang w:val="sr-Cyrl-RS"/>
        </w:rPr>
      </w:pPr>
      <w:r w:rsidRPr="003C1157">
        <w:rPr>
          <w:rFonts w:ascii="Calibri" w:eastAsia="Calibri" w:hAnsi="Calibri" w:cs="Calibri"/>
          <w:bCs/>
          <w:szCs w:val="72"/>
          <w:lang w:val="sr-Cyrl-RS"/>
        </w:rPr>
        <w:t>настојање да се смањи учешће дуга деноминованог у ино-валути уз уважавање трошкова новог дуга (трошкови динаризације дуга);</w:t>
      </w:r>
    </w:p>
    <w:p w14:paraId="1947F97B" w14:textId="77777777" w:rsidR="00112B0B" w:rsidRPr="003C1157" w:rsidRDefault="00112B0B" w:rsidP="00DB0157">
      <w:pPr>
        <w:numPr>
          <w:ilvl w:val="1"/>
          <w:numId w:val="9"/>
        </w:numPr>
        <w:ind w:left="180" w:hanging="180"/>
        <w:contextualSpacing/>
        <w:rPr>
          <w:rFonts w:ascii="Calibri" w:eastAsia="Calibri" w:hAnsi="Calibri" w:cs="Calibri"/>
          <w:bCs/>
          <w:szCs w:val="72"/>
          <w:lang w:val="sr-Cyrl-RS"/>
        </w:rPr>
      </w:pPr>
      <w:r w:rsidRPr="003C1157">
        <w:rPr>
          <w:rFonts w:ascii="Calibri" w:eastAsia="Calibri" w:hAnsi="Calibri" w:cs="Calibri"/>
          <w:bCs/>
          <w:szCs w:val="72"/>
          <w:lang w:val="sr-Cyrl-RS"/>
        </w:rPr>
        <w:t>коришћење финансијских деривата у циљу лимитирања ефеката промене курсева референтних валута;</w:t>
      </w:r>
    </w:p>
    <w:p w14:paraId="793AAE62" w14:textId="77777777" w:rsidR="00112B0B" w:rsidRPr="003C1157" w:rsidRDefault="00112B0B" w:rsidP="00DB0157">
      <w:pPr>
        <w:numPr>
          <w:ilvl w:val="1"/>
          <w:numId w:val="9"/>
        </w:numPr>
        <w:spacing w:after="120"/>
        <w:ind w:left="181" w:hanging="181"/>
        <w:rPr>
          <w:rFonts w:ascii="Calibri" w:eastAsia="Calibri" w:hAnsi="Calibri" w:cs="Calibri"/>
          <w:bCs/>
          <w:szCs w:val="72"/>
          <w:lang w:val="sr-Cyrl-RS"/>
        </w:rPr>
      </w:pPr>
      <w:r w:rsidRPr="003C1157">
        <w:rPr>
          <w:rFonts w:ascii="Calibri" w:eastAsia="Calibri" w:hAnsi="Calibri" w:cs="Calibri"/>
          <w:bCs/>
          <w:szCs w:val="72"/>
          <w:lang w:val="sr-Cyrl-RS"/>
        </w:rPr>
        <w:t>настојање да спољни дуг буде углавном у еврима и да се доларски дуг користи само ако је финансирање на међународном тржишту у доларима јефтиније уз коришћење финансијских деривата за лимитирање ризика;</w:t>
      </w:r>
    </w:p>
    <w:p w14:paraId="5B40E979" w14:textId="77777777" w:rsidR="00112B0B" w:rsidRPr="003C1157" w:rsidRDefault="00112B0B" w:rsidP="00523B7B">
      <w:pPr>
        <w:spacing w:after="60"/>
        <w:ind w:left="181" w:hanging="181"/>
        <w:rPr>
          <w:rFonts w:ascii="Calibri" w:eastAsia="Calibri" w:hAnsi="Calibri" w:cs="Calibri"/>
          <w:bCs/>
          <w:szCs w:val="72"/>
          <w:lang w:val="sr-Cyrl-RS"/>
        </w:rPr>
      </w:pPr>
      <w:r w:rsidRPr="003C1157">
        <w:rPr>
          <w:rFonts w:ascii="Calibri" w:eastAsia="Calibri" w:hAnsi="Calibri" w:cs="Calibri"/>
          <w:bCs/>
          <w:szCs w:val="72"/>
          <w:lang w:val="sr-Cyrl-RS"/>
        </w:rPr>
        <w:t>3. тржишни ризик (ризик каматних стопа, ризик инфлације)</w:t>
      </w:r>
    </w:p>
    <w:p w14:paraId="6449BB2B" w14:textId="77777777" w:rsidR="00112B0B" w:rsidRPr="003C1157" w:rsidRDefault="00112B0B" w:rsidP="00DB0157">
      <w:pPr>
        <w:numPr>
          <w:ilvl w:val="1"/>
          <w:numId w:val="10"/>
        </w:numPr>
        <w:ind w:left="180" w:hanging="180"/>
        <w:contextualSpacing/>
        <w:rPr>
          <w:rFonts w:ascii="Calibri" w:eastAsia="Calibri" w:hAnsi="Calibri" w:cs="Calibri"/>
          <w:bCs/>
          <w:szCs w:val="72"/>
          <w:lang w:val="sr-Cyrl-RS"/>
        </w:rPr>
      </w:pPr>
      <w:r w:rsidRPr="003C1157">
        <w:rPr>
          <w:rFonts w:ascii="Calibri" w:eastAsia="Calibri" w:hAnsi="Calibri" w:cs="Calibri"/>
          <w:bCs/>
          <w:szCs w:val="72"/>
          <w:lang w:val="sr-Cyrl-RS"/>
        </w:rPr>
        <w:t>настојање да се продужи просечна рочност домаћег дуга у динарима;</w:t>
      </w:r>
    </w:p>
    <w:p w14:paraId="7B9E5641" w14:textId="77777777" w:rsidR="00112B0B" w:rsidRPr="003C1157" w:rsidRDefault="00112B0B" w:rsidP="00DB0157">
      <w:pPr>
        <w:numPr>
          <w:ilvl w:val="1"/>
          <w:numId w:val="10"/>
        </w:numPr>
        <w:spacing w:after="120"/>
        <w:ind w:left="181" w:hanging="181"/>
        <w:rPr>
          <w:rFonts w:ascii="Calibri" w:eastAsia="Calibri" w:hAnsi="Calibri" w:cs="Calibri"/>
          <w:bCs/>
          <w:szCs w:val="72"/>
          <w:lang w:val="sr-Cyrl-RS"/>
        </w:rPr>
      </w:pPr>
      <w:r w:rsidRPr="003C1157">
        <w:rPr>
          <w:rFonts w:ascii="Calibri" w:eastAsia="Calibri" w:hAnsi="Calibri" w:cs="Calibri"/>
          <w:bCs/>
          <w:szCs w:val="72"/>
          <w:lang w:val="sr-Cyrl-RS"/>
        </w:rPr>
        <w:t>настојање да ризик по основу каматних стопа на спољни дуг не угрожава дугорочни циљ минимизације трошкова јавног дуга;</w:t>
      </w:r>
    </w:p>
    <w:p w14:paraId="04600290" w14:textId="77777777" w:rsidR="00112B0B" w:rsidRPr="003C1157" w:rsidRDefault="00112B0B" w:rsidP="00C91F83">
      <w:pPr>
        <w:spacing w:after="60"/>
        <w:rPr>
          <w:rFonts w:ascii="Calibri" w:eastAsia="Calibri" w:hAnsi="Calibri" w:cs="Calibri"/>
          <w:bCs/>
          <w:szCs w:val="72"/>
          <w:lang w:val="sr-Cyrl-RS"/>
        </w:rPr>
      </w:pPr>
      <w:r w:rsidRPr="003C1157">
        <w:rPr>
          <w:rFonts w:ascii="Calibri" w:eastAsia="Calibri" w:hAnsi="Calibri" w:cs="Calibri"/>
          <w:bCs/>
          <w:szCs w:val="72"/>
          <w:lang w:val="sr-Cyrl-RS"/>
        </w:rPr>
        <w:br w:type="column"/>
      </w:r>
      <w:r w:rsidRPr="003C1157">
        <w:rPr>
          <w:rFonts w:ascii="Calibri" w:eastAsia="Calibri" w:hAnsi="Calibri" w:cs="Calibri"/>
          <w:bCs/>
          <w:szCs w:val="72"/>
          <w:lang w:val="sr-Cyrl-RS"/>
        </w:rPr>
        <w:t>4. ризик ликвидности</w:t>
      </w:r>
    </w:p>
    <w:p w14:paraId="724F0708" w14:textId="77777777" w:rsidR="00112B0B" w:rsidRPr="003C1157" w:rsidRDefault="00112B0B" w:rsidP="00DB0157">
      <w:pPr>
        <w:numPr>
          <w:ilvl w:val="1"/>
          <w:numId w:val="11"/>
        </w:numPr>
        <w:ind w:left="180" w:hanging="180"/>
        <w:contextualSpacing/>
        <w:rPr>
          <w:rFonts w:ascii="Calibri" w:eastAsia="Calibri" w:hAnsi="Calibri" w:cs="Calibri"/>
          <w:bCs/>
          <w:szCs w:val="72"/>
          <w:lang w:val="sr-Cyrl-RS"/>
        </w:rPr>
      </w:pPr>
      <w:r w:rsidRPr="003C1157">
        <w:rPr>
          <w:rFonts w:ascii="Calibri" w:eastAsia="Calibri" w:hAnsi="Calibri" w:cs="Calibri"/>
          <w:bCs/>
          <w:szCs w:val="72"/>
          <w:lang w:val="sr-Cyrl-RS"/>
        </w:rPr>
        <w:t>перманентно одржавање нивоа готовине на рачунима Републике Србије на нивоу који омогућава несметано финансирање обавеза у минимуму од четири месеца и на нивоу који омогућава апсорпцију евентуалних мањих прилива по основу задуживања у односу на план;</w:t>
      </w:r>
    </w:p>
    <w:p w14:paraId="5CCDAB00" w14:textId="77777777" w:rsidR="00112B0B" w:rsidRPr="003C1157" w:rsidRDefault="00112B0B" w:rsidP="00DB0157">
      <w:pPr>
        <w:numPr>
          <w:ilvl w:val="1"/>
          <w:numId w:val="11"/>
        </w:numPr>
        <w:spacing w:after="120"/>
        <w:ind w:left="181" w:hanging="181"/>
        <w:rPr>
          <w:rFonts w:ascii="Calibri" w:eastAsia="Calibri" w:hAnsi="Calibri" w:cs="Calibri"/>
          <w:bCs/>
          <w:szCs w:val="72"/>
          <w:lang w:val="sr-Cyrl-RS"/>
        </w:rPr>
      </w:pPr>
      <w:r w:rsidRPr="003C1157">
        <w:rPr>
          <w:rFonts w:ascii="Calibri" w:eastAsia="Calibri" w:hAnsi="Calibri" w:cs="Calibri"/>
          <w:bCs/>
          <w:szCs w:val="72"/>
          <w:lang w:val="sr-Cyrl-RS"/>
        </w:rPr>
        <w:t>адекватно управљање слободним готовинским средствима на рачунима Републике Србије у складу са принципима asset-liability management и у складу са могућностима;</w:t>
      </w:r>
    </w:p>
    <w:p w14:paraId="59260AD2" w14:textId="77777777" w:rsidR="00112B0B" w:rsidRPr="003C1157" w:rsidRDefault="00112B0B" w:rsidP="00C91F83">
      <w:pPr>
        <w:spacing w:after="60"/>
        <w:rPr>
          <w:rFonts w:ascii="Calibri" w:eastAsia="Calibri" w:hAnsi="Calibri" w:cs="Calibri"/>
          <w:bCs/>
          <w:szCs w:val="72"/>
          <w:lang w:val="sr-Cyrl-RS"/>
        </w:rPr>
      </w:pPr>
      <w:r w:rsidRPr="003C1157">
        <w:rPr>
          <w:rFonts w:ascii="Calibri" w:eastAsia="Calibri" w:hAnsi="Calibri" w:cs="Calibri"/>
          <w:bCs/>
          <w:szCs w:val="72"/>
          <w:lang w:val="sr-Cyrl-RS"/>
        </w:rPr>
        <w:t>5. кредитни и оперативни ризици</w:t>
      </w:r>
    </w:p>
    <w:p w14:paraId="237A02BE" w14:textId="77777777" w:rsidR="00112B0B" w:rsidRPr="003C1157" w:rsidRDefault="00112B0B" w:rsidP="00DB0157">
      <w:pPr>
        <w:numPr>
          <w:ilvl w:val="1"/>
          <w:numId w:val="12"/>
        </w:numPr>
        <w:ind w:left="180" w:hanging="180"/>
        <w:contextualSpacing/>
        <w:rPr>
          <w:rFonts w:ascii="Calibri" w:eastAsia="Calibri" w:hAnsi="Calibri" w:cs="Calibri"/>
          <w:bCs/>
          <w:szCs w:val="72"/>
          <w:lang w:val="sr-Cyrl-RS"/>
        </w:rPr>
      </w:pPr>
      <w:r w:rsidRPr="003C1157">
        <w:rPr>
          <w:rFonts w:ascii="Calibri" w:eastAsia="Calibri" w:hAnsi="Calibri" w:cs="Calibri"/>
          <w:bCs/>
          <w:szCs w:val="72"/>
          <w:lang w:val="sr-Cyrl-RS"/>
        </w:rPr>
        <w:t>спровођење трансакција са финансијским дериватима само са финансијским институцијама које имају висок кредитни рејтинг;</w:t>
      </w:r>
    </w:p>
    <w:p w14:paraId="1AC7EE72" w14:textId="77777777" w:rsidR="00112B0B" w:rsidRPr="003C1157" w:rsidRDefault="00112B0B" w:rsidP="00DB0157">
      <w:pPr>
        <w:numPr>
          <w:ilvl w:val="1"/>
          <w:numId w:val="12"/>
        </w:numPr>
        <w:ind w:left="180" w:hanging="180"/>
        <w:contextualSpacing/>
        <w:rPr>
          <w:rFonts w:ascii="Calibri" w:eastAsia="Calibri" w:hAnsi="Calibri" w:cs="Calibri"/>
          <w:bCs/>
          <w:szCs w:val="72"/>
          <w:lang w:val="sr-Cyrl-RS"/>
        </w:rPr>
      </w:pPr>
      <w:r w:rsidRPr="003C1157">
        <w:rPr>
          <w:rFonts w:ascii="Calibri" w:eastAsia="Calibri" w:hAnsi="Calibri" w:cs="Calibri"/>
          <w:bCs/>
          <w:szCs w:val="72"/>
          <w:lang w:val="sr-Cyrl-RS"/>
        </w:rPr>
        <w:t>коришћење финансијских инструмената који лимитирају кредитни ризик;</w:t>
      </w:r>
    </w:p>
    <w:p w14:paraId="03134078" w14:textId="77777777" w:rsidR="00112B0B" w:rsidRPr="003C1157" w:rsidRDefault="00112B0B" w:rsidP="00DB0157">
      <w:pPr>
        <w:numPr>
          <w:ilvl w:val="1"/>
          <w:numId w:val="12"/>
        </w:numPr>
        <w:ind w:left="180" w:hanging="180"/>
        <w:contextualSpacing/>
        <w:rPr>
          <w:rFonts w:ascii="Calibri" w:eastAsia="Calibri" w:hAnsi="Calibri" w:cs="Calibri"/>
          <w:bCs/>
          <w:szCs w:val="72"/>
          <w:lang w:val="sr-Cyrl-RS"/>
        </w:rPr>
      </w:pPr>
      <w:r w:rsidRPr="003C1157">
        <w:rPr>
          <w:rFonts w:ascii="Calibri" w:eastAsia="Calibri" w:hAnsi="Calibri" w:cs="Calibri"/>
          <w:bCs/>
          <w:szCs w:val="72"/>
          <w:lang w:val="sr-Cyrl-RS"/>
        </w:rPr>
        <w:t>давање гаранција и одобравање новог дуга јединицама локалне самоуправе само ако постоји адекватна анализа о релативно ниском степену вероватноће да се реализује гаранција или да јединица локалне самоуправе постане несолвентна у средњорочном периоду;</w:t>
      </w:r>
    </w:p>
    <w:p w14:paraId="149CDFC9" w14:textId="77777777" w:rsidR="00112B0B" w:rsidRPr="003C1157" w:rsidRDefault="00112B0B" w:rsidP="00523B7B">
      <w:pPr>
        <w:numPr>
          <w:ilvl w:val="0"/>
          <w:numId w:val="5"/>
        </w:numPr>
        <w:tabs>
          <w:tab w:val="left" w:pos="90"/>
        </w:tabs>
        <w:spacing w:after="120"/>
        <w:ind w:left="181" w:hanging="181"/>
        <w:rPr>
          <w:rFonts w:ascii="Calibri" w:eastAsia="Calibri" w:hAnsi="Calibri" w:cs="Calibri"/>
          <w:bCs/>
          <w:szCs w:val="72"/>
          <w:lang w:val="sr-Cyrl-RS"/>
        </w:rPr>
      </w:pPr>
      <w:r w:rsidRPr="003C1157">
        <w:rPr>
          <w:rFonts w:ascii="Calibri" w:eastAsia="Calibri" w:hAnsi="Calibri" w:cs="Calibri"/>
          <w:bCs/>
          <w:szCs w:val="72"/>
          <w:lang w:val="sr-Cyrl-RS"/>
        </w:rPr>
        <w:t>увођење адекватне контроле у свим пословним активностима у Управи за јавни дуг и унапређење знања запослених;</w:t>
      </w:r>
    </w:p>
    <w:p w14:paraId="6141F198" w14:textId="77777777" w:rsidR="00112B0B" w:rsidRPr="003C1157" w:rsidRDefault="00112B0B" w:rsidP="00523B7B">
      <w:pPr>
        <w:tabs>
          <w:tab w:val="left" w:pos="90"/>
        </w:tabs>
        <w:spacing w:after="60"/>
        <w:ind w:left="181" w:hanging="181"/>
        <w:rPr>
          <w:rFonts w:ascii="Calibri" w:eastAsia="Calibri" w:hAnsi="Calibri" w:cs="Calibri"/>
          <w:bCs/>
          <w:szCs w:val="72"/>
          <w:lang w:val="sr-Cyrl-RS"/>
        </w:rPr>
      </w:pPr>
      <w:r w:rsidRPr="003C1157">
        <w:rPr>
          <w:rFonts w:ascii="Calibri" w:eastAsia="Calibri" w:hAnsi="Calibri" w:cs="Calibri"/>
          <w:bCs/>
          <w:szCs w:val="72"/>
          <w:lang w:val="sr-Cyrl-RS"/>
        </w:rPr>
        <w:t>6. ризици везани за дистрибуцију трошкова сервисирања</w:t>
      </w:r>
    </w:p>
    <w:p w14:paraId="39DE4151" w14:textId="77777777" w:rsidR="00112B0B" w:rsidRPr="003C1157" w:rsidRDefault="00112B0B" w:rsidP="00523B7B">
      <w:pPr>
        <w:numPr>
          <w:ilvl w:val="0"/>
          <w:numId w:val="5"/>
        </w:numPr>
        <w:tabs>
          <w:tab w:val="left" w:pos="90"/>
        </w:tabs>
        <w:ind w:left="181" w:hanging="181"/>
        <w:contextualSpacing/>
        <w:rPr>
          <w:rFonts w:ascii="Calibri" w:eastAsia="Calibri" w:hAnsi="Calibri" w:cs="Calibri"/>
          <w:bCs/>
          <w:szCs w:val="72"/>
          <w:lang w:val="sr-Cyrl-RS"/>
        </w:rPr>
      </w:pPr>
      <w:r w:rsidRPr="003C1157">
        <w:rPr>
          <w:rFonts w:ascii="Calibri" w:eastAsia="Calibri" w:hAnsi="Calibri" w:cs="Calibri"/>
          <w:bCs/>
          <w:szCs w:val="72"/>
          <w:lang w:val="sr-Cyrl-RS"/>
        </w:rPr>
        <w:t>адекватно планирање задуживања на годишњем нивоу и равномерна расподела у наредним годинама и током фискалне године како би се избегао ризик велике концентрације обавеза за рефинансирање;</w:t>
      </w:r>
    </w:p>
    <w:p w14:paraId="1E7C85E3" w14:textId="77777777" w:rsidR="00112B0B" w:rsidRPr="003C1157" w:rsidRDefault="00112B0B" w:rsidP="00523B7B">
      <w:pPr>
        <w:numPr>
          <w:ilvl w:val="0"/>
          <w:numId w:val="5"/>
        </w:numPr>
        <w:tabs>
          <w:tab w:val="left" w:pos="90"/>
        </w:tabs>
        <w:ind w:left="181" w:hanging="181"/>
        <w:rPr>
          <w:rFonts w:ascii="Calibri" w:eastAsia="Calibri" w:hAnsi="Calibri" w:cs="Calibri"/>
          <w:bCs/>
          <w:szCs w:val="72"/>
          <w:lang w:val="sr-Cyrl-RS"/>
        </w:rPr>
      </w:pPr>
      <w:r w:rsidRPr="003C1157">
        <w:rPr>
          <w:rFonts w:ascii="Calibri" w:eastAsia="Calibri" w:hAnsi="Calibri" w:cs="Calibri"/>
          <w:bCs/>
          <w:szCs w:val="72"/>
          <w:lang w:val="sr-Cyrl-RS"/>
        </w:rPr>
        <w:t>избегавање концентрације обавеза по основу јавног дуга на месечном нивоу, који не би могао бити амортизован слободним новчаним средствима на рачунима Републике Србије.</w:t>
      </w:r>
    </w:p>
    <w:p w14:paraId="2A29178E" w14:textId="77777777" w:rsidR="00112B0B" w:rsidRPr="003C1157" w:rsidRDefault="00112B0B" w:rsidP="00523B7B">
      <w:pPr>
        <w:spacing w:line="256" w:lineRule="auto"/>
        <w:rPr>
          <w:rFonts w:ascii="Calibri" w:eastAsia="Calibri" w:hAnsi="Calibri" w:cs="Times New Roman"/>
          <w:b/>
          <w:color w:val="2F5496" w:themeColor="accent1" w:themeShade="BF"/>
          <w:sz w:val="22"/>
          <w:lang w:val="sr-Cyrl-RS"/>
        </w:rPr>
      </w:pPr>
      <w:r w:rsidRPr="003C1157">
        <w:rPr>
          <w:rFonts w:ascii="Calibri" w:eastAsia="Calibri" w:hAnsi="Calibri" w:cs="Times New Roman"/>
          <w:b/>
          <w:color w:val="2F5496" w:themeColor="accent1" w:themeShade="BF"/>
          <w:sz w:val="22"/>
          <w:lang w:val="sr-Cyrl-RS"/>
        </w:rPr>
        <w:t>Анализе коришћене приликом израде Стратегије за управљање јавним дугом</w:t>
      </w:r>
    </w:p>
    <w:p w14:paraId="05795E02"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За формулисање Стратегије за управљање јавним дугом коришћен је квантитативни приступ у анализи трошкова и ризика који утичу на управљање јавним дугом.</w:t>
      </w:r>
    </w:p>
    <w:p w14:paraId="1C1827C7"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lastRenderedPageBreak/>
        <w:t>Имајући у виду макроекономско окружење и тржишне услове, упоредно се разматрају алтернативни извори финансирања.</w:t>
      </w:r>
    </w:p>
    <w:p w14:paraId="65BAC7D8"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У сврху анализе коришћени су инструменти доступни на домаћем и међународном финансијском тржишту.</w:t>
      </w:r>
    </w:p>
    <w:p w14:paraId="49919F68" w14:textId="77777777" w:rsidR="00112B0B" w:rsidRPr="003C1157" w:rsidRDefault="00112B0B" w:rsidP="00523B7B">
      <w:pPr>
        <w:spacing w:after="120"/>
        <w:rPr>
          <w:rFonts w:ascii="Calibri" w:eastAsia="Calibri" w:hAnsi="Calibri" w:cs="Calibri"/>
          <w:bCs/>
          <w:szCs w:val="72"/>
          <w:lang w:val="sr-Cyrl-RS"/>
        </w:rPr>
      </w:pPr>
      <w:r w:rsidRPr="003C1157">
        <w:rPr>
          <w:rFonts w:ascii="Calibri" w:eastAsia="Calibri" w:hAnsi="Calibri" w:cs="Calibri"/>
          <w:bCs/>
          <w:szCs w:val="72"/>
          <w:lang w:val="sr-Cyrl-RS"/>
        </w:rPr>
        <w:t>Извори финансирања деноминовани у страној валути:</w:t>
      </w:r>
    </w:p>
    <w:p w14:paraId="729D2EDF" w14:textId="77777777" w:rsidR="00112B0B" w:rsidRPr="003C1157" w:rsidRDefault="00112B0B" w:rsidP="00523B7B">
      <w:pPr>
        <w:numPr>
          <w:ilvl w:val="0"/>
          <w:numId w:val="6"/>
        </w:numPr>
        <w:ind w:left="180" w:hanging="180"/>
        <w:contextualSpacing/>
        <w:rPr>
          <w:rFonts w:ascii="Calibri" w:eastAsia="Calibri" w:hAnsi="Calibri" w:cs="Calibri"/>
          <w:bCs/>
          <w:szCs w:val="72"/>
          <w:lang w:val="sr-Cyrl-RS"/>
        </w:rPr>
      </w:pPr>
      <w:r w:rsidRPr="003C1157">
        <w:rPr>
          <w:rFonts w:ascii="Calibri" w:eastAsia="Calibri" w:hAnsi="Calibri" w:cs="Calibri"/>
          <w:bCs/>
          <w:szCs w:val="72"/>
          <w:lang w:val="sr-Cyrl-RS"/>
        </w:rPr>
        <w:t>Зајмови страних влада и међународних финансијских институција, као и домаћих пословних банака – приказани као концесионални инструменти деноминовани у еврима или америчким доларима, са фиксном или варијабилном каматном стопом;</w:t>
      </w:r>
    </w:p>
    <w:p w14:paraId="131C15E7" w14:textId="77777777" w:rsidR="00112B0B" w:rsidRPr="003C1157" w:rsidRDefault="00112B0B" w:rsidP="00523B7B">
      <w:pPr>
        <w:numPr>
          <w:ilvl w:val="0"/>
          <w:numId w:val="6"/>
        </w:numPr>
        <w:ind w:left="180" w:hanging="180"/>
        <w:contextualSpacing/>
        <w:rPr>
          <w:rFonts w:ascii="Calibri" w:eastAsia="Calibri" w:hAnsi="Calibri" w:cs="Calibri"/>
          <w:bCs/>
          <w:szCs w:val="72"/>
          <w:lang w:val="sr-Cyrl-RS"/>
        </w:rPr>
      </w:pPr>
      <w:r w:rsidRPr="003C1157">
        <w:rPr>
          <w:rFonts w:ascii="Calibri" w:eastAsia="Calibri" w:hAnsi="Calibri" w:cs="Calibri"/>
          <w:bCs/>
          <w:szCs w:val="72"/>
          <w:lang w:val="sr-Cyrl-RS"/>
        </w:rPr>
        <w:t>Домаћи дуг деноминован у еврима исказан кроз државнe записe и државне обвезнице емитоване на домаћем финансијском тржишту и иностраном тржишту;</w:t>
      </w:r>
    </w:p>
    <w:p w14:paraId="3781002E" w14:textId="77777777" w:rsidR="00112B0B" w:rsidRPr="003C1157" w:rsidRDefault="00112B0B" w:rsidP="00523B7B">
      <w:pPr>
        <w:numPr>
          <w:ilvl w:val="0"/>
          <w:numId w:val="6"/>
        </w:numPr>
        <w:ind w:left="180" w:hanging="180"/>
        <w:contextualSpacing/>
        <w:rPr>
          <w:rFonts w:ascii="Calibri" w:eastAsia="Calibri" w:hAnsi="Calibri" w:cs="Calibri"/>
          <w:bCs/>
          <w:szCs w:val="72"/>
          <w:lang w:val="sr-Cyrl-RS"/>
        </w:rPr>
      </w:pPr>
      <w:r w:rsidRPr="003C1157">
        <w:rPr>
          <w:rFonts w:ascii="Calibri" w:eastAsia="Calibri" w:hAnsi="Calibri" w:cs="Calibri"/>
          <w:bCs/>
          <w:szCs w:val="72"/>
          <w:lang w:val="sr-Cyrl-RS"/>
        </w:rPr>
        <w:t>Еврообвезницe – емитованe у еврима или америчким доларима на међународном финансијском тржишту.</w:t>
      </w:r>
    </w:p>
    <w:p w14:paraId="6AF0C691" w14:textId="77777777" w:rsidR="00112B0B" w:rsidRPr="003C1157" w:rsidRDefault="00112B0B" w:rsidP="00523B7B">
      <w:pPr>
        <w:ind w:left="180"/>
        <w:contextualSpacing/>
        <w:rPr>
          <w:rFonts w:ascii="Calibri" w:eastAsia="Calibri" w:hAnsi="Calibri" w:cs="Calibri"/>
          <w:bCs/>
          <w:szCs w:val="72"/>
          <w:lang w:val="sr-Cyrl-RS"/>
        </w:rPr>
      </w:pPr>
    </w:p>
    <w:p w14:paraId="31FE8B0F" w14:textId="77777777" w:rsidR="00112B0B" w:rsidRPr="003C1157" w:rsidRDefault="00112B0B" w:rsidP="00523B7B">
      <w:pPr>
        <w:spacing w:after="120"/>
        <w:rPr>
          <w:rFonts w:ascii="Calibri" w:eastAsia="Calibri" w:hAnsi="Calibri" w:cs="Calibri"/>
          <w:bCs/>
          <w:szCs w:val="72"/>
          <w:lang w:val="sr-Cyrl-RS"/>
        </w:rPr>
      </w:pPr>
      <w:r w:rsidRPr="003C1157">
        <w:rPr>
          <w:rFonts w:ascii="Calibri" w:eastAsia="Calibri" w:hAnsi="Calibri" w:cs="Calibri"/>
          <w:bCs/>
          <w:szCs w:val="72"/>
          <w:lang w:val="sr-Cyrl-RS"/>
        </w:rPr>
        <w:t>Извори финансирања у домаћој валути:</w:t>
      </w:r>
    </w:p>
    <w:p w14:paraId="0D2984F6" w14:textId="77777777" w:rsidR="00112B0B" w:rsidRPr="003C1157" w:rsidRDefault="00112B0B" w:rsidP="00523B7B">
      <w:pPr>
        <w:numPr>
          <w:ilvl w:val="1"/>
          <w:numId w:val="7"/>
        </w:numPr>
        <w:ind w:left="181" w:hanging="181"/>
        <w:rPr>
          <w:rFonts w:ascii="Calibri" w:eastAsia="Calibri" w:hAnsi="Calibri" w:cs="Calibri"/>
          <w:bCs/>
          <w:szCs w:val="72"/>
          <w:lang w:val="sr-Cyrl-RS"/>
        </w:rPr>
      </w:pPr>
      <w:r w:rsidRPr="003C1157">
        <w:rPr>
          <w:rFonts w:ascii="Calibri" w:eastAsia="Calibri" w:hAnsi="Calibri" w:cs="Calibri"/>
          <w:bCs/>
          <w:szCs w:val="72"/>
          <w:lang w:val="sr-Cyrl-RS"/>
        </w:rPr>
        <w:t>Све државне хартије од вредности деноминоване у динарима груписане су на државне записе (са роковима доспећа до 53 недеље) и државне обвезнице (са роковима доспећа од две године и више).</w:t>
      </w:r>
    </w:p>
    <w:p w14:paraId="0CDE81ED" w14:textId="77777777" w:rsidR="00112B0B" w:rsidRPr="003C1157" w:rsidRDefault="00112B0B" w:rsidP="00523B7B">
      <w:pPr>
        <w:spacing w:line="256" w:lineRule="auto"/>
        <w:rPr>
          <w:rFonts w:ascii="Calibri" w:eastAsia="Calibri" w:hAnsi="Calibri" w:cs="Times New Roman"/>
          <w:b/>
          <w:color w:val="2F5496" w:themeColor="accent1" w:themeShade="BF"/>
          <w:sz w:val="22"/>
          <w:lang w:val="sr-Cyrl-RS"/>
        </w:rPr>
      </w:pPr>
      <w:r w:rsidRPr="003C1157">
        <w:rPr>
          <w:rFonts w:ascii="Calibri" w:eastAsia="Calibri" w:hAnsi="Calibri" w:cs="Times New Roman"/>
          <w:b/>
          <w:color w:val="2F5496" w:themeColor="accent1" w:themeShade="BF"/>
          <w:sz w:val="22"/>
          <w:lang w:val="sr-Cyrl-RS"/>
        </w:rPr>
        <w:t>Будуће тржишне каматне стопе и сценарио анализа</w:t>
      </w:r>
    </w:p>
    <w:p w14:paraId="4F2B092F"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Након избора одговарајуће композиције извора финансирања (изабране и компаративних стратегија финансирања), приступа се анализи трошкова и ризика полазећи од основног (највероватнијег) сценарија, након чега се врши стрес тестирање за додатне врсте сценарија –шокова, како би се добио преглед ефеката коштања разматраних стратегија.</w:t>
      </w:r>
    </w:p>
    <w:p w14:paraId="410C30BB"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Основни сценарио се базира на највише вероватним тржишним условима за три групе тржишних варијабли: девизни курс, каматне стопе на међународном тржишту и каматне стопе на домаћем тржишту. Приступ за динарске и евро каматне стопе заснива се на стопама оствареним током претходне и текуће године.</w:t>
      </w:r>
    </w:p>
    <w:p w14:paraId="0BB65BEA"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Након дефинисања основног сценарија, у циљу стрес тестирања одабране су додатне врсте сценарија – шокова:</w:t>
      </w:r>
    </w:p>
    <w:p w14:paraId="6DF0DBA6" w14:textId="77777777" w:rsidR="00112B0B" w:rsidRPr="003C1157" w:rsidRDefault="00112B0B" w:rsidP="00523B7B">
      <w:pPr>
        <w:pStyle w:val="ListParagraph"/>
        <w:numPr>
          <w:ilvl w:val="2"/>
          <w:numId w:val="6"/>
        </w:numPr>
        <w:spacing w:after="60"/>
        <w:ind w:left="227" w:hanging="227"/>
        <w:contextualSpacing w:val="0"/>
        <w:rPr>
          <w:rFonts w:ascii="Calibri" w:eastAsia="Calibri" w:hAnsi="Calibri" w:cs="Calibri"/>
          <w:bCs/>
          <w:szCs w:val="72"/>
          <w:lang w:val="sr-Cyrl-RS"/>
        </w:rPr>
      </w:pPr>
      <w:r w:rsidRPr="003C1157">
        <w:rPr>
          <w:rFonts w:ascii="Calibri" w:eastAsia="Calibri" w:hAnsi="Calibri" w:cs="Calibri"/>
          <w:bCs/>
          <w:szCs w:val="72"/>
          <w:lang w:val="sr-Cyrl-RS"/>
        </w:rPr>
        <w:t>Депрецијација динара у односу на све валуте од 15% у 2025.</w:t>
      </w:r>
      <w:r w:rsidRPr="003C1157">
        <w:rPr>
          <w:rFonts w:ascii="Calibri" w:eastAsia="Calibri" w:hAnsi="Calibri" w:cs="Calibri"/>
          <w:bCs/>
          <w:color w:val="FF0000"/>
          <w:szCs w:val="72"/>
          <w:lang w:val="sr-Cyrl-RS"/>
        </w:rPr>
        <w:t xml:space="preserve"> </w:t>
      </w:r>
      <w:r w:rsidRPr="003C1157">
        <w:rPr>
          <w:rFonts w:ascii="Calibri" w:eastAsia="Calibri" w:hAnsi="Calibri" w:cs="Calibri"/>
          <w:bCs/>
          <w:szCs w:val="72"/>
          <w:lang w:val="sr-Cyrl-RS"/>
        </w:rPr>
        <w:t>години. У овом сценарију однос евра и америчког долара би остао стабилан, док би само динар депрецирао у односу на обе валуте;</w:t>
      </w:r>
    </w:p>
    <w:p w14:paraId="4C275F9F" w14:textId="77777777" w:rsidR="00112B0B" w:rsidRPr="003C1157" w:rsidRDefault="00112B0B" w:rsidP="00523B7B">
      <w:pPr>
        <w:pStyle w:val="ListParagraph"/>
        <w:numPr>
          <w:ilvl w:val="2"/>
          <w:numId w:val="6"/>
        </w:numPr>
        <w:spacing w:after="60"/>
        <w:ind w:left="227" w:hanging="227"/>
        <w:contextualSpacing w:val="0"/>
        <w:rPr>
          <w:rFonts w:ascii="Calibri" w:eastAsia="Calibri" w:hAnsi="Calibri" w:cs="Calibri"/>
          <w:bCs/>
          <w:szCs w:val="72"/>
          <w:lang w:val="sr-Cyrl-RS"/>
        </w:rPr>
      </w:pPr>
      <w:r w:rsidRPr="003C1157">
        <w:rPr>
          <w:rFonts w:ascii="Calibri" w:eastAsia="Calibri" w:hAnsi="Calibri" w:cs="Calibri"/>
          <w:bCs/>
          <w:szCs w:val="72"/>
          <w:lang w:val="sr-Cyrl-RS"/>
        </w:rPr>
        <w:t>Повећање каматних стопа на домаћем и међународном тржишту за 2 п.п.;</w:t>
      </w:r>
    </w:p>
    <w:p w14:paraId="1D8C3B65" w14:textId="77777777" w:rsidR="00112B0B" w:rsidRPr="003C1157" w:rsidRDefault="00112B0B" w:rsidP="00523B7B">
      <w:pPr>
        <w:pStyle w:val="ListParagraph"/>
        <w:numPr>
          <w:ilvl w:val="2"/>
          <w:numId w:val="6"/>
        </w:numPr>
        <w:spacing w:after="60"/>
        <w:ind w:left="227" w:hanging="227"/>
        <w:contextualSpacing w:val="0"/>
        <w:rPr>
          <w:rFonts w:ascii="Calibri" w:eastAsia="Calibri" w:hAnsi="Calibri" w:cs="Calibri"/>
          <w:bCs/>
          <w:spacing w:val="-4"/>
          <w:szCs w:val="72"/>
          <w:lang w:val="sr-Cyrl-RS"/>
        </w:rPr>
      </w:pPr>
      <w:r w:rsidRPr="003C1157">
        <w:rPr>
          <w:rFonts w:ascii="Calibri" w:eastAsia="Calibri" w:hAnsi="Calibri" w:cs="Calibri"/>
          <w:bCs/>
          <w:spacing w:val="-4"/>
          <w:szCs w:val="72"/>
          <w:lang w:val="sr-Cyrl-RS"/>
        </w:rPr>
        <w:t>Повећање каматних стопа на међународном тржишту до 3 п.п., а на домаћем тржишту до 4 п.п.;</w:t>
      </w:r>
    </w:p>
    <w:p w14:paraId="27CF42FF" w14:textId="77777777" w:rsidR="00112B0B" w:rsidRPr="003C1157" w:rsidRDefault="00112B0B" w:rsidP="00523B7B">
      <w:pPr>
        <w:pStyle w:val="ListParagraph"/>
        <w:numPr>
          <w:ilvl w:val="2"/>
          <w:numId w:val="6"/>
        </w:numPr>
        <w:ind w:left="227" w:hanging="227"/>
        <w:rPr>
          <w:rFonts w:ascii="Calibri" w:eastAsia="Calibri" w:hAnsi="Calibri" w:cs="Calibri"/>
          <w:bCs/>
          <w:szCs w:val="72"/>
          <w:lang w:val="sr-Cyrl-RS"/>
        </w:rPr>
      </w:pPr>
      <w:r w:rsidRPr="003C1157">
        <w:rPr>
          <w:rFonts w:ascii="Calibri" w:eastAsia="Calibri" w:hAnsi="Calibri" w:cs="Calibri"/>
          <w:bCs/>
          <w:szCs w:val="72"/>
          <w:lang w:val="sr-Cyrl-RS"/>
        </w:rPr>
        <w:t>Комбиновани шок који се односи на депрецијацију динара у односу на долар 15% у 2024. години и раст каматних стопа за 2 п.п.</w:t>
      </w:r>
    </w:p>
    <w:p w14:paraId="5549F80B" w14:textId="77777777" w:rsidR="00112B0B" w:rsidRPr="003C1157" w:rsidRDefault="00112B0B" w:rsidP="00523B7B">
      <w:pPr>
        <w:spacing w:line="256" w:lineRule="auto"/>
        <w:rPr>
          <w:rFonts w:ascii="Calibri" w:eastAsia="Calibri" w:hAnsi="Calibri" w:cs="Times New Roman"/>
          <w:b/>
          <w:color w:val="2F5496" w:themeColor="accent1" w:themeShade="BF"/>
          <w:sz w:val="22"/>
          <w:lang w:val="sr-Cyrl-RS"/>
        </w:rPr>
      </w:pPr>
      <w:r w:rsidRPr="003C1157">
        <w:rPr>
          <w:rFonts w:ascii="Calibri" w:eastAsia="Calibri" w:hAnsi="Calibri" w:cs="Times New Roman"/>
          <w:b/>
          <w:color w:val="2F5496" w:themeColor="accent1" w:themeShade="BF"/>
          <w:sz w:val="22"/>
          <w:lang w:val="sr-Cyrl-RS"/>
        </w:rPr>
        <w:t>Алтернативне стратегије задуживања за период 2024–2026. године</w:t>
      </w:r>
    </w:p>
    <w:p w14:paraId="11BD9BCF"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 xml:space="preserve">На бази модела Светске банке </w:t>
      </w:r>
      <w:r w:rsidRPr="003C1157">
        <w:rPr>
          <w:rFonts w:ascii="Calibri" w:eastAsia="Calibri" w:hAnsi="Calibri" w:cs="Calibri"/>
          <w:bCs/>
          <w:i/>
          <w:szCs w:val="72"/>
          <w:lang w:val="sr-Cyrl-RS"/>
        </w:rPr>
        <w:t>Medium Term Debt Strategy Model</w:t>
      </w:r>
      <w:r w:rsidRPr="003C1157">
        <w:rPr>
          <w:rFonts w:ascii="Calibri" w:eastAsia="Calibri" w:hAnsi="Calibri" w:cs="Calibri"/>
          <w:bCs/>
          <w:szCs w:val="72"/>
          <w:lang w:val="sr-Cyrl-RS"/>
        </w:rPr>
        <w:t xml:space="preserve"> – MTDS, анализиране алтернативне стратегије задуживања су:</w:t>
      </w:r>
    </w:p>
    <w:p w14:paraId="320F1790"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Основна стратегија (С1): представља стратегију која укупне потребе за буџетским финансирањем покрива највећим делом из извора финансирања у страној валути. Изворе буџетског финансирања у страној валути највећим делом сачињавају примања од продаје еврообвезница на иностраном финансијском тржишту (рочности од петнаест година), средства из аранжмана са Међународним Монетарним Фондом, као и програмски зајмови различитих поверилаца. Изворе буџетског финансирања у домаћој валути сачињавају примања од емисије државних обвезница (рочности од две до девет година) на домаћем финансијском тржишту. Пројектно финансирање, као и у претходним годинама, обезбеђује се највећим делом из кредита деноминованих у страној валути од иностраних поверилаца.</w:t>
      </w:r>
    </w:p>
    <w:p w14:paraId="0807AE1B"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Стратегија (С2): у односу на стратегију С1, целокупне потребе за финансирањем задовољавају се емисијом еврообвезница у доларима, рочности дванаест и петнаест година.</w:t>
      </w:r>
    </w:p>
    <w:p w14:paraId="29AEFD87"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 xml:space="preserve">Стратегија (С3): у односу на стратегију С1, представља стратегију која целокупно </w:t>
      </w:r>
      <w:r w:rsidRPr="003C1157">
        <w:rPr>
          <w:rFonts w:ascii="Calibri" w:eastAsia="Calibri" w:hAnsi="Calibri" w:cs="Calibri"/>
          <w:bCs/>
          <w:szCs w:val="72"/>
          <w:lang w:val="sr-Cyrl-RS"/>
        </w:rPr>
        <w:lastRenderedPageBreak/>
        <w:t>финансирање заснива на емисијама еврообвезница у еврима рочности дванаест и петнаест година.</w:t>
      </w:r>
    </w:p>
    <w:p w14:paraId="3940F4F7"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Стратегија додатне динаризације (С4): представља стратегију која целокупно финансирање заснива на емисијама динарских хартија од вредности.</w:t>
      </w:r>
    </w:p>
    <w:p w14:paraId="0C02882B" w14:textId="77777777" w:rsidR="00112B0B" w:rsidRPr="003C1157" w:rsidRDefault="00112B0B" w:rsidP="00523B7B">
      <w:pPr>
        <w:spacing w:line="256" w:lineRule="auto"/>
        <w:rPr>
          <w:rFonts w:ascii="Calibri" w:eastAsia="Calibri" w:hAnsi="Calibri" w:cs="Calibri"/>
          <w:bCs/>
          <w:szCs w:val="72"/>
          <w:lang w:val="sr-Cyrl-RS"/>
        </w:rPr>
      </w:pPr>
      <w:r w:rsidRPr="003C1157">
        <w:rPr>
          <w:rFonts w:ascii="Calibri" w:eastAsia="Calibri" w:hAnsi="Calibri" w:cs="Times New Roman"/>
          <w:b/>
          <w:color w:val="2F5496" w:themeColor="accent1" w:themeShade="BF"/>
          <w:sz w:val="22"/>
          <w:lang w:val="sr-Cyrl-RS"/>
        </w:rPr>
        <w:t>Поређење алтернативних стратегија</w:t>
      </w:r>
    </w:p>
    <w:p w14:paraId="582E8454"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За поређење алтернативних стратегија задуживања примењене су две мере трошкова: однос јавног дуга према БДП и номинална камата као проценат БДП. Први однос је индикатор стања, а други индикатор тока. У циљу поређења, пажња је усмерена на резултате разматраних стратегија на крају 2026. године.</w:t>
      </w:r>
    </w:p>
    <w:p w14:paraId="0B9778E3"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pacing w:val="-2"/>
          <w:szCs w:val="72"/>
          <w:lang w:val="sr-Cyrl-RS"/>
        </w:rPr>
        <w:t xml:space="preserve">На основу графикона јасно се уочавају трошкови које свака од разматраних стратегија носи са собом. </w:t>
      </w:r>
      <w:r w:rsidRPr="003C1157">
        <w:rPr>
          <w:rFonts w:ascii="Calibri" w:eastAsia="Calibri" w:hAnsi="Calibri" w:cs="Calibri"/>
          <w:bCs/>
          <w:szCs w:val="72"/>
          <w:lang w:val="sr-Cyrl-RS"/>
        </w:rPr>
        <w:t>Трошак алтернативних стратегија при основном макроекономском сценарију приказан је на вертикалној оси графикона трошкова, док се на хоризонталној оси налази потенцијални трошак одређене стратегије задуживања (резултат стрес теста).</w:t>
      </w:r>
    </w:p>
    <w:p w14:paraId="4D05654B"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При основном макроекономском сценарију на крају 2026. године, мерено учешћем дуга у БДП, највише трошкове има стратегија С2, док су стратегије С1, С3 и С4 на нижем, приближно сличном трошковном нивоу. Са друге стране највећи ризик на однос дуга и БДП, ако се одступи од основног макроекономског сценарија, има промена девизног курса. Посматрано са аспекта утицаја шокова девизног курса на рацио дуга и БДП, најбољи положај има стратегија С4 јер је целокупно финансирање у динарима, док стратегије С2 и С3 имају већу изложеност ризику промени девизног курса јер финансирање засновано у потпуности на изворима у страној валути. Стратегија С1 у погледу ризика промене девизног курса има нешто повољнији положај у односу на стратегије С2 и С3, из разлога што комбинује финансирање у домаћој и страној валути.</w:t>
      </w:r>
    </w:p>
    <w:p w14:paraId="630BDD5D" w14:textId="77777777" w:rsidR="00112B0B" w:rsidRPr="003C1157" w:rsidRDefault="00112B0B" w:rsidP="00523B7B">
      <w:pPr>
        <w:spacing w:line="256" w:lineRule="auto"/>
        <w:rPr>
          <w:rFonts w:ascii="Calibri" w:eastAsia="Calibri" w:hAnsi="Calibri" w:cs="Calibri"/>
          <w:bCs/>
          <w:szCs w:val="72"/>
          <w:lang w:val="sr-Cyrl-RS"/>
        </w:rPr>
      </w:pPr>
      <w:r w:rsidRPr="003C1157">
        <w:rPr>
          <w:rFonts w:ascii="Calibri" w:eastAsia="Calibri" w:hAnsi="Calibri" w:cs="Calibri"/>
          <w:bCs/>
          <w:szCs w:val="72"/>
          <w:lang w:val="sr-Cyrl-RS"/>
        </w:rPr>
        <w:t>Са аспекта учешћа камата у БДП, стратегија С2 је најскупља јер је базирана на доларским еврообвезницама са највишим стопама, следи стратегија С4 базирана на динарским обвезницама који такође имају високе каматне стопе, док су стратегије С3 (еврообвезнице у еврима) и С1 (тржишни и концесионални инструменти) најповољније. Резултати стрес анализе показали су да највећи ризик за промену односа камате и БДП, ако се промени основни сценарио, долази од шока промене каматних стопа који је већи на домаћем него на међународном тржишту због чега стратегија С4 има највећи ризик промене рација камате и БДП. Следе стратегије С2 и С3 које се састоје од тржишних инструмената који су такође подложни шоковима промене каматних стопа на међународном тржишту, док је код С1 овај ризик ублажен услед присуства концесионалних инструмената са фиксним стопама.</w:t>
      </w:r>
    </w:p>
    <w:p w14:paraId="593820EF" w14:textId="77777777" w:rsidR="00112B0B" w:rsidRPr="003C1157" w:rsidRDefault="00112B0B" w:rsidP="00523B7B">
      <w:pPr>
        <w:spacing w:line="256" w:lineRule="auto"/>
        <w:jc w:val="center"/>
        <w:rPr>
          <w:rFonts w:ascii="Calibri" w:eastAsia="Calibri" w:hAnsi="Calibri" w:cs="Times New Roman"/>
          <w:b/>
          <w:color w:val="002060"/>
          <w:lang w:val="sr-Cyrl-RS"/>
        </w:rPr>
      </w:pPr>
      <w:r w:rsidRPr="003C1157">
        <w:rPr>
          <w:rFonts w:ascii="Calibri" w:eastAsia="Calibri" w:hAnsi="Calibri" w:cs="Times New Roman"/>
          <w:b/>
          <w:color w:val="002060"/>
          <w:lang w:val="sr-Cyrl-RS"/>
        </w:rPr>
        <w:t>Однос дуга и БДП на крају 2026. године</w:t>
      </w:r>
    </w:p>
    <w:p w14:paraId="59545D18" w14:textId="77777777" w:rsidR="00112B0B" w:rsidRPr="003C1157" w:rsidRDefault="00112B0B" w:rsidP="00C91F83">
      <w:pPr>
        <w:spacing w:line="256" w:lineRule="auto"/>
        <w:rPr>
          <w:rFonts w:ascii="Calibri" w:eastAsia="Calibri" w:hAnsi="Calibri" w:cs="Times New Roman"/>
          <w:b/>
          <w:color w:val="002060"/>
          <w:lang w:val="sr-Cyrl-RS"/>
        </w:rPr>
      </w:pPr>
      <w:r w:rsidRPr="003C1157">
        <w:rPr>
          <w:noProof/>
        </w:rPr>
        <w:drawing>
          <wp:inline distT="0" distB="0" distL="0" distR="0" wp14:anchorId="1157D7C3" wp14:editId="71FD066A">
            <wp:extent cx="2685600" cy="1620000"/>
            <wp:effectExtent l="0" t="0" r="635" b="0"/>
            <wp:docPr id="71" name="Chart 7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4"/>
              </a:graphicData>
            </a:graphic>
          </wp:inline>
        </w:drawing>
      </w:r>
    </w:p>
    <w:p w14:paraId="14844D9E" w14:textId="77777777" w:rsidR="00112B0B" w:rsidRPr="003C1157" w:rsidRDefault="00112B0B" w:rsidP="00523B7B">
      <w:pPr>
        <w:spacing w:line="256" w:lineRule="auto"/>
        <w:jc w:val="center"/>
        <w:rPr>
          <w:rFonts w:ascii="Calibri" w:eastAsia="Calibri" w:hAnsi="Calibri" w:cs="Times New Roman"/>
          <w:b/>
          <w:color w:val="002060"/>
          <w:lang w:val="sr-Cyrl-RS"/>
        </w:rPr>
      </w:pPr>
      <w:r w:rsidRPr="003C1157">
        <w:rPr>
          <w:rFonts w:ascii="Calibri" w:eastAsia="Calibri" w:hAnsi="Calibri" w:cs="Times New Roman"/>
          <w:b/>
          <w:color w:val="002060"/>
          <w:lang w:val="sr-Cyrl-RS"/>
        </w:rPr>
        <w:t>Однос камата и БДП на крају 2026. године</w:t>
      </w:r>
    </w:p>
    <w:p w14:paraId="32A26F74" w14:textId="77777777" w:rsidR="00112B0B" w:rsidRPr="003C1157" w:rsidRDefault="00112B0B" w:rsidP="006272DB">
      <w:pPr>
        <w:spacing w:line="256" w:lineRule="auto"/>
        <w:rPr>
          <w:rFonts w:ascii="Calibri" w:eastAsia="Calibri" w:hAnsi="Calibri" w:cs="Times New Roman"/>
          <w:b/>
          <w:lang w:val="sr-Cyrl-RS"/>
        </w:rPr>
      </w:pPr>
      <w:r w:rsidRPr="003C1157">
        <w:rPr>
          <w:noProof/>
        </w:rPr>
        <w:drawing>
          <wp:inline distT="0" distB="0" distL="0" distR="0" wp14:anchorId="12EC01A7" wp14:editId="030821F0">
            <wp:extent cx="2685600" cy="1620000"/>
            <wp:effectExtent l="0" t="0" r="635" b="0"/>
            <wp:docPr id="73" name="Chart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5"/>
              </a:graphicData>
            </a:graphic>
          </wp:inline>
        </w:drawing>
      </w:r>
    </w:p>
    <w:p w14:paraId="1C9A92CE" w14:textId="77777777" w:rsidR="00112B0B" w:rsidRPr="003C1157" w:rsidRDefault="00112B0B" w:rsidP="00523B7B">
      <w:pPr>
        <w:spacing w:line="256" w:lineRule="auto"/>
        <w:jc w:val="center"/>
        <w:rPr>
          <w:rFonts w:ascii="Calibri" w:eastAsia="Calibri" w:hAnsi="Calibri" w:cs="Times New Roman"/>
          <w:b/>
          <w:color w:val="002060"/>
          <w:lang w:val="sr-Cyrl-RS"/>
        </w:rPr>
        <w:sectPr w:rsidR="00112B0B" w:rsidRPr="003C1157" w:rsidSect="006272DB">
          <w:type w:val="continuous"/>
          <w:pgSz w:w="12240" w:h="15840" w:code="1"/>
          <w:pgMar w:top="1440" w:right="1440" w:bottom="1440" w:left="1440" w:header="720" w:footer="720" w:gutter="0"/>
          <w:cols w:num="2" w:space="720"/>
          <w:titlePg/>
          <w:docGrid w:linePitch="360"/>
        </w:sectPr>
      </w:pPr>
    </w:p>
    <w:p w14:paraId="70FE9E42" w14:textId="77777777" w:rsidR="00112B0B" w:rsidRPr="003C1157" w:rsidRDefault="00112B0B">
      <w:pPr>
        <w:jc w:val="left"/>
        <w:rPr>
          <w:rFonts w:ascii="Calibri" w:eastAsia="Calibri" w:hAnsi="Calibri" w:cs="Times New Roman"/>
          <w:b/>
          <w:color w:val="002060"/>
          <w:lang w:val="sr-Cyrl-RS"/>
        </w:rPr>
      </w:pPr>
      <w:r w:rsidRPr="003C1157">
        <w:rPr>
          <w:rFonts w:ascii="Calibri" w:eastAsia="Calibri" w:hAnsi="Calibri" w:cs="Times New Roman"/>
          <w:b/>
          <w:color w:val="002060"/>
          <w:lang w:val="sr-Cyrl-RS"/>
        </w:rPr>
        <w:br w:type="page"/>
      </w:r>
    </w:p>
    <w:p w14:paraId="730A375E" w14:textId="77777777" w:rsidR="00112B0B" w:rsidRPr="003C1157" w:rsidRDefault="00112B0B" w:rsidP="00523B7B">
      <w:pPr>
        <w:spacing w:line="256" w:lineRule="auto"/>
        <w:jc w:val="center"/>
        <w:rPr>
          <w:rFonts w:ascii="Calibri" w:eastAsia="Calibri" w:hAnsi="Calibri" w:cs="Times New Roman"/>
          <w:b/>
          <w:color w:val="002060"/>
          <w:lang w:val="sr-Cyrl-RS"/>
        </w:rPr>
      </w:pPr>
      <w:r w:rsidRPr="003C1157">
        <w:rPr>
          <w:rFonts w:ascii="Calibri" w:eastAsia="Calibri" w:hAnsi="Calibri" w:cs="Times New Roman"/>
          <w:b/>
          <w:color w:val="002060"/>
          <w:lang w:val="sr-Cyrl-RS"/>
        </w:rPr>
        <w:lastRenderedPageBreak/>
        <w:t>Табела 26. Однос јавног дуга и БДП на крају 2026. године</w:t>
      </w:r>
    </w:p>
    <w:tbl>
      <w:tblPr>
        <w:tblStyle w:val="LightShading-Accent1222"/>
        <w:tblW w:w="5000" w:type="pct"/>
        <w:tblInd w:w="0" w:type="dxa"/>
        <w:tblLook w:val="04A0" w:firstRow="1" w:lastRow="0" w:firstColumn="1" w:lastColumn="0" w:noHBand="0" w:noVBand="1"/>
      </w:tblPr>
      <w:tblGrid>
        <w:gridCol w:w="5032"/>
        <w:gridCol w:w="1082"/>
        <w:gridCol w:w="1082"/>
        <w:gridCol w:w="1082"/>
        <w:gridCol w:w="1082"/>
      </w:tblGrid>
      <w:tr w:rsidR="00112B0B" w:rsidRPr="003C1157" w14:paraId="4F481756" w14:textId="77777777" w:rsidTr="00523B7B">
        <w:trPr>
          <w:cnfStyle w:val="100000000000" w:firstRow="1" w:lastRow="0" w:firstColumn="0" w:lastColumn="0" w:oddVBand="0" w:evenVBand="0" w:oddHBand="0"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single" w:sz="4" w:space="0" w:color="002060"/>
              <w:bottom w:val="nil"/>
            </w:tcBorders>
            <w:noWrap/>
            <w:hideMark/>
          </w:tcPr>
          <w:p w14:paraId="69FB18D7" w14:textId="77777777" w:rsidR="00112B0B" w:rsidRPr="003C1157" w:rsidRDefault="00112B0B" w:rsidP="00523B7B">
            <w:pPr>
              <w:rPr>
                <w:rFonts w:ascii="Calibri" w:hAnsi="Calibri" w:cs="Calibri"/>
                <w:color w:val="002060"/>
                <w:sz w:val="18"/>
                <w:szCs w:val="18"/>
                <w:lang w:val="sr-Cyrl-RS"/>
              </w:rPr>
            </w:pPr>
            <w:r w:rsidRPr="003C1157">
              <w:rPr>
                <w:rFonts w:ascii="Calibri" w:hAnsi="Calibri" w:cs="Calibri"/>
                <w:color w:val="002060"/>
                <w:sz w:val="18"/>
                <w:szCs w:val="18"/>
                <w:lang w:val="sr-Cyrl-RS"/>
              </w:rPr>
              <w:t>Сценарији</w:t>
            </w:r>
          </w:p>
        </w:tc>
        <w:tc>
          <w:tcPr>
            <w:tcW w:w="578" w:type="pct"/>
            <w:tcBorders>
              <w:top w:val="single" w:sz="4" w:space="0" w:color="002060"/>
              <w:bottom w:val="single" w:sz="4" w:space="0" w:color="002060"/>
            </w:tcBorders>
            <w:noWrap/>
            <w:hideMark/>
          </w:tcPr>
          <w:p w14:paraId="60F4EE82" w14:textId="77777777" w:rsidR="00112B0B" w:rsidRPr="003C1157" w:rsidRDefault="00112B0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C1</w:t>
            </w:r>
          </w:p>
        </w:tc>
        <w:tc>
          <w:tcPr>
            <w:tcW w:w="578" w:type="pct"/>
            <w:tcBorders>
              <w:top w:val="single" w:sz="4" w:space="0" w:color="002060"/>
              <w:bottom w:val="single" w:sz="4" w:space="0" w:color="002060"/>
            </w:tcBorders>
            <w:noWrap/>
            <w:hideMark/>
          </w:tcPr>
          <w:p w14:paraId="2F6EDB7A" w14:textId="77777777" w:rsidR="00112B0B" w:rsidRPr="003C1157" w:rsidRDefault="00112B0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C2</w:t>
            </w:r>
          </w:p>
        </w:tc>
        <w:tc>
          <w:tcPr>
            <w:tcW w:w="578" w:type="pct"/>
            <w:tcBorders>
              <w:top w:val="single" w:sz="4" w:space="0" w:color="002060"/>
              <w:bottom w:val="single" w:sz="4" w:space="0" w:color="002060"/>
            </w:tcBorders>
            <w:noWrap/>
            <w:hideMark/>
          </w:tcPr>
          <w:p w14:paraId="4AE6A086" w14:textId="77777777" w:rsidR="00112B0B" w:rsidRPr="003C1157" w:rsidRDefault="00112B0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C3</w:t>
            </w:r>
          </w:p>
        </w:tc>
        <w:tc>
          <w:tcPr>
            <w:tcW w:w="578" w:type="pct"/>
            <w:tcBorders>
              <w:top w:val="single" w:sz="4" w:space="0" w:color="002060"/>
              <w:bottom w:val="single" w:sz="4" w:space="0" w:color="002060"/>
            </w:tcBorders>
            <w:noWrap/>
            <w:hideMark/>
          </w:tcPr>
          <w:p w14:paraId="0CA92048" w14:textId="77777777" w:rsidR="00112B0B" w:rsidRPr="003C1157" w:rsidRDefault="00112B0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C4</w:t>
            </w:r>
          </w:p>
        </w:tc>
      </w:tr>
      <w:tr w:rsidR="00112B0B" w:rsidRPr="003C1157" w14:paraId="1C4C8018" w14:textId="77777777" w:rsidTr="00523B7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1BB42C64"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 xml:space="preserve"> Основни сценарио</w:t>
            </w:r>
          </w:p>
        </w:tc>
        <w:tc>
          <w:tcPr>
            <w:tcW w:w="578" w:type="pct"/>
            <w:tcBorders>
              <w:top w:val="nil"/>
              <w:bottom w:val="nil"/>
            </w:tcBorders>
            <w:shd w:val="clear" w:color="auto" w:fill="E7E6E6" w:themeFill="background2"/>
            <w:noWrap/>
            <w:hideMark/>
          </w:tcPr>
          <w:p w14:paraId="6A17AC40"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49,0</w:t>
            </w:r>
          </w:p>
        </w:tc>
        <w:tc>
          <w:tcPr>
            <w:tcW w:w="578" w:type="pct"/>
            <w:tcBorders>
              <w:top w:val="nil"/>
              <w:bottom w:val="nil"/>
            </w:tcBorders>
            <w:shd w:val="clear" w:color="auto" w:fill="E7E6E6" w:themeFill="background2"/>
            <w:noWrap/>
            <w:hideMark/>
          </w:tcPr>
          <w:p w14:paraId="29380EBC"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49,5</w:t>
            </w:r>
          </w:p>
        </w:tc>
        <w:tc>
          <w:tcPr>
            <w:tcW w:w="578" w:type="pct"/>
            <w:tcBorders>
              <w:top w:val="nil"/>
              <w:bottom w:val="nil"/>
            </w:tcBorders>
            <w:shd w:val="clear" w:color="auto" w:fill="E7E6E6" w:themeFill="background2"/>
            <w:noWrap/>
            <w:hideMark/>
          </w:tcPr>
          <w:p w14:paraId="669A02F5"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49,0</w:t>
            </w:r>
          </w:p>
        </w:tc>
        <w:tc>
          <w:tcPr>
            <w:tcW w:w="578" w:type="pct"/>
            <w:tcBorders>
              <w:top w:val="nil"/>
              <w:bottom w:val="nil"/>
            </w:tcBorders>
            <w:shd w:val="clear" w:color="auto" w:fill="E7E6E6" w:themeFill="background2"/>
            <w:noWrap/>
            <w:hideMark/>
          </w:tcPr>
          <w:p w14:paraId="3D7067D7"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49,1</w:t>
            </w:r>
          </w:p>
        </w:tc>
      </w:tr>
      <w:tr w:rsidR="00112B0B" w:rsidRPr="003C1157" w14:paraId="07F1795F" w14:textId="77777777" w:rsidTr="00523B7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3DDADC28"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 xml:space="preserve"> Шок девизног курса (15% све валуте) </w:t>
            </w:r>
          </w:p>
        </w:tc>
        <w:tc>
          <w:tcPr>
            <w:tcW w:w="578" w:type="pct"/>
            <w:tcBorders>
              <w:top w:val="nil"/>
              <w:left w:val="nil"/>
              <w:bottom w:val="nil"/>
              <w:right w:val="nil"/>
            </w:tcBorders>
            <w:shd w:val="clear" w:color="auto" w:fill="auto"/>
            <w:noWrap/>
            <w:hideMark/>
          </w:tcPr>
          <w:p w14:paraId="103CB04B"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54,7</w:t>
            </w:r>
          </w:p>
        </w:tc>
        <w:tc>
          <w:tcPr>
            <w:tcW w:w="578" w:type="pct"/>
            <w:tcBorders>
              <w:top w:val="nil"/>
              <w:left w:val="nil"/>
              <w:bottom w:val="nil"/>
              <w:right w:val="nil"/>
            </w:tcBorders>
            <w:shd w:val="clear" w:color="auto" w:fill="auto"/>
            <w:noWrap/>
            <w:hideMark/>
          </w:tcPr>
          <w:p w14:paraId="0343E4D9"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55,6</w:t>
            </w:r>
          </w:p>
        </w:tc>
        <w:tc>
          <w:tcPr>
            <w:tcW w:w="578" w:type="pct"/>
            <w:tcBorders>
              <w:top w:val="nil"/>
              <w:left w:val="nil"/>
              <w:bottom w:val="nil"/>
              <w:right w:val="nil"/>
            </w:tcBorders>
            <w:shd w:val="clear" w:color="auto" w:fill="auto"/>
            <w:noWrap/>
            <w:hideMark/>
          </w:tcPr>
          <w:p w14:paraId="5EAF03C4"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55,1</w:t>
            </w:r>
          </w:p>
        </w:tc>
        <w:tc>
          <w:tcPr>
            <w:tcW w:w="578" w:type="pct"/>
            <w:tcBorders>
              <w:top w:val="nil"/>
              <w:left w:val="nil"/>
              <w:bottom w:val="nil"/>
              <w:right w:val="nil"/>
            </w:tcBorders>
            <w:shd w:val="clear" w:color="auto" w:fill="auto"/>
            <w:noWrap/>
            <w:hideMark/>
          </w:tcPr>
          <w:p w14:paraId="7B30531D"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53,9</w:t>
            </w:r>
          </w:p>
        </w:tc>
      </w:tr>
      <w:tr w:rsidR="00112B0B" w:rsidRPr="003C1157" w14:paraId="564BCA63" w14:textId="77777777" w:rsidTr="00523B7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55C9F279"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 xml:space="preserve"> Каматни шок (сценарио 1) </w:t>
            </w:r>
          </w:p>
        </w:tc>
        <w:tc>
          <w:tcPr>
            <w:tcW w:w="578" w:type="pct"/>
            <w:tcBorders>
              <w:top w:val="nil"/>
              <w:bottom w:val="nil"/>
            </w:tcBorders>
            <w:shd w:val="clear" w:color="auto" w:fill="E7E6E6" w:themeFill="background2"/>
            <w:noWrap/>
            <w:hideMark/>
          </w:tcPr>
          <w:p w14:paraId="3F67F84E"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49,8</w:t>
            </w:r>
          </w:p>
        </w:tc>
        <w:tc>
          <w:tcPr>
            <w:tcW w:w="578" w:type="pct"/>
            <w:tcBorders>
              <w:top w:val="nil"/>
              <w:bottom w:val="nil"/>
            </w:tcBorders>
            <w:shd w:val="clear" w:color="auto" w:fill="E7E6E6" w:themeFill="background2"/>
            <w:noWrap/>
            <w:hideMark/>
          </w:tcPr>
          <w:p w14:paraId="12AD94D7"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50,4</w:t>
            </w:r>
          </w:p>
        </w:tc>
        <w:tc>
          <w:tcPr>
            <w:tcW w:w="578" w:type="pct"/>
            <w:tcBorders>
              <w:top w:val="nil"/>
              <w:bottom w:val="nil"/>
            </w:tcBorders>
            <w:shd w:val="clear" w:color="auto" w:fill="E7E6E6" w:themeFill="background2"/>
            <w:noWrap/>
            <w:hideMark/>
          </w:tcPr>
          <w:p w14:paraId="2833C10B"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49,9</w:t>
            </w:r>
          </w:p>
        </w:tc>
        <w:tc>
          <w:tcPr>
            <w:tcW w:w="578" w:type="pct"/>
            <w:tcBorders>
              <w:top w:val="nil"/>
              <w:bottom w:val="nil"/>
            </w:tcBorders>
            <w:shd w:val="clear" w:color="auto" w:fill="E7E6E6" w:themeFill="background2"/>
            <w:noWrap/>
            <w:hideMark/>
          </w:tcPr>
          <w:p w14:paraId="64817AAA"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50,0</w:t>
            </w:r>
          </w:p>
        </w:tc>
      </w:tr>
      <w:tr w:rsidR="00112B0B" w:rsidRPr="003C1157" w14:paraId="035279EC" w14:textId="77777777" w:rsidTr="00523B7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34A010C2"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 xml:space="preserve"> Каматни шок (сценарио 2)</w:t>
            </w:r>
          </w:p>
        </w:tc>
        <w:tc>
          <w:tcPr>
            <w:tcW w:w="578" w:type="pct"/>
            <w:tcBorders>
              <w:top w:val="nil"/>
              <w:left w:val="nil"/>
              <w:bottom w:val="nil"/>
              <w:right w:val="nil"/>
            </w:tcBorders>
            <w:shd w:val="clear" w:color="auto" w:fill="auto"/>
            <w:noWrap/>
            <w:hideMark/>
          </w:tcPr>
          <w:p w14:paraId="7BAF9F51"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50,2</w:t>
            </w:r>
          </w:p>
        </w:tc>
        <w:tc>
          <w:tcPr>
            <w:tcW w:w="578" w:type="pct"/>
            <w:tcBorders>
              <w:top w:val="nil"/>
              <w:left w:val="nil"/>
              <w:bottom w:val="nil"/>
              <w:right w:val="nil"/>
            </w:tcBorders>
            <w:shd w:val="clear" w:color="auto" w:fill="auto"/>
            <w:noWrap/>
            <w:hideMark/>
          </w:tcPr>
          <w:p w14:paraId="1B7FD326"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50,8</w:t>
            </w:r>
          </w:p>
        </w:tc>
        <w:tc>
          <w:tcPr>
            <w:tcW w:w="578" w:type="pct"/>
            <w:tcBorders>
              <w:top w:val="nil"/>
              <w:left w:val="nil"/>
              <w:bottom w:val="nil"/>
              <w:right w:val="nil"/>
            </w:tcBorders>
            <w:shd w:val="clear" w:color="auto" w:fill="auto"/>
            <w:noWrap/>
            <w:hideMark/>
          </w:tcPr>
          <w:p w14:paraId="11D421DD"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50,4</w:t>
            </w:r>
          </w:p>
        </w:tc>
        <w:tc>
          <w:tcPr>
            <w:tcW w:w="578" w:type="pct"/>
            <w:tcBorders>
              <w:top w:val="nil"/>
              <w:left w:val="nil"/>
              <w:bottom w:val="nil"/>
              <w:right w:val="nil"/>
            </w:tcBorders>
            <w:shd w:val="clear" w:color="auto" w:fill="auto"/>
            <w:noWrap/>
            <w:hideMark/>
          </w:tcPr>
          <w:p w14:paraId="1223D296"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50,7</w:t>
            </w:r>
          </w:p>
        </w:tc>
      </w:tr>
      <w:tr w:rsidR="00112B0B" w:rsidRPr="003C1157" w14:paraId="68D1F1CD" w14:textId="77777777" w:rsidTr="00523B7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0E1BF368"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 xml:space="preserve"> Комбиновани шок (15% УСД и каматни шок1) </w:t>
            </w:r>
          </w:p>
        </w:tc>
        <w:tc>
          <w:tcPr>
            <w:tcW w:w="578" w:type="pct"/>
            <w:tcBorders>
              <w:top w:val="nil"/>
              <w:bottom w:val="single" w:sz="4" w:space="0" w:color="002060"/>
            </w:tcBorders>
            <w:shd w:val="clear" w:color="auto" w:fill="E7E6E6" w:themeFill="background2"/>
            <w:noWrap/>
            <w:hideMark/>
          </w:tcPr>
          <w:p w14:paraId="615597C0"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51,3</w:t>
            </w:r>
          </w:p>
        </w:tc>
        <w:tc>
          <w:tcPr>
            <w:tcW w:w="578" w:type="pct"/>
            <w:tcBorders>
              <w:top w:val="nil"/>
              <w:bottom w:val="single" w:sz="4" w:space="0" w:color="002060"/>
            </w:tcBorders>
            <w:shd w:val="clear" w:color="auto" w:fill="E7E6E6" w:themeFill="background2"/>
            <w:noWrap/>
            <w:hideMark/>
          </w:tcPr>
          <w:p w14:paraId="2BAB8FB8"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52,9</w:t>
            </w:r>
          </w:p>
        </w:tc>
        <w:tc>
          <w:tcPr>
            <w:tcW w:w="578" w:type="pct"/>
            <w:tcBorders>
              <w:top w:val="nil"/>
              <w:bottom w:val="single" w:sz="4" w:space="0" w:color="002060"/>
            </w:tcBorders>
            <w:shd w:val="clear" w:color="auto" w:fill="E7E6E6" w:themeFill="background2"/>
            <w:noWrap/>
            <w:hideMark/>
          </w:tcPr>
          <w:p w14:paraId="6FB5600E"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51,0</w:t>
            </w:r>
          </w:p>
        </w:tc>
        <w:tc>
          <w:tcPr>
            <w:tcW w:w="578" w:type="pct"/>
            <w:tcBorders>
              <w:top w:val="nil"/>
              <w:bottom w:val="single" w:sz="4" w:space="0" w:color="002060"/>
            </w:tcBorders>
            <w:shd w:val="clear" w:color="auto" w:fill="E7E6E6" w:themeFill="background2"/>
            <w:noWrap/>
            <w:hideMark/>
          </w:tcPr>
          <w:p w14:paraId="1C32ED9A"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51,1</w:t>
            </w:r>
          </w:p>
        </w:tc>
      </w:tr>
      <w:tr w:rsidR="00112B0B" w:rsidRPr="003C1157" w14:paraId="2193D6A1" w14:textId="77777777" w:rsidTr="00523B7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single" w:sz="4" w:space="0" w:color="002060"/>
              <w:right w:val="nil"/>
            </w:tcBorders>
            <w:noWrap/>
            <w:hideMark/>
          </w:tcPr>
          <w:p w14:paraId="593642E7"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 xml:space="preserve"> Максимални ризик </w:t>
            </w:r>
          </w:p>
        </w:tc>
        <w:tc>
          <w:tcPr>
            <w:tcW w:w="578" w:type="pct"/>
            <w:tcBorders>
              <w:top w:val="single" w:sz="4" w:space="0" w:color="002060"/>
              <w:left w:val="nil"/>
              <w:bottom w:val="single" w:sz="4" w:space="0" w:color="002060"/>
              <w:right w:val="nil"/>
            </w:tcBorders>
            <w:shd w:val="clear" w:color="auto" w:fill="auto"/>
            <w:noWrap/>
            <w:hideMark/>
          </w:tcPr>
          <w:p w14:paraId="11B1744F"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5,7</w:t>
            </w:r>
          </w:p>
        </w:tc>
        <w:tc>
          <w:tcPr>
            <w:tcW w:w="578" w:type="pct"/>
            <w:tcBorders>
              <w:top w:val="single" w:sz="4" w:space="0" w:color="002060"/>
              <w:left w:val="nil"/>
              <w:bottom w:val="single" w:sz="4" w:space="0" w:color="002060"/>
              <w:right w:val="nil"/>
            </w:tcBorders>
            <w:shd w:val="clear" w:color="auto" w:fill="auto"/>
            <w:noWrap/>
            <w:hideMark/>
          </w:tcPr>
          <w:p w14:paraId="5FC7ACC0"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6,2</w:t>
            </w:r>
          </w:p>
        </w:tc>
        <w:tc>
          <w:tcPr>
            <w:tcW w:w="578" w:type="pct"/>
            <w:tcBorders>
              <w:top w:val="single" w:sz="4" w:space="0" w:color="002060"/>
              <w:left w:val="nil"/>
              <w:bottom w:val="single" w:sz="4" w:space="0" w:color="002060"/>
              <w:right w:val="nil"/>
            </w:tcBorders>
            <w:shd w:val="clear" w:color="auto" w:fill="auto"/>
            <w:noWrap/>
            <w:hideMark/>
          </w:tcPr>
          <w:p w14:paraId="0A3B287B"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6,1</w:t>
            </w:r>
          </w:p>
        </w:tc>
        <w:tc>
          <w:tcPr>
            <w:tcW w:w="578" w:type="pct"/>
            <w:tcBorders>
              <w:top w:val="single" w:sz="4" w:space="0" w:color="002060"/>
              <w:left w:val="nil"/>
              <w:bottom w:val="single" w:sz="4" w:space="0" w:color="002060"/>
              <w:right w:val="nil"/>
            </w:tcBorders>
            <w:shd w:val="clear" w:color="auto" w:fill="auto"/>
            <w:noWrap/>
            <w:hideMark/>
          </w:tcPr>
          <w:p w14:paraId="1A8CAB49"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4,7</w:t>
            </w:r>
          </w:p>
        </w:tc>
      </w:tr>
    </w:tbl>
    <w:p w14:paraId="3F9DA06D" w14:textId="77777777" w:rsidR="00112B0B" w:rsidRPr="003C1157" w:rsidRDefault="00112B0B" w:rsidP="006272DB">
      <w:pPr>
        <w:rPr>
          <w:lang w:val="sr-Cyrl-RS"/>
        </w:rPr>
      </w:pPr>
    </w:p>
    <w:p w14:paraId="1D204972" w14:textId="77777777" w:rsidR="00112B0B" w:rsidRPr="003C1157" w:rsidRDefault="00112B0B" w:rsidP="00523B7B">
      <w:pPr>
        <w:spacing w:line="256" w:lineRule="auto"/>
        <w:jc w:val="center"/>
        <w:rPr>
          <w:rFonts w:ascii="Calibri" w:eastAsia="Calibri" w:hAnsi="Calibri" w:cs="Times New Roman"/>
          <w:b/>
          <w:color w:val="002060"/>
          <w:lang w:val="sr-Cyrl-RS"/>
        </w:rPr>
      </w:pPr>
      <w:r w:rsidRPr="003C1157">
        <w:rPr>
          <w:rFonts w:ascii="Calibri" w:eastAsia="Calibri" w:hAnsi="Calibri" w:cs="Times New Roman"/>
          <w:b/>
          <w:color w:val="002060"/>
          <w:lang w:val="sr-Cyrl-RS"/>
        </w:rPr>
        <w:t>Табела 27. Однос плаћања по основу камата и БДП на крају 2026. године</w:t>
      </w:r>
    </w:p>
    <w:tbl>
      <w:tblPr>
        <w:tblStyle w:val="LightShading-Accent1222"/>
        <w:tblW w:w="5000" w:type="pct"/>
        <w:tblInd w:w="0" w:type="dxa"/>
        <w:tblLook w:val="04A0" w:firstRow="1" w:lastRow="0" w:firstColumn="1" w:lastColumn="0" w:noHBand="0" w:noVBand="1"/>
      </w:tblPr>
      <w:tblGrid>
        <w:gridCol w:w="5032"/>
        <w:gridCol w:w="1082"/>
        <w:gridCol w:w="1082"/>
        <w:gridCol w:w="1082"/>
        <w:gridCol w:w="1082"/>
      </w:tblGrid>
      <w:tr w:rsidR="00112B0B" w:rsidRPr="003C1157" w14:paraId="56860E1A" w14:textId="77777777" w:rsidTr="006272DB">
        <w:trPr>
          <w:cnfStyle w:val="100000000000" w:firstRow="1" w:lastRow="0" w:firstColumn="0" w:lastColumn="0" w:oddVBand="0" w:evenVBand="0" w:oddHBand="0"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single" w:sz="4" w:space="0" w:color="002060"/>
              <w:bottom w:val="nil"/>
            </w:tcBorders>
            <w:noWrap/>
            <w:hideMark/>
          </w:tcPr>
          <w:p w14:paraId="7AAE57B4" w14:textId="77777777" w:rsidR="00112B0B" w:rsidRPr="003C1157" w:rsidRDefault="00112B0B" w:rsidP="006272DB">
            <w:pPr>
              <w:rPr>
                <w:rFonts w:ascii="Calibri" w:hAnsi="Calibri" w:cs="Calibri"/>
                <w:color w:val="002060"/>
                <w:sz w:val="18"/>
                <w:szCs w:val="18"/>
                <w:lang w:val="sr-Cyrl-RS"/>
              </w:rPr>
            </w:pPr>
            <w:r w:rsidRPr="003C1157">
              <w:rPr>
                <w:rFonts w:ascii="Calibri" w:hAnsi="Calibri" w:cs="Calibri"/>
                <w:color w:val="002060"/>
                <w:sz w:val="18"/>
                <w:szCs w:val="18"/>
                <w:lang w:val="sr-Cyrl-RS"/>
              </w:rPr>
              <w:t>Сценарији</w:t>
            </w:r>
          </w:p>
        </w:tc>
        <w:tc>
          <w:tcPr>
            <w:tcW w:w="578" w:type="pct"/>
            <w:tcBorders>
              <w:top w:val="single" w:sz="4" w:space="0" w:color="002060"/>
              <w:bottom w:val="single" w:sz="4" w:space="0" w:color="002060"/>
            </w:tcBorders>
            <w:noWrap/>
            <w:hideMark/>
          </w:tcPr>
          <w:p w14:paraId="0D678490" w14:textId="77777777" w:rsidR="00112B0B" w:rsidRPr="003C1157" w:rsidRDefault="00112B0B" w:rsidP="006272D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C1</w:t>
            </w:r>
          </w:p>
        </w:tc>
        <w:tc>
          <w:tcPr>
            <w:tcW w:w="578" w:type="pct"/>
            <w:tcBorders>
              <w:top w:val="single" w:sz="4" w:space="0" w:color="002060"/>
              <w:bottom w:val="single" w:sz="4" w:space="0" w:color="002060"/>
            </w:tcBorders>
            <w:noWrap/>
            <w:hideMark/>
          </w:tcPr>
          <w:p w14:paraId="575538A4" w14:textId="77777777" w:rsidR="00112B0B" w:rsidRPr="003C1157" w:rsidRDefault="00112B0B" w:rsidP="006272D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C2</w:t>
            </w:r>
          </w:p>
        </w:tc>
        <w:tc>
          <w:tcPr>
            <w:tcW w:w="578" w:type="pct"/>
            <w:tcBorders>
              <w:top w:val="single" w:sz="4" w:space="0" w:color="002060"/>
              <w:bottom w:val="single" w:sz="4" w:space="0" w:color="002060"/>
            </w:tcBorders>
            <w:noWrap/>
            <w:hideMark/>
          </w:tcPr>
          <w:p w14:paraId="7B6ACB7C" w14:textId="77777777" w:rsidR="00112B0B" w:rsidRPr="003C1157" w:rsidRDefault="00112B0B" w:rsidP="006272D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C3</w:t>
            </w:r>
          </w:p>
        </w:tc>
        <w:tc>
          <w:tcPr>
            <w:tcW w:w="578" w:type="pct"/>
            <w:tcBorders>
              <w:top w:val="single" w:sz="4" w:space="0" w:color="002060"/>
              <w:bottom w:val="single" w:sz="4" w:space="0" w:color="002060"/>
            </w:tcBorders>
            <w:noWrap/>
            <w:hideMark/>
          </w:tcPr>
          <w:p w14:paraId="4B0D4111" w14:textId="77777777" w:rsidR="00112B0B" w:rsidRPr="003C1157" w:rsidRDefault="00112B0B" w:rsidP="006272D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C4</w:t>
            </w:r>
          </w:p>
        </w:tc>
      </w:tr>
      <w:tr w:rsidR="00112B0B" w:rsidRPr="003C1157" w14:paraId="6DBBFAB2" w14:textId="77777777" w:rsidTr="006272D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6FD7EEFB"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 xml:space="preserve"> Основни сценарио</w:t>
            </w:r>
          </w:p>
        </w:tc>
        <w:tc>
          <w:tcPr>
            <w:tcW w:w="578" w:type="pct"/>
            <w:tcBorders>
              <w:top w:val="nil"/>
              <w:bottom w:val="nil"/>
            </w:tcBorders>
            <w:shd w:val="clear" w:color="auto" w:fill="E7E6E6" w:themeFill="background2"/>
            <w:noWrap/>
            <w:hideMark/>
          </w:tcPr>
          <w:p w14:paraId="49F816D5"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2,3</w:t>
            </w:r>
          </w:p>
        </w:tc>
        <w:tc>
          <w:tcPr>
            <w:tcW w:w="578" w:type="pct"/>
            <w:tcBorders>
              <w:top w:val="nil"/>
              <w:bottom w:val="nil"/>
            </w:tcBorders>
            <w:shd w:val="clear" w:color="auto" w:fill="E7E6E6" w:themeFill="background2"/>
            <w:noWrap/>
            <w:hideMark/>
          </w:tcPr>
          <w:p w14:paraId="4D90C8C3"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2,6</w:t>
            </w:r>
          </w:p>
        </w:tc>
        <w:tc>
          <w:tcPr>
            <w:tcW w:w="578" w:type="pct"/>
            <w:tcBorders>
              <w:top w:val="nil"/>
              <w:bottom w:val="nil"/>
            </w:tcBorders>
            <w:shd w:val="clear" w:color="auto" w:fill="E7E6E6" w:themeFill="background2"/>
            <w:noWrap/>
            <w:hideMark/>
          </w:tcPr>
          <w:p w14:paraId="4672C372"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2,3</w:t>
            </w:r>
          </w:p>
        </w:tc>
        <w:tc>
          <w:tcPr>
            <w:tcW w:w="578" w:type="pct"/>
            <w:tcBorders>
              <w:top w:val="nil"/>
              <w:bottom w:val="nil"/>
            </w:tcBorders>
            <w:shd w:val="clear" w:color="auto" w:fill="E7E6E6" w:themeFill="background2"/>
            <w:noWrap/>
            <w:hideMark/>
          </w:tcPr>
          <w:p w14:paraId="3BC0C7C1"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2,5</w:t>
            </w:r>
          </w:p>
        </w:tc>
      </w:tr>
      <w:tr w:rsidR="00112B0B" w:rsidRPr="003C1157" w14:paraId="2B4BB971" w14:textId="77777777" w:rsidTr="006272D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5F8D78B8"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 xml:space="preserve"> Шок девизног курса (15% све валуте) </w:t>
            </w:r>
          </w:p>
        </w:tc>
        <w:tc>
          <w:tcPr>
            <w:tcW w:w="578" w:type="pct"/>
            <w:tcBorders>
              <w:top w:val="nil"/>
              <w:left w:val="nil"/>
              <w:bottom w:val="nil"/>
              <w:right w:val="nil"/>
            </w:tcBorders>
            <w:shd w:val="clear" w:color="auto" w:fill="auto"/>
            <w:noWrap/>
            <w:hideMark/>
          </w:tcPr>
          <w:p w14:paraId="515D2700"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2,6</w:t>
            </w:r>
          </w:p>
        </w:tc>
        <w:tc>
          <w:tcPr>
            <w:tcW w:w="578" w:type="pct"/>
            <w:tcBorders>
              <w:top w:val="nil"/>
              <w:left w:val="nil"/>
              <w:bottom w:val="nil"/>
              <w:right w:val="nil"/>
            </w:tcBorders>
            <w:shd w:val="clear" w:color="auto" w:fill="auto"/>
            <w:noWrap/>
            <w:hideMark/>
          </w:tcPr>
          <w:p w14:paraId="7DAE0403"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3,0</w:t>
            </w:r>
          </w:p>
        </w:tc>
        <w:tc>
          <w:tcPr>
            <w:tcW w:w="578" w:type="pct"/>
            <w:tcBorders>
              <w:top w:val="nil"/>
              <w:left w:val="nil"/>
              <w:bottom w:val="nil"/>
              <w:right w:val="nil"/>
            </w:tcBorders>
            <w:shd w:val="clear" w:color="auto" w:fill="auto"/>
            <w:noWrap/>
            <w:hideMark/>
          </w:tcPr>
          <w:p w14:paraId="17DCDF34"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2,6</w:t>
            </w:r>
          </w:p>
        </w:tc>
        <w:tc>
          <w:tcPr>
            <w:tcW w:w="578" w:type="pct"/>
            <w:tcBorders>
              <w:top w:val="nil"/>
              <w:left w:val="nil"/>
              <w:bottom w:val="nil"/>
              <w:right w:val="nil"/>
            </w:tcBorders>
            <w:shd w:val="clear" w:color="auto" w:fill="auto"/>
            <w:noWrap/>
            <w:hideMark/>
          </w:tcPr>
          <w:p w14:paraId="0F6B87F7"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2,8</w:t>
            </w:r>
          </w:p>
        </w:tc>
      </w:tr>
      <w:tr w:rsidR="00112B0B" w:rsidRPr="003C1157" w14:paraId="55113D59" w14:textId="77777777" w:rsidTr="006272D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1315EC0F"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 xml:space="preserve"> Каматни шок (сценарио 1) </w:t>
            </w:r>
          </w:p>
        </w:tc>
        <w:tc>
          <w:tcPr>
            <w:tcW w:w="578" w:type="pct"/>
            <w:tcBorders>
              <w:top w:val="nil"/>
              <w:bottom w:val="nil"/>
            </w:tcBorders>
            <w:shd w:val="clear" w:color="auto" w:fill="E7E6E6" w:themeFill="background2"/>
            <w:noWrap/>
            <w:hideMark/>
          </w:tcPr>
          <w:p w14:paraId="4B0DC447"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2,8</w:t>
            </w:r>
          </w:p>
        </w:tc>
        <w:tc>
          <w:tcPr>
            <w:tcW w:w="578" w:type="pct"/>
            <w:tcBorders>
              <w:top w:val="nil"/>
              <w:bottom w:val="nil"/>
            </w:tcBorders>
            <w:shd w:val="clear" w:color="auto" w:fill="E7E6E6" w:themeFill="background2"/>
            <w:noWrap/>
            <w:hideMark/>
          </w:tcPr>
          <w:p w14:paraId="6A2FC6E9"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3,2</w:t>
            </w:r>
          </w:p>
        </w:tc>
        <w:tc>
          <w:tcPr>
            <w:tcW w:w="578" w:type="pct"/>
            <w:tcBorders>
              <w:top w:val="nil"/>
              <w:bottom w:val="nil"/>
            </w:tcBorders>
            <w:shd w:val="clear" w:color="auto" w:fill="E7E6E6" w:themeFill="background2"/>
            <w:noWrap/>
            <w:hideMark/>
          </w:tcPr>
          <w:p w14:paraId="45EEC0CB"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2,9</w:t>
            </w:r>
          </w:p>
        </w:tc>
        <w:tc>
          <w:tcPr>
            <w:tcW w:w="578" w:type="pct"/>
            <w:tcBorders>
              <w:top w:val="nil"/>
              <w:bottom w:val="nil"/>
            </w:tcBorders>
            <w:shd w:val="clear" w:color="auto" w:fill="E7E6E6" w:themeFill="background2"/>
            <w:noWrap/>
            <w:hideMark/>
          </w:tcPr>
          <w:p w14:paraId="73671804"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3,0</w:t>
            </w:r>
          </w:p>
        </w:tc>
      </w:tr>
      <w:tr w:rsidR="00112B0B" w:rsidRPr="003C1157" w14:paraId="0E2D17CC" w14:textId="77777777" w:rsidTr="006272D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116B6EC1"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 xml:space="preserve"> Каматни шок (сценарио 2)</w:t>
            </w:r>
          </w:p>
        </w:tc>
        <w:tc>
          <w:tcPr>
            <w:tcW w:w="578" w:type="pct"/>
            <w:tcBorders>
              <w:top w:val="nil"/>
              <w:left w:val="nil"/>
              <w:bottom w:val="nil"/>
              <w:right w:val="nil"/>
            </w:tcBorders>
            <w:shd w:val="clear" w:color="auto" w:fill="auto"/>
            <w:noWrap/>
            <w:hideMark/>
          </w:tcPr>
          <w:p w14:paraId="61849969"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3,1</w:t>
            </w:r>
          </w:p>
        </w:tc>
        <w:tc>
          <w:tcPr>
            <w:tcW w:w="578" w:type="pct"/>
            <w:tcBorders>
              <w:top w:val="nil"/>
              <w:left w:val="nil"/>
              <w:bottom w:val="nil"/>
              <w:right w:val="nil"/>
            </w:tcBorders>
            <w:shd w:val="clear" w:color="auto" w:fill="auto"/>
            <w:noWrap/>
            <w:hideMark/>
          </w:tcPr>
          <w:p w14:paraId="36FE2CEF"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3,4</w:t>
            </w:r>
          </w:p>
        </w:tc>
        <w:tc>
          <w:tcPr>
            <w:tcW w:w="578" w:type="pct"/>
            <w:tcBorders>
              <w:top w:val="nil"/>
              <w:left w:val="nil"/>
              <w:bottom w:val="nil"/>
              <w:right w:val="nil"/>
            </w:tcBorders>
            <w:shd w:val="clear" w:color="auto" w:fill="auto"/>
            <w:noWrap/>
            <w:hideMark/>
          </w:tcPr>
          <w:p w14:paraId="500E93DB"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3,1</w:t>
            </w:r>
          </w:p>
        </w:tc>
        <w:tc>
          <w:tcPr>
            <w:tcW w:w="578" w:type="pct"/>
            <w:tcBorders>
              <w:top w:val="nil"/>
              <w:left w:val="nil"/>
              <w:bottom w:val="nil"/>
              <w:right w:val="nil"/>
            </w:tcBorders>
            <w:shd w:val="clear" w:color="auto" w:fill="auto"/>
            <w:noWrap/>
            <w:hideMark/>
          </w:tcPr>
          <w:p w14:paraId="5A4B19E4"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3,5</w:t>
            </w:r>
          </w:p>
        </w:tc>
      </w:tr>
      <w:tr w:rsidR="00112B0B" w:rsidRPr="003C1157" w14:paraId="362C1FFA" w14:textId="77777777" w:rsidTr="006272D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72F6AA06"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 xml:space="preserve"> Комбиновани шок (15% УСД и каматни шок1) </w:t>
            </w:r>
          </w:p>
        </w:tc>
        <w:tc>
          <w:tcPr>
            <w:tcW w:w="578" w:type="pct"/>
            <w:tcBorders>
              <w:top w:val="nil"/>
              <w:bottom w:val="single" w:sz="4" w:space="0" w:color="002060"/>
            </w:tcBorders>
            <w:shd w:val="clear" w:color="auto" w:fill="E7E6E6" w:themeFill="background2"/>
            <w:noWrap/>
            <w:hideMark/>
          </w:tcPr>
          <w:p w14:paraId="7BE59BDE"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2,9</w:t>
            </w:r>
          </w:p>
        </w:tc>
        <w:tc>
          <w:tcPr>
            <w:tcW w:w="578" w:type="pct"/>
            <w:tcBorders>
              <w:top w:val="nil"/>
              <w:bottom w:val="single" w:sz="4" w:space="0" w:color="002060"/>
            </w:tcBorders>
            <w:shd w:val="clear" w:color="auto" w:fill="E7E6E6" w:themeFill="background2"/>
            <w:noWrap/>
            <w:hideMark/>
          </w:tcPr>
          <w:p w14:paraId="32997EDF"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3,4</w:t>
            </w:r>
          </w:p>
        </w:tc>
        <w:tc>
          <w:tcPr>
            <w:tcW w:w="578" w:type="pct"/>
            <w:tcBorders>
              <w:top w:val="nil"/>
              <w:bottom w:val="single" w:sz="4" w:space="0" w:color="002060"/>
            </w:tcBorders>
            <w:shd w:val="clear" w:color="auto" w:fill="E7E6E6" w:themeFill="background2"/>
            <w:noWrap/>
            <w:hideMark/>
          </w:tcPr>
          <w:p w14:paraId="45A50827"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2,9</w:t>
            </w:r>
          </w:p>
        </w:tc>
        <w:tc>
          <w:tcPr>
            <w:tcW w:w="578" w:type="pct"/>
            <w:tcBorders>
              <w:top w:val="nil"/>
              <w:bottom w:val="single" w:sz="4" w:space="0" w:color="002060"/>
            </w:tcBorders>
            <w:shd w:val="clear" w:color="auto" w:fill="E7E6E6" w:themeFill="background2"/>
            <w:noWrap/>
            <w:hideMark/>
          </w:tcPr>
          <w:p w14:paraId="6736A385"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3,1</w:t>
            </w:r>
          </w:p>
        </w:tc>
      </w:tr>
      <w:tr w:rsidR="00112B0B" w:rsidRPr="003C1157" w14:paraId="3AB836CE" w14:textId="77777777" w:rsidTr="006272D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single" w:sz="4" w:space="0" w:color="002060"/>
              <w:right w:val="nil"/>
            </w:tcBorders>
            <w:noWrap/>
            <w:hideMark/>
          </w:tcPr>
          <w:p w14:paraId="55D37A8F"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 xml:space="preserve"> Максимални ризик </w:t>
            </w:r>
          </w:p>
        </w:tc>
        <w:tc>
          <w:tcPr>
            <w:tcW w:w="578" w:type="pct"/>
            <w:tcBorders>
              <w:top w:val="single" w:sz="4" w:space="0" w:color="002060"/>
              <w:left w:val="nil"/>
              <w:bottom w:val="single" w:sz="4" w:space="0" w:color="002060"/>
              <w:right w:val="nil"/>
            </w:tcBorders>
            <w:shd w:val="clear" w:color="auto" w:fill="auto"/>
            <w:noWrap/>
            <w:hideMark/>
          </w:tcPr>
          <w:p w14:paraId="2D119764"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0,8</w:t>
            </w:r>
          </w:p>
        </w:tc>
        <w:tc>
          <w:tcPr>
            <w:tcW w:w="578" w:type="pct"/>
            <w:tcBorders>
              <w:top w:val="single" w:sz="4" w:space="0" w:color="002060"/>
              <w:left w:val="nil"/>
              <w:bottom w:val="single" w:sz="4" w:space="0" w:color="002060"/>
              <w:right w:val="nil"/>
            </w:tcBorders>
            <w:shd w:val="clear" w:color="auto" w:fill="auto"/>
            <w:noWrap/>
            <w:hideMark/>
          </w:tcPr>
          <w:p w14:paraId="16E9B032"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0,8</w:t>
            </w:r>
          </w:p>
        </w:tc>
        <w:tc>
          <w:tcPr>
            <w:tcW w:w="578" w:type="pct"/>
            <w:tcBorders>
              <w:top w:val="single" w:sz="4" w:space="0" w:color="002060"/>
              <w:left w:val="nil"/>
              <w:bottom w:val="single" w:sz="4" w:space="0" w:color="002060"/>
              <w:right w:val="nil"/>
            </w:tcBorders>
            <w:shd w:val="clear" w:color="auto" w:fill="auto"/>
            <w:noWrap/>
            <w:hideMark/>
          </w:tcPr>
          <w:p w14:paraId="1E1931FA"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0,8</w:t>
            </w:r>
          </w:p>
        </w:tc>
        <w:tc>
          <w:tcPr>
            <w:tcW w:w="578" w:type="pct"/>
            <w:tcBorders>
              <w:top w:val="single" w:sz="4" w:space="0" w:color="002060"/>
              <w:left w:val="nil"/>
              <w:bottom w:val="single" w:sz="4" w:space="0" w:color="002060"/>
              <w:right w:val="nil"/>
            </w:tcBorders>
            <w:shd w:val="clear" w:color="auto" w:fill="auto"/>
            <w:noWrap/>
            <w:hideMark/>
          </w:tcPr>
          <w:p w14:paraId="479F060F"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1,0</w:t>
            </w:r>
          </w:p>
        </w:tc>
      </w:tr>
    </w:tbl>
    <w:p w14:paraId="481B5002" w14:textId="77777777" w:rsidR="00112B0B" w:rsidRPr="003C1157" w:rsidRDefault="00112B0B" w:rsidP="00523B7B">
      <w:pPr>
        <w:spacing w:after="0" w:line="276" w:lineRule="auto"/>
        <w:jc w:val="left"/>
        <w:rPr>
          <w:rFonts w:ascii="Calibri" w:eastAsia="Calibri" w:hAnsi="Calibri" w:cs="Calibri"/>
          <w:bCs/>
          <w:szCs w:val="72"/>
          <w:lang w:val="sr-Cyrl-RS"/>
        </w:rPr>
      </w:pPr>
    </w:p>
    <w:p w14:paraId="5AD92807" w14:textId="77777777" w:rsidR="00112B0B" w:rsidRPr="003C1157" w:rsidRDefault="00112B0B" w:rsidP="00523B7B">
      <w:pPr>
        <w:rPr>
          <w:lang w:val="sr-Cyrl-RS"/>
        </w:rPr>
        <w:sectPr w:rsidR="00112B0B" w:rsidRPr="003C1157" w:rsidSect="006272DB">
          <w:type w:val="continuous"/>
          <w:pgSz w:w="12240" w:h="15840" w:code="1"/>
          <w:pgMar w:top="1440" w:right="1440" w:bottom="1440" w:left="1440" w:header="720" w:footer="720" w:gutter="0"/>
          <w:cols w:space="720"/>
          <w:titlePg/>
          <w:docGrid w:linePitch="360"/>
        </w:sectPr>
      </w:pPr>
    </w:p>
    <w:p w14:paraId="57E18370" w14:textId="77777777" w:rsidR="00112B0B" w:rsidRPr="003C1157" w:rsidRDefault="00112B0B" w:rsidP="006272DB">
      <w:pPr>
        <w:spacing w:after="280"/>
        <w:rPr>
          <w:lang w:val="sr-Cyrl-RS"/>
        </w:rPr>
      </w:pPr>
      <w:r w:rsidRPr="003C1157">
        <w:rPr>
          <w:lang w:val="sr-Cyrl-RS"/>
        </w:rPr>
        <w:t xml:space="preserve">Наредна табела приказује кретања основних параметара јавног дуга по основу све четири </w:t>
      </w:r>
      <w:r w:rsidRPr="003C1157">
        <w:rPr>
          <w:lang w:val="sr-Cyrl-RS"/>
        </w:rPr>
        <w:t>разматране стратегије, што осликава горе поменуте карактеристике сваке стратегије:</w:t>
      </w:r>
    </w:p>
    <w:p w14:paraId="017C32F0" w14:textId="77777777" w:rsidR="00112B0B" w:rsidRPr="003C1157" w:rsidRDefault="00112B0B" w:rsidP="00523B7B">
      <w:pPr>
        <w:spacing w:line="256" w:lineRule="auto"/>
        <w:jc w:val="center"/>
        <w:rPr>
          <w:rFonts w:ascii="Calibri" w:eastAsia="Calibri" w:hAnsi="Calibri" w:cs="Times New Roman"/>
          <w:b/>
          <w:color w:val="002060"/>
          <w:lang w:val="sr-Cyrl-RS"/>
        </w:rPr>
        <w:sectPr w:rsidR="00112B0B" w:rsidRPr="003C1157" w:rsidSect="006272DB">
          <w:type w:val="continuous"/>
          <w:pgSz w:w="12240" w:h="15840" w:code="1"/>
          <w:pgMar w:top="1440" w:right="1440" w:bottom="1440" w:left="1440" w:header="720" w:footer="720" w:gutter="0"/>
          <w:cols w:num="2" w:space="720"/>
          <w:titlePg/>
          <w:docGrid w:linePitch="360"/>
        </w:sectPr>
      </w:pPr>
    </w:p>
    <w:p w14:paraId="14BACD19" w14:textId="77777777" w:rsidR="00112B0B" w:rsidRPr="003C1157" w:rsidRDefault="00112B0B" w:rsidP="00523B7B">
      <w:pPr>
        <w:spacing w:line="256" w:lineRule="auto"/>
        <w:jc w:val="center"/>
        <w:rPr>
          <w:rFonts w:ascii="Calibri" w:eastAsia="Calibri" w:hAnsi="Calibri" w:cs="Times New Roman"/>
          <w:b/>
          <w:color w:val="002060"/>
          <w:lang w:val="sr-Cyrl-RS"/>
        </w:rPr>
      </w:pPr>
      <w:r w:rsidRPr="003C1157">
        <w:rPr>
          <w:rFonts w:ascii="Calibri" w:eastAsia="Calibri" w:hAnsi="Calibri" w:cs="Times New Roman"/>
          <w:b/>
          <w:color w:val="002060"/>
          <w:lang w:val="sr-Cyrl-RS"/>
        </w:rPr>
        <w:t>Табела 28. Индикатори ризика за алтернативне стратегије на крају 2026. године</w:t>
      </w:r>
    </w:p>
    <w:tbl>
      <w:tblPr>
        <w:tblStyle w:val="LightShading-Accent1222"/>
        <w:tblW w:w="5000" w:type="pct"/>
        <w:tblInd w:w="0" w:type="dxa"/>
        <w:tblLook w:val="04A0" w:firstRow="1" w:lastRow="0" w:firstColumn="1" w:lastColumn="0" w:noHBand="0" w:noVBand="1"/>
      </w:tblPr>
      <w:tblGrid>
        <w:gridCol w:w="2950"/>
        <w:gridCol w:w="3664"/>
        <w:gridCol w:w="685"/>
        <w:gridCol w:w="687"/>
        <w:gridCol w:w="685"/>
        <w:gridCol w:w="689"/>
      </w:tblGrid>
      <w:tr w:rsidR="00112B0B" w:rsidRPr="003C1157" w14:paraId="146E6981" w14:textId="77777777" w:rsidTr="00523B7B">
        <w:trPr>
          <w:cnfStyle w:val="100000000000" w:firstRow="1" w:lastRow="0" w:firstColumn="0" w:lastColumn="0" w:oddVBand="0" w:evenVBand="0" w:oddHBand="0"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single" w:sz="4" w:space="0" w:color="002060"/>
              <w:bottom w:val="nil"/>
            </w:tcBorders>
            <w:noWrap/>
            <w:hideMark/>
          </w:tcPr>
          <w:p w14:paraId="5D5AFC7E" w14:textId="77777777" w:rsidR="00112B0B" w:rsidRPr="003C1157" w:rsidRDefault="00112B0B" w:rsidP="00523B7B">
            <w:pPr>
              <w:spacing w:line="256" w:lineRule="auto"/>
              <w:rPr>
                <w:rFonts w:ascii="Calibri" w:hAnsi="Calibri"/>
                <w:color w:val="002060"/>
                <w:lang w:val="sr-Cyrl-RS"/>
              </w:rPr>
            </w:pPr>
          </w:p>
        </w:tc>
        <w:tc>
          <w:tcPr>
            <w:tcW w:w="1957" w:type="pct"/>
            <w:tcBorders>
              <w:top w:val="single" w:sz="4" w:space="0" w:color="002060"/>
              <w:bottom w:val="single" w:sz="4" w:space="0" w:color="auto"/>
            </w:tcBorders>
          </w:tcPr>
          <w:p w14:paraId="06954CE6" w14:textId="77777777" w:rsidR="00112B0B" w:rsidRPr="003C1157" w:rsidRDefault="00112B0B" w:rsidP="00523B7B">
            <w:pPr>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p>
        </w:tc>
        <w:tc>
          <w:tcPr>
            <w:tcW w:w="1467" w:type="pct"/>
            <w:gridSpan w:val="4"/>
            <w:tcBorders>
              <w:top w:val="single" w:sz="4" w:space="0" w:color="002060"/>
              <w:bottom w:val="single" w:sz="4" w:space="0" w:color="auto"/>
            </w:tcBorders>
            <w:noWrap/>
            <w:hideMark/>
          </w:tcPr>
          <w:p w14:paraId="28B3CA8E" w14:textId="77777777" w:rsidR="00112B0B" w:rsidRPr="003C1157" w:rsidRDefault="00112B0B" w:rsidP="006272D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C1</w:t>
            </w:r>
            <w:r w:rsidRPr="003C1157">
              <w:rPr>
                <w:rFonts w:ascii="Calibri" w:hAnsi="Calibri" w:cs="Calibri"/>
                <w:color w:val="002060"/>
                <w:sz w:val="18"/>
                <w:szCs w:val="18"/>
                <w:lang w:val="sr-Cyrl-RS"/>
              </w:rPr>
              <w:tab/>
              <w:t>C2</w:t>
            </w:r>
            <w:r w:rsidRPr="003C1157">
              <w:rPr>
                <w:rFonts w:ascii="Calibri" w:hAnsi="Calibri" w:cs="Calibri"/>
                <w:color w:val="002060"/>
                <w:sz w:val="18"/>
                <w:szCs w:val="18"/>
                <w:lang w:val="sr-Cyrl-RS"/>
              </w:rPr>
              <w:tab/>
              <w:t>C3</w:t>
            </w:r>
            <w:r w:rsidRPr="003C1157">
              <w:rPr>
                <w:rFonts w:ascii="Calibri" w:hAnsi="Calibri" w:cs="Calibri"/>
                <w:color w:val="002060"/>
                <w:sz w:val="18"/>
                <w:szCs w:val="18"/>
                <w:lang w:val="sr-Cyrl-RS"/>
              </w:rPr>
              <w:tab/>
              <w:t>C4</w:t>
            </w:r>
          </w:p>
        </w:tc>
      </w:tr>
      <w:tr w:rsidR="00112B0B" w:rsidRPr="003C1157" w14:paraId="6080B852" w14:textId="77777777" w:rsidTr="00523B7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nil"/>
              <w:bottom w:val="nil"/>
            </w:tcBorders>
            <w:shd w:val="clear" w:color="auto" w:fill="E7E6E6" w:themeFill="background2"/>
            <w:noWrap/>
            <w:hideMark/>
          </w:tcPr>
          <w:p w14:paraId="6AD22B04"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Номинални дуг (% БДП)</w:t>
            </w:r>
          </w:p>
        </w:tc>
        <w:tc>
          <w:tcPr>
            <w:tcW w:w="1957" w:type="pct"/>
            <w:tcBorders>
              <w:top w:val="single" w:sz="4" w:space="0" w:color="auto"/>
              <w:bottom w:val="nil"/>
            </w:tcBorders>
            <w:shd w:val="clear" w:color="auto" w:fill="E7E6E6" w:themeFill="background2"/>
            <w:noWrap/>
            <w:hideMark/>
          </w:tcPr>
          <w:p w14:paraId="1BC9184A" w14:textId="77777777" w:rsidR="00112B0B" w:rsidRPr="003C1157" w:rsidRDefault="00112B0B" w:rsidP="006272D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 </w:t>
            </w:r>
          </w:p>
        </w:tc>
        <w:tc>
          <w:tcPr>
            <w:tcW w:w="366" w:type="pct"/>
            <w:tcBorders>
              <w:top w:val="single" w:sz="4" w:space="0" w:color="auto"/>
              <w:bottom w:val="nil"/>
            </w:tcBorders>
            <w:shd w:val="clear" w:color="auto" w:fill="E7E6E6" w:themeFill="background2"/>
            <w:noWrap/>
            <w:hideMark/>
          </w:tcPr>
          <w:p w14:paraId="0CB58EA6"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49,0</w:t>
            </w:r>
          </w:p>
        </w:tc>
        <w:tc>
          <w:tcPr>
            <w:tcW w:w="367" w:type="pct"/>
            <w:tcBorders>
              <w:top w:val="single" w:sz="4" w:space="0" w:color="auto"/>
              <w:bottom w:val="nil"/>
            </w:tcBorders>
            <w:shd w:val="clear" w:color="auto" w:fill="E7E6E6" w:themeFill="background2"/>
            <w:noWrap/>
            <w:hideMark/>
          </w:tcPr>
          <w:p w14:paraId="2C2E3FE3"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49,5</w:t>
            </w:r>
          </w:p>
        </w:tc>
        <w:tc>
          <w:tcPr>
            <w:tcW w:w="366" w:type="pct"/>
            <w:tcBorders>
              <w:top w:val="single" w:sz="4" w:space="0" w:color="auto"/>
              <w:bottom w:val="nil"/>
            </w:tcBorders>
            <w:shd w:val="clear" w:color="auto" w:fill="E7E6E6" w:themeFill="background2"/>
            <w:noWrap/>
            <w:hideMark/>
          </w:tcPr>
          <w:p w14:paraId="0555A92E"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49,0</w:t>
            </w:r>
          </w:p>
        </w:tc>
        <w:tc>
          <w:tcPr>
            <w:tcW w:w="368" w:type="pct"/>
            <w:tcBorders>
              <w:top w:val="single" w:sz="4" w:space="0" w:color="auto"/>
              <w:bottom w:val="nil"/>
            </w:tcBorders>
            <w:shd w:val="clear" w:color="auto" w:fill="E7E6E6" w:themeFill="background2"/>
            <w:noWrap/>
            <w:hideMark/>
          </w:tcPr>
          <w:p w14:paraId="424808A7"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49,1</w:t>
            </w:r>
          </w:p>
        </w:tc>
      </w:tr>
      <w:tr w:rsidR="00112B0B" w:rsidRPr="003C1157" w14:paraId="25581B95" w14:textId="77777777" w:rsidTr="00523B7B">
        <w:trPr>
          <w:trHeight w:val="262"/>
        </w:trPr>
        <w:tc>
          <w:tcPr>
            <w:cnfStyle w:val="001000000000" w:firstRow="0" w:lastRow="0" w:firstColumn="1" w:lastColumn="0" w:oddVBand="0" w:evenVBand="0" w:oddHBand="0" w:evenHBand="0" w:firstRowFirstColumn="0" w:firstRowLastColumn="0" w:lastRowFirstColumn="0" w:lastRowLastColumn="0"/>
            <w:tcW w:w="3533" w:type="pct"/>
            <w:gridSpan w:val="2"/>
            <w:tcBorders>
              <w:top w:val="nil"/>
              <w:left w:val="nil"/>
              <w:bottom w:val="nil"/>
              <w:right w:val="nil"/>
            </w:tcBorders>
            <w:noWrap/>
            <w:hideMark/>
          </w:tcPr>
          <w:p w14:paraId="452C10D5"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Примењена каматна стопа (%)</w:t>
            </w:r>
          </w:p>
        </w:tc>
        <w:tc>
          <w:tcPr>
            <w:tcW w:w="366" w:type="pct"/>
            <w:tcBorders>
              <w:top w:val="nil"/>
              <w:left w:val="nil"/>
              <w:bottom w:val="nil"/>
              <w:right w:val="nil"/>
            </w:tcBorders>
            <w:noWrap/>
            <w:hideMark/>
          </w:tcPr>
          <w:p w14:paraId="468E9C90"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5,0</w:t>
            </w:r>
          </w:p>
        </w:tc>
        <w:tc>
          <w:tcPr>
            <w:tcW w:w="367" w:type="pct"/>
            <w:tcBorders>
              <w:top w:val="nil"/>
              <w:left w:val="nil"/>
              <w:bottom w:val="nil"/>
              <w:right w:val="nil"/>
            </w:tcBorders>
            <w:noWrap/>
            <w:hideMark/>
          </w:tcPr>
          <w:p w14:paraId="68190A57"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5,6</w:t>
            </w:r>
          </w:p>
        </w:tc>
        <w:tc>
          <w:tcPr>
            <w:tcW w:w="366" w:type="pct"/>
            <w:tcBorders>
              <w:top w:val="nil"/>
              <w:left w:val="nil"/>
              <w:bottom w:val="nil"/>
              <w:right w:val="nil"/>
            </w:tcBorders>
            <w:noWrap/>
            <w:hideMark/>
          </w:tcPr>
          <w:p w14:paraId="23AE9721"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5,0</w:t>
            </w:r>
          </w:p>
        </w:tc>
        <w:tc>
          <w:tcPr>
            <w:tcW w:w="368" w:type="pct"/>
            <w:tcBorders>
              <w:top w:val="nil"/>
              <w:left w:val="nil"/>
              <w:bottom w:val="nil"/>
              <w:right w:val="nil"/>
            </w:tcBorders>
            <w:noWrap/>
            <w:hideMark/>
          </w:tcPr>
          <w:p w14:paraId="7BE89990"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5,4</w:t>
            </w:r>
          </w:p>
        </w:tc>
      </w:tr>
      <w:tr w:rsidR="00112B0B" w:rsidRPr="003C1157" w14:paraId="4FF8F6F7" w14:textId="77777777" w:rsidTr="00523B7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vMerge w:val="restart"/>
            <w:tcBorders>
              <w:top w:val="nil"/>
              <w:bottom w:val="nil"/>
            </w:tcBorders>
            <w:shd w:val="clear" w:color="auto" w:fill="E7E6E6" w:themeFill="background2"/>
            <w:noWrap/>
            <w:hideMark/>
          </w:tcPr>
          <w:p w14:paraId="4026D6C1"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Ризик</w:t>
            </w:r>
          </w:p>
          <w:p w14:paraId="2D0989B9"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рефинансирања</w:t>
            </w:r>
          </w:p>
        </w:tc>
        <w:tc>
          <w:tcPr>
            <w:tcW w:w="1957" w:type="pct"/>
            <w:tcBorders>
              <w:top w:val="nil"/>
              <w:bottom w:val="nil"/>
            </w:tcBorders>
            <w:shd w:val="clear" w:color="auto" w:fill="E7E6E6" w:themeFill="background2"/>
            <w:noWrap/>
            <w:hideMark/>
          </w:tcPr>
          <w:p w14:paraId="61F54F5A" w14:textId="77777777" w:rsidR="00112B0B" w:rsidRPr="003C1157" w:rsidRDefault="00112B0B" w:rsidP="006272D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ATM</w:t>
            </w:r>
            <w:r w:rsidRPr="003C1157">
              <w:rPr>
                <w:rFonts w:ascii="Calibri" w:hAnsi="Calibri" w:cs="Calibri"/>
                <w:color w:val="002060"/>
                <w:sz w:val="18"/>
                <w:szCs w:val="18"/>
                <w:vertAlign w:val="superscript"/>
                <w:lang w:val="sr-Cyrl-RS"/>
              </w:rPr>
              <w:footnoteReference w:id="11"/>
            </w:r>
            <w:r w:rsidRPr="003C1157">
              <w:rPr>
                <w:rFonts w:ascii="Calibri" w:hAnsi="Calibri" w:cs="Calibri"/>
                <w:color w:val="002060"/>
                <w:sz w:val="18"/>
                <w:szCs w:val="18"/>
                <w:lang w:val="sr-Cyrl-RS"/>
              </w:rPr>
              <w:t xml:space="preserve"> спољни портфолио (у годинама)</w:t>
            </w:r>
          </w:p>
        </w:tc>
        <w:tc>
          <w:tcPr>
            <w:tcW w:w="366" w:type="pct"/>
            <w:tcBorders>
              <w:top w:val="nil"/>
              <w:bottom w:val="nil"/>
            </w:tcBorders>
            <w:shd w:val="clear" w:color="auto" w:fill="E7E6E6" w:themeFill="background2"/>
            <w:noWrap/>
            <w:hideMark/>
          </w:tcPr>
          <w:p w14:paraId="1AF22509"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8,0</w:t>
            </w:r>
          </w:p>
        </w:tc>
        <w:tc>
          <w:tcPr>
            <w:tcW w:w="367" w:type="pct"/>
            <w:tcBorders>
              <w:top w:val="nil"/>
              <w:bottom w:val="nil"/>
            </w:tcBorders>
            <w:shd w:val="clear" w:color="auto" w:fill="E7E6E6" w:themeFill="background2"/>
            <w:noWrap/>
            <w:hideMark/>
          </w:tcPr>
          <w:p w14:paraId="56838EFA"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10,2</w:t>
            </w:r>
          </w:p>
        </w:tc>
        <w:tc>
          <w:tcPr>
            <w:tcW w:w="366" w:type="pct"/>
            <w:tcBorders>
              <w:top w:val="nil"/>
              <w:bottom w:val="nil"/>
            </w:tcBorders>
            <w:shd w:val="clear" w:color="auto" w:fill="E7E6E6" w:themeFill="background2"/>
            <w:noWrap/>
            <w:hideMark/>
          </w:tcPr>
          <w:p w14:paraId="1010FC51"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10,2</w:t>
            </w:r>
          </w:p>
        </w:tc>
        <w:tc>
          <w:tcPr>
            <w:tcW w:w="368" w:type="pct"/>
            <w:tcBorders>
              <w:top w:val="nil"/>
              <w:bottom w:val="nil"/>
            </w:tcBorders>
            <w:shd w:val="clear" w:color="auto" w:fill="E7E6E6" w:themeFill="background2"/>
            <w:noWrap/>
            <w:hideMark/>
          </w:tcPr>
          <w:p w14:paraId="76AC6DB0"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7,3</w:t>
            </w:r>
          </w:p>
        </w:tc>
      </w:tr>
      <w:tr w:rsidR="00112B0B" w:rsidRPr="003C1157" w14:paraId="09A482C6" w14:textId="77777777" w:rsidTr="00523B7B">
        <w:trPr>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nil"/>
              <w:bottom w:val="nil"/>
              <w:right w:val="nil"/>
            </w:tcBorders>
            <w:vAlign w:val="center"/>
            <w:hideMark/>
          </w:tcPr>
          <w:p w14:paraId="1D274FA7" w14:textId="77777777" w:rsidR="00112B0B" w:rsidRPr="003C1157" w:rsidRDefault="00112B0B" w:rsidP="006272DB">
            <w:pPr>
              <w:jc w:val="left"/>
              <w:rPr>
                <w:rFonts w:ascii="Calibri" w:hAnsi="Calibri" w:cs="Calibri"/>
                <w:color w:val="002060"/>
                <w:sz w:val="18"/>
                <w:szCs w:val="18"/>
                <w:lang w:val="sr-Cyrl-RS"/>
              </w:rPr>
            </w:pPr>
          </w:p>
        </w:tc>
        <w:tc>
          <w:tcPr>
            <w:tcW w:w="1957" w:type="pct"/>
            <w:tcBorders>
              <w:top w:val="nil"/>
              <w:left w:val="nil"/>
              <w:bottom w:val="nil"/>
              <w:right w:val="nil"/>
            </w:tcBorders>
            <w:noWrap/>
            <w:hideMark/>
          </w:tcPr>
          <w:p w14:paraId="08277F0E" w14:textId="77777777" w:rsidR="00112B0B" w:rsidRPr="003C1157" w:rsidRDefault="00112B0B" w:rsidP="006272DB">
            <w:pPr>
              <w:spacing w:line="240" w:lineRule="auto"/>
              <w:cnfStyle w:val="000000000000" w:firstRow="0" w:lastRow="0" w:firstColumn="0" w:lastColumn="0" w:oddVBand="0" w:evenVBand="0" w:oddHBand="0" w:evenHBand="0" w:firstRowFirstColumn="0" w:firstRowLastColumn="0" w:lastRowFirstColumn="0" w:lastRowLastColumn="0"/>
              <w:rPr>
                <w:rFonts w:ascii="Calibri" w:hAnsi="Calibri" w:cs="Calibri"/>
                <w:bCs/>
                <w:color w:val="002060"/>
                <w:sz w:val="18"/>
                <w:szCs w:val="18"/>
                <w:lang w:val="sr-Cyrl-RS"/>
              </w:rPr>
            </w:pPr>
            <w:r w:rsidRPr="003C1157">
              <w:rPr>
                <w:rFonts w:ascii="Calibri" w:hAnsi="Calibri" w:cs="Calibri"/>
                <w:bCs/>
                <w:color w:val="002060"/>
                <w:sz w:val="18"/>
                <w:szCs w:val="18"/>
                <w:lang w:val="sr-Cyrl-RS"/>
              </w:rPr>
              <w:t>ATM домаћи портфолио (у годинама)</w:t>
            </w:r>
          </w:p>
        </w:tc>
        <w:tc>
          <w:tcPr>
            <w:tcW w:w="366" w:type="pct"/>
            <w:tcBorders>
              <w:top w:val="nil"/>
              <w:left w:val="nil"/>
              <w:bottom w:val="nil"/>
              <w:right w:val="nil"/>
            </w:tcBorders>
            <w:noWrap/>
            <w:hideMark/>
          </w:tcPr>
          <w:p w14:paraId="6E41F734"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4,9</w:t>
            </w:r>
          </w:p>
        </w:tc>
        <w:tc>
          <w:tcPr>
            <w:tcW w:w="367" w:type="pct"/>
            <w:tcBorders>
              <w:top w:val="nil"/>
              <w:left w:val="nil"/>
              <w:bottom w:val="nil"/>
              <w:right w:val="nil"/>
            </w:tcBorders>
            <w:noWrap/>
            <w:hideMark/>
          </w:tcPr>
          <w:p w14:paraId="73B56BCA"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4,3</w:t>
            </w:r>
          </w:p>
        </w:tc>
        <w:tc>
          <w:tcPr>
            <w:tcW w:w="366" w:type="pct"/>
            <w:tcBorders>
              <w:top w:val="nil"/>
              <w:left w:val="nil"/>
              <w:bottom w:val="nil"/>
              <w:right w:val="nil"/>
            </w:tcBorders>
            <w:noWrap/>
            <w:hideMark/>
          </w:tcPr>
          <w:p w14:paraId="11F525CA"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4,3</w:t>
            </w:r>
          </w:p>
        </w:tc>
        <w:tc>
          <w:tcPr>
            <w:tcW w:w="368" w:type="pct"/>
            <w:tcBorders>
              <w:top w:val="nil"/>
              <w:left w:val="nil"/>
              <w:bottom w:val="nil"/>
              <w:right w:val="nil"/>
            </w:tcBorders>
            <w:noWrap/>
            <w:hideMark/>
          </w:tcPr>
          <w:p w14:paraId="04B75E2C"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7,4</w:t>
            </w:r>
          </w:p>
        </w:tc>
      </w:tr>
      <w:tr w:rsidR="00112B0B" w:rsidRPr="003C1157" w14:paraId="3F95EF53" w14:textId="77777777" w:rsidTr="00523B7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single" w:sz="4" w:space="0" w:color="002060"/>
            </w:tcBorders>
            <w:vAlign w:val="center"/>
            <w:hideMark/>
          </w:tcPr>
          <w:p w14:paraId="07398FAB" w14:textId="77777777" w:rsidR="00112B0B" w:rsidRPr="003C1157" w:rsidRDefault="00112B0B" w:rsidP="006272DB">
            <w:pPr>
              <w:jc w:val="left"/>
              <w:rPr>
                <w:rFonts w:ascii="Calibri" w:hAnsi="Calibri" w:cs="Calibri"/>
                <w:color w:val="002060"/>
                <w:sz w:val="18"/>
                <w:szCs w:val="18"/>
                <w:lang w:val="sr-Cyrl-RS"/>
              </w:rPr>
            </w:pPr>
          </w:p>
        </w:tc>
        <w:tc>
          <w:tcPr>
            <w:tcW w:w="1957" w:type="pct"/>
            <w:tcBorders>
              <w:top w:val="nil"/>
              <w:bottom w:val="single" w:sz="4" w:space="0" w:color="002060"/>
            </w:tcBorders>
            <w:shd w:val="clear" w:color="auto" w:fill="E7E6E6" w:themeFill="background2"/>
            <w:noWrap/>
            <w:hideMark/>
          </w:tcPr>
          <w:p w14:paraId="46494D44" w14:textId="77777777" w:rsidR="00112B0B" w:rsidRPr="003C1157" w:rsidRDefault="00112B0B" w:rsidP="006272D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ATM укупан портфолио (у годинама)</w:t>
            </w:r>
          </w:p>
        </w:tc>
        <w:tc>
          <w:tcPr>
            <w:tcW w:w="366" w:type="pct"/>
            <w:tcBorders>
              <w:top w:val="nil"/>
              <w:bottom w:val="single" w:sz="4" w:space="0" w:color="002060"/>
            </w:tcBorders>
            <w:shd w:val="clear" w:color="auto" w:fill="E7E6E6" w:themeFill="background2"/>
            <w:noWrap/>
            <w:hideMark/>
          </w:tcPr>
          <w:p w14:paraId="052601BF"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7,4</w:t>
            </w:r>
          </w:p>
        </w:tc>
        <w:tc>
          <w:tcPr>
            <w:tcW w:w="367" w:type="pct"/>
            <w:tcBorders>
              <w:top w:val="nil"/>
              <w:bottom w:val="single" w:sz="4" w:space="0" w:color="002060"/>
            </w:tcBorders>
            <w:shd w:val="clear" w:color="auto" w:fill="E7E6E6" w:themeFill="background2"/>
            <w:noWrap/>
            <w:hideMark/>
          </w:tcPr>
          <w:p w14:paraId="1E1DC046"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9,8</w:t>
            </w:r>
          </w:p>
        </w:tc>
        <w:tc>
          <w:tcPr>
            <w:tcW w:w="366" w:type="pct"/>
            <w:tcBorders>
              <w:top w:val="nil"/>
              <w:bottom w:val="single" w:sz="4" w:space="0" w:color="002060"/>
            </w:tcBorders>
            <w:shd w:val="clear" w:color="auto" w:fill="E7E6E6" w:themeFill="background2"/>
            <w:noWrap/>
            <w:hideMark/>
          </w:tcPr>
          <w:p w14:paraId="766606A2"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9,8</w:t>
            </w:r>
          </w:p>
        </w:tc>
        <w:tc>
          <w:tcPr>
            <w:tcW w:w="368" w:type="pct"/>
            <w:tcBorders>
              <w:top w:val="nil"/>
              <w:bottom w:val="single" w:sz="4" w:space="0" w:color="002060"/>
            </w:tcBorders>
            <w:shd w:val="clear" w:color="auto" w:fill="E7E6E6" w:themeFill="background2"/>
            <w:noWrap/>
            <w:hideMark/>
          </w:tcPr>
          <w:p w14:paraId="43196073"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7,4</w:t>
            </w:r>
          </w:p>
        </w:tc>
      </w:tr>
      <w:tr w:rsidR="00112B0B" w:rsidRPr="003C1157" w14:paraId="5CAC8C62" w14:textId="77777777" w:rsidTr="00523B7B">
        <w:trPr>
          <w:trHeight w:val="262"/>
        </w:trPr>
        <w:tc>
          <w:tcPr>
            <w:tcW w:w="1576" w:type="pct"/>
            <w:vMerge w:val="restart"/>
            <w:tcBorders>
              <w:top w:val="single" w:sz="4" w:space="0" w:color="002060"/>
              <w:left w:val="nil"/>
              <w:bottom w:val="nil"/>
              <w:right w:val="nil"/>
            </w:tcBorders>
            <w:noWrap/>
            <w:hideMark/>
          </w:tcPr>
          <w:p w14:paraId="760B0AEE" w14:textId="77777777" w:rsidR="00112B0B" w:rsidRPr="003C1157" w:rsidRDefault="00112B0B" w:rsidP="006272DB">
            <w:pPr>
              <w:spacing w:line="240" w:lineRule="auto"/>
              <w:cnfStyle w:val="001000000000" w:firstRow="0" w:lastRow="0" w:firstColumn="1"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Ризик каматних стопа</w:t>
            </w:r>
          </w:p>
        </w:tc>
        <w:tc>
          <w:tcPr>
            <w:tcW w:w="1957" w:type="pct"/>
            <w:tcBorders>
              <w:top w:val="single" w:sz="4" w:space="0" w:color="002060"/>
              <w:left w:val="nil"/>
              <w:bottom w:val="nil"/>
              <w:right w:val="nil"/>
            </w:tcBorders>
            <w:noWrap/>
            <w:hideMark/>
          </w:tcPr>
          <w:p w14:paraId="20AF4D1D" w14:textId="77777777" w:rsidR="00112B0B" w:rsidRPr="003C1157" w:rsidRDefault="00112B0B" w:rsidP="006272DB">
            <w:pPr>
              <w:spacing w:line="240" w:lineRule="auto"/>
              <w:rPr>
                <w:rFonts w:ascii="Calibri" w:hAnsi="Calibri" w:cs="Calibri"/>
                <w:bCs/>
                <w:color w:val="002060"/>
                <w:sz w:val="18"/>
                <w:szCs w:val="18"/>
                <w:lang w:val="sr-Cyrl-RS"/>
              </w:rPr>
            </w:pPr>
            <w:r w:rsidRPr="003C1157">
              <w:rPr>
                <w:rFonts w:ascii="Calibri" w:hAnsi="Calibri" w:cs="Calibri"/>
                <w:bCs/>
                <w:color w:val="002060"/>
                <w:sz w:val="18"/>
                <w:szCs w:val="18"/>
                <w:lang w:val="sr-Cyrl-RS"/>
              </w:rPr>
              <w:t>АТR</w:t>
            </w:r>
            <w:r w:rsidRPr="003C1157">
              <w:rPr>
                <w:rFonts w:ascii="Calibri" w:hAnsi="Calibri" w:cs="Calibri"/>
                <w:bCs/>
                <w:color w:val="002060"/>
                <w:sz w:val="18"/>
                <w:szCs w:val="18"/>
                <w:vertAlign w:val="superscript"/>
                <w:lang w:val="sr-Cyrl-RS"/>
              </w:rPr>
              <w:footnoteReference w:id="12"/>
            </w:r>
            <w:r w:rsidRPr="003C1157">
              <w:rPr>
                <w:rFonts w:ascii="Calibri" w:hAnsi="Calibri" w:cs="Calibri"/>
                <w:bCs/>
                <w:color w:val="002060"/>
                <w:sz w:val="18"/>
                <w:szCs w:val="18"/>
                <w:lang w:val="sr-Cyrl-RS"/>
              </w:rPr>
              <w:t xml:space="preserve"> (у годинама)</w:t>
            </w:r>
          </w:p>
        </w:tc>
        <w:tc>
          <w:tcPr>
            <w:tcW w:w="366" w:type="pct"/>
            <w:tcBorders>
              <w:top w:val="single" w:sz="4" w:space="0" w:color="002060"/>
              <w:left w:val="nil"/>
              <w:bottom w:val="nil"/>
              <w:right w:val="nil"/>
            </w:tcBorders>
            <w:noWrap/>
            <w:hideMark/>
          </w:tcPr>
          <w:p w14:paraId="002E26BC" w14:textId="77777777" w:rsidR="00112B0B" w:rsidRPr="003C1157" w:rsidRDefault="00112B0B" w:rsidP="006272DB">
            <w:pPr>
              <w:spacing w:line="240" w:lineRule="auto"/>
              <w:jc w:val="right"/>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5,0</w:t>
            </w:r>
          </w:p>
        </w:tc>
        <w:tc>
          <w:tcPr>
            <w:tcW w:w="367" w:type="pct"/>
            <w:tcBorders>
              <w:top w:val="single" w:sz="4" w:space="0" w:color="002060"/>
              <w:left w:val="nil"/>
              <w:bottom w:val="nil"/>
              <w:right w:val="nil"/>
            </w:tcBorders>
            <w:noWrap/>
            <w:hideMark/>
          </w:tcPr>
          <w:p w14:paraId="05909B92" w14:textId="77777777" w:rsidR="00112B0B" w:rsidRPr="003C1157" w:rsidRDefault="00112B0B" w:rsidP="006272DB">
            <w:pPr>
              <w:spacing w:line="240" w:lineRule="auto"/>
              <w:jc w:val="right"/>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8,0</w:t>
            </w:r>
          </w:p>
        </w:tc>
        <w:tc>
          <w:tcPr>
            <w:tcW w:w="366" w:type="pct"/>
            <w:tcBorders>
              <w:top w:val="single" w:sz="4" w:space="0" w:color="002060"/>
              <w:left w:val="nil"/>
              <w:bottom w:val="nil"/>
              <w:right w:val="nil"/>
            </w:tcBorders>
            <w:noWrap/>
            <w:hideMark/>
          </w:tcPr>
          <w:p w14:paraId="17ACD608" w14:textId="77777777" w:rsidR="00112B0B" w:rsidRPr="003C1157" w:rsidRDefault="00112B0B" w:rsidP="006272DB">
            <w:pPr>
              <w:spacing w:line="240" w:lineRule="auto"/>
              <w:jc w:val="right"/>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8,0</w:t>
            </w:r>
          </w:p>
        </w:tc>
        <w:tc>
          <w:tcPr>
            <w:tcW w:w="368" w:type="pct"/>
            <w:tcBorders>
              <w:top w:val="single" w:sz="4" w:space="0" w:color="002060"/>
              <w:left w:val="nil"/>
              <w:bottom w:val="nil"/>
              <w:right w:val="nil"/>
            </w:tcBorders>
            <w:noWrap/>
            <w:hideMark/>
          </w:tcPr>
          <w:p w14:paraId="5C9BB646" w14:textId="77777777" w:rsidR="00112B0B" w:rsidRPr="003C1157" w:rsidRDefault="00112B0B" w:rsidP="006272DB">
            <w:pPr>
              <w:spacing w:line="240" w:lineRule="auto"/>
              <w:jc w:val="right"/>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5,6</w:t>
            </w:r>
          </w:p>
        </w:tc>
      </w:tr>
      <w:tr w:rsidR="00112B0B" w:rsidRPr="003C1157" w14:paraId="529F99C4" w14:textId="77777777" w:rsidTr="00523B7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2060"/>
              <w:bottom w:val="nil"/>
            </w:tcBorders>
            <w:vAlign w:val="center"/>
            <w:hideMark/>
          </w:tcPr>
          <w:p w14:paraId="629271CD" w14:textId="77777777" w:rsidR="00112B0B" w:rsidRPr="003C1157" w:rsidRDefault="00112B0B" w:rsidP="006272DB">
            <w:pPr>
              <w:jc w:val="left"/>
              <w:rPr>
                <w:rFonts w:ascii="Calibri" w:hAnsi="Calibri" w:cs="Calibri"/>
                <w:color w:val="002060"/>
                <w:sz w:val="18"/>
                <w:szCs w:val="18"/>
                <w:lang w:val="sr-Cyrl-RS"/>
              </w:rPr>
            </w:pPr>
          </w:p>
        </w:tc>
        <w:tc>
          <w:tcPr>
            <w:tcW w:w="1957" w:type="pct"/>
            <w:tcBorders>
              <w:top w:val="nil"/>
              <w:bottom w:val="nil"/>
            </w:tcBorders>
            <w:shd w:val="clear" w:color="auto" w:fill="E7E6E6" w:themeFill="background2"/>
            <w:noWrap/>
            <w:hideMark/>
          </w:tcPr>
          <w:p w14:paraId="2724BC63" w14:textId="77777777" w:rsidR="00112B0B" w:rsidRPr="003C1157" w:rsidRDefault="00112B0B" w:rsidP="006272D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Рефиксирање (% укупног дуга)</w:t>
            </w:r>
          </w:p>
        </w:tc>
        <w:tc>
          <w:tcPr>
            <w:tcW w:w="366" w:type="pct"/>
            <w:tcBorders>
              <w:top w:val="nil"/>
              <w:bottom w:val="nil"/>
            </w:tcBorders>
            <w:shd w:val="clear" w:color="auto" w:fill="E7E6E6" w:themeFill="background2"/>
            <w:noWrap/>
            <w:hideMark/>
          </w:tcPr>
          <w:p w14:paraId="475BDF8E"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37,6</w:t>
            </w:r>
          </w:p>
        </w:tc>
        <w:tc>
          <w:tcPr>
            <w:tcW w:w="367" w:type="pct"/>
            <w:tcBorders>
              <w:top w:val="nil"/>
              <w:bottom w:val="nil"/>
            </w:tcBorders>
            <w:shd w:val="clear" w:color="auto" w:fill="E7E6E6" w:themeFill="background2"/>
            <w:noWrap/>
            <w:hideMark/>
          </w:tcPr>
          <w:p w14:paraId="2A9C3044"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22,0</w:t>
            </w:r>
          </w:p>
        </w:tc>
        <w:tc>
          <w:tcPr>
            <w:tcW w:w="366" w:type="pct"/>
            <w:tcBorders>
              <w:top w:val="nil"/>
              <w:bottom w:val="nil"/>
            </w:tcBorders>
            <w:shd w:val="clear" w:color="auto" w:fill="E7E6E6" w:themeFill="background2"/>
            <w:noWrap/>
            <w:hideMark/>
          </w:tcPr>
          <w:p w14:paraId="44F466D6"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22,2</w:t>
            </w:r>
          </w:p>
        </w:tc>
        <w:tc>
          <w:tcPr>
            <w:tcW w:w="368" w:type="pct"/>
            <w:tcBorders>
              <w:top w:val="nil"/>
              <w:bottom w:val="nil"/>
            </w:tcBorders>
            <w:shd w:val="clear" w:color="auto" w:fill="E7E6E6" w:themeFill="background2"/>
            <w:noWrap/>
            <w:hideMark/>
          </w:tcPr>
          <w:p w14:paraId="6F19FA2E"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22,2</w:t>
            </w:r>
          </w:p>
        </w:tc>
      </w:tr>
      <w:tr w:rsidR="00112B0B" w:rsidRPr="003C1157" w14:paraId="40D421F9" w14:textId="77777777" w:rsidTr="00523B7B">
        <w:trPr>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2060"/>
              <w:left w:val="nil"/>
              <w:bottom w:val="nil"/>
              <w:right w:val="nil"/>
            </w:tcBorders>
            <w:vAlign w:val="center"/>
            <w:hideMark/>
          </w:tcPr>
          <w:p w14:paraId="4FDAD323" w14:textId="77777777" w:rsidR="00112B0B" w:rsidRPr="003C1157" w:rsidRDefault="00112B0B" w:rsidP="006272DB">
            <w:pPr>
              <w:jc w:val="left"/>
              <w:rPr>
                <w:rFonts w:ascii="Calibri" w:hAnsi="Calibri" w:cs="Calibri"/>
                <w:color w:val="002060"/>
                <w:sz w:val="18"/>
                <w:szCs w:val="18"/>
                <w:lang w:val="sr-Cyrl-RS"/>
              </w:rPr>
            </w:pPr>
          </w:p>
        </w:tc>
        <w:tc>
          <w:tcPr>
            <w:tcW w:w="1957" w:type="pct"/>
            <w:tcBorders>
              <w:top w:val="nil"/>
              <w:left w:val="nil"/>
              <w:bottom w:val="nil"/>
              <w:right w:val="nil"/>
            </w:tcBorders>
            <w:noWrap/>
            <w:hideMark/>
          </w:tcPr>
          <w:p w14:paraId="18E2C4E0" w14:textId="77777777" w:rsidR="00112B0B" w:rsidRPr="003C1157" w:rsidRDefault="00112B0B" w:rsidP="006272DB">
            <w:pPr>
              <w:spacing w:line="240" w:lineRule="auto"/>
              <w:cnfStyle w:val="000000000000" w:firstRow="0" w:lastRow="0" w:firstColumn="0" w:lastColumn="0" w:oddVBand="0" w:evenVBand="0" w:oddHBand="0" w:evenHBand="0" w:firstRowFirstColumn="0" w:firstRowLastColumn="0" w:lastRowFirstColumn="0" w:lastRowLastColumn="0"/>
              <w:rPr>
                <w:rFonts w:ascii="Calibri" w:hAnsi="Calibri" w:cs="Calibri"/>
                <w:bCs/>
                <w:color w:val="002060"/>
                <w:sz w:val="18"/>
                <w:szCs w:val="18"/>
                <w:lang w:val="sr-Cyrl-RS"/>
              </w:rPr>
            </w:pPr>
            <w:r w:rsidRPr="003C1157">
              <w:rPr>
                <w:rFonts w:ascii="Calibri" w:hAnsi="Calibri" w:cs="Calibri"/>
                <w:bCs/>
                <w:color w:val="002060"/>
                <w:sz w:val="18"/>
                <w:szCs w:val="18"/>
                <w:lang w:val="sr-Cyrl-RS"/>
              </w:rPr>
              <w:t>Дуг по фиксним стопама (% укупног дуга)</w:t>
            </w:r>
          </w:p>
        </w:tc>
        <w:tc>
          <w:tcPr>
            <w:tcW w:w="366" w:type="pct"/>
            <w:tcBorders>
              <w:top w:val="nil"/>
              <w:left w:val="nil"/>
              <w:bottom w:val="nil"/>
              <w:right w:val="nil"/>
            </w:tcBorders>
            <w:noWrap/>
            <w:hideMark/>
          </w:tcPr>
          <w:p w14:paraId="4EA79313"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71,1</w:t>
            </w:r>
          </w:p>
        </w:tc>
        <w:tc>
          <w:tcPr>
            <w:tcW w:w="367" w:type="pct"/>
            <w:tcBorders>
              <w:top w:val="nil"/>
              <w:left w:val="nil"/>
              <w:bottom w:val="nil"/>
              <w:right w:val="nil"/>
            </w:tcBorders>
            <w:noWrap/>
            <w:hideMark/>
          </w:tcPr>
          <w:p w14:paraId="0DC2279B"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84,4</w:t>
            </w:r>
          </w:p>
        </w:tc>
        <w:tc>
          <w:tcPr>
            <w:tcW w:w="366" w:type="pct"/>
            <w:tcBorders>
              <w:top w:val="nil"/>
              <w:left w:val="nil"/>
              <w:bottom w:val="nil"/>
              <w:right w:val="nil"/>
            </w:tcBorders>
            <w:noWrap/>
            <w:hideMark/>
          </w:tcPr>
          <w:p w14:paraId="6C7627C5"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84,3</w:t>
            </w:r>
          </w:p>
        </w:tc>
        <w:tc>
          <w:tcPr>
            <w:tcW w:w="368" w:type="pct"/>
            <w:tcBorders>
              <w:top w:val="nil"/>
              <w:left w:val="nil"/>
              <w:bottom w:val="nil"/>
              <w:right w:val="nil"/>
            </w:tcBorders>
            <w:noWrap/>
            <w:hideMark/>
          </w:tcPr>
          <w:p w14:paraId="0BE08ED4" w14:textId="77777777" w:rsidR="00112B0B" w:rsidRPr="003C1157" w:rsidRDefault="00112B0B" w:rsidP="006272D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84,3</w:t>
            </w:r>
          </w:p>
        </w:tc>
      </w:tr>
      <w:tr w:rsidR="00112B0B" w:rsidRPr="003C1157" w14:paraId="33032996" w14:textId="77777777" w:rsidTr="00523B7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nil"/>
              <w:bottom w:val="single" w:sz="4" w:space="0" w:color="002060"/>
            </w:tcBorders>
            <w:shd w:val="clear" w:color="auto" w:fill="E7E6E6" w:themeFill="background2"/>
            <w:noWrap/>
            <w:hideMark/>
          </w:tcPr>
          <w:p w14:paraId="252827D3" w14:textId="77777777" w:rsidR="00112B0B" w:rsidRPr="003C1157" w:rsidRDefault="00112B0B" w:rsidP="006272DB">
            <w:pPr>
              <w:spacing w:line="240" w:lineRule="auto"/>
              <w:rPr>
                <w:rFonts w:ascii="Calibri" w:hAnsi="Calibri" w:cs="Calibri"/>
                <w:color w:val="002060"/>
                <w:sz w:val="18"/>
                <w:szCs w:val="18"/>
                <w:lang w:val="sr-Cyrl-RS"/>
              </w:rPr>
            </w:pPr>
            <w:r w:rsidRPr="003C1157">
              <w:rPr>
                <w:rFonts w:ascii="Calibri" w:hAnsi="Calibri" w:cs="Calibri"/>
                <w:color w:val="002060"/>
                <w:sz w:val="18"/>
                <w:szCs w:val="18"/>
                <w:lang w:val="sr-Cyrl-RS"/>
              </w:rPr>
              <w:t>Ризик девизног курса</w:t>
            </w:r>
          </w:p>
        </w:tc>
        <w:tc>
          <w:tcPr>
            <w:tcW w:w="1957" w:type="pct"/>
            <w:tcBorders>
              <w:top w:val="nil"/>
              <w:bottom w:val="single" w:sz="4" w:space="0" w:color="002060"/>
            </w:tcBorders>
            <w:shd w:val="clear" w:color="auto" w:fill="E7E6E6" w:themeFill="background2"/>
            <w:noWrap/>
            <w:hideMark/>
          </w:tcPr>
          <w:p w14:paraId="108C7F61" w14:textId="77777777" w:rsidR="00112B0B" w:rsidRPr="003C1157" w:rsidRDefault="00112B0B" w:rsidP="006272D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3C1157">
              <w:rPr>
                <w:rFonts w:ascii="Calibri" w:hAnsi="Calibri" w:cs="Calibri"/>
                <w:color w:val="002060"/>
                <w:sz w:val="18"/>
                <w:szCs w:val="18"/>
                <w:lang w:val="sr-Cyrl-RS"/>
              </w:rPr>
              <w:t>Ино-валутни дуг (% укупног дуга)</w:t>
            </w:r>
          </w:p>
        </w:tc>
        <w:tc>
          <w:tcPr>
            <w:tcW w:w="366" w:type="pct"/>
            <w:tcBorders>
              <w:top w:val="nil"/>
              <w:bottom w:val="single" w:sz="4" w:space="0" w:color="002060"/>
            </w:tcBorders>
            <w:shd w:val="clear" w:color="auto" w:fill="E7E6E6" w:themeFill="background2"/>
            <w:noWrap/>
            <w:hideMark/>
          </w:tcPr>
          <w:p w14:paraId="78FF68C7"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78,8</w:t>
            </w:r>
          </w:p>
        </w:tc>
        <w:tc>
          <w:tcPr>
            <w:tcW w:w="367" w:type="pct"/>
            <w:tcBorders>
              <w:top w:val="nil"/>
              <w:bottom w:val="single" w:sz="4" w:space="0" w:color="002060"/>
            </w:tcBorders>
            <w:shd w:val="clear" w:color="auto" w:fill="E7E6E6" w:themeFill="background2"/>
            <w:noWrap/>
            <w:hideMark/>
          </w:tcPr>
          <w:p w14:paraId="79639180"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92,5</w:t>
            </w:r>
          </w:p>
        </w:tc>
        <w:tc>
          <w:tcPr>
            <w:tcW w:w="366" w:type="pct"/>
            <w:tcBorders>
              <w:top w:val="nil"/>
              <w:bottom w:val="single" w:sz="4" w:space="0" w:color="002060"/>
            </w:tcBorders>
            <w:shd w:val="clear" w:color="auto" w:fill="E7E6E6" w:themeFill="background2"/>
            <w:noWrap/>
            <w:hideMark/>
          </w:tcPr>
          <w:p w14:paraId="7BD1DB66"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92,4</w:t>
            </w:r>
          </w:p>
        </w:tc>
        <w:tc>
          <w:tcPr>
            <w:tcW w:w="368" w:type="pct"/>
            <w:tcBorders>
              <w:top w:val="nil"/>
              <w:bottom w:val="single" w:sz="4" w:space="0" w:color="002060"/>
            </w:tcBorders>
            <w:shd w:val="clear" w:color="auto" w:fill="E7E6E6" w:themeFill="background2"/>
            <w:noWrap/>
            <w:hideMark/>
          </w:tcPr>
          <w:p w14:paraId="3CDADAA8" w14:textId="77777777" w:rsidR="00112B0B" w:rsidRPr="003C1157" w:rsidRDefault="00112B0B" w:rsidP="006272D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3C1157">
              <w:rPr>
                <w:rFonts w:ascii="Calibri" w:hAnsi="Calibri" w:cs="Calibri"/>
                <w:b/>
                <w:bCs/>
                <w:color w:val="002060"/>
                <w:sz w:val="18"/>
                <w:szCs w:val="18"/>
                <w:lang w:val="sr-Cyrl-RS"/>
              </w:rPr>
              <w:t>46,3</w:t>
            </w:r>
          </w:p>
        </w:tc>
      </w:tr>
    </w:tbl>
    <w:p w14:paraId="1B5F2F12" w14:textId="77777777" w:rsidR="00112B0B" w:rsidRPr="003C1157" w:rsidRDefault="00112B0B" w:rsidP="006272DB">
      <w:pPr>
        <w:rPr>
          <w:lang w:val="sr-Cyrl-RS"/>
        </w:rPr>
      </w:pPr>
    </w:p>
    <w:p w14:paraId="2D9D7545" w14:textId="77777777" w:rsidR="00112B0B" w:rsidRPr="003C1157" w:rsidRDefault="00112B0B" w:rsidP="006272DB">
      <w:pPr>
        <w:rPr>
          <w:rFonts w:ascii="Calibri" w:hAnsi="Calibri"/>
          <w:color w:val="2F5496" w:themeColor="accent1" w:themeShade="BF"/>
          <w:sz w:val="22"/>
          <w:lang w:val="sr-Cyrl-RS"/>
        </w:rPr>
        <w:sectPr w:rsidR="00112B0B" w:rsidRPr="003C1157" w:rsidSect="006272DB">
          <w:type w:val="continuous"/>
          <w:pgSz w:w="12240" w:h="15840" w:code="1"/>
          <w:pgMar w:top="1440" w:right="1440" w:bottom="1440" w:left="1440" w:header="720" w:footer="720" w:gutter="0"/>
          <w:cols w:space="720"/>
          <w:titlePg/>
          <w:docGrid w:linePitch="360"/>
        </w:sectPr>
      </w:pPr>
    </w:p>
    <w:p w14:paraId="0CA8A698" w14:textId="77777777" w:rsidR="00112B0B" w:rsidRPr="003C1157" w:rsidRDefault="00112B0B" w:rsidP="00C91F83">
      <w:pPr>
        <w:spacing w:line="256" w:lineRule="auto"/>
        <w:rPr>
          <w:rFonts w:ascii="Calibri" w:eastAsia="Calibri" w:hAnsi="Calibri" w:cs="Times New Roman"/>
          <w:b/>
          <w:color w:val="2F5496" w:themeColor="accent1" w:themeShade="BF"/>
          <w:sz w:val="22"/>
          <w:lang w:val="sr-Cyrl-RS"/>
        </w:rPr>
      </w:pPr>
      <w:r w:rsidRPr="003C1157">
        <w:rPr>
          <w:rFonts w:ascii="Calibri" w:eastAsia="Calibri" w:hAnsi="Calibri" w:cs="Times New Roman"/>
          <w:b/>
          <w:color w:val="2F5496" w:themeColor="accent1" w:themeShade="BF"/>
          <w:sz w:val="22"/>
          <w:lang w:val="sr-Cyrl-RS"/>
        </w:rPr>
        <w:t>Стрес-тест анализа</w:t>
      </w:r>
    </w:p>
    <w:p w14:paraId="3D0BD67B"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 xml:space="preserve">Општим фискалним правилима, дефинисаним Законом о буџетском систему, одређује се циљaни средњорочни фискални дефицит, као и максимални однос дуга према БДП са циљем да се обезбеди дугорочна одрживост фискалне политике у Републици Србији. Општа фискална правила су: 1) дуг сектора државе, укључујући обавезе по основу реституције, неће бити већи од 60% БДП; 2) циљани средњорочни фискални </w:t>
      </w:r>
      <w:r w:rsidRPr="003C1157">
        <w:rPr>
          <w:rFonts w:ascii="Calibri" w:eastAsia="Calibri" w:hAnsi="Calibri" w:cs="Calibri"/>
          <w:bCs/>
          <w:szCs w:val="72"/>
          <w:lang w:val="sr-Cyrl-RS"/>
        </w:rPr>
        <w:t xml:space="preserve">дефицит је 0,5% БДП. Уколико је дуг сектора државе изнад 60% БДП, фискална позиција сектора државе мора бити уравнотежена, тако да фискални дефицит износи највише 0% БДП. Уколико је дуг сектора државе између 55% и 60% БДП фискални дефицит износи највише 0,5% БДП. Уколико је дуг сектора државе између 45% и 55% БДП фискални дефицит износи највише 1,5% БДП. Уколико је дуг сектора државе испод 45% БДП, фискални дефицит неће прећи износ од 3% БДП. </w:t>
      </w:r>
      <w:r w:rsidRPr="003C1157">
        <w:rPr>
          <w:rFonts w:ascii="Calibri" w:eastAsia="Calibri" w:hAnsi="Calibri" w:cs="Calibri"/>
          <w:bCs/>
          <w:szCs w:val="72"/>
          <w:lang w:val="sr-Cyrl-RS"/>
        </w:rPr>
        <w:lastRenderedPageBreak/>
        <w:t>Уколико дође до прекорачења фискалног дефицита утврђеног општим фискалним правилом прописаним Законом о буџетском систему, Влада на предлог Министарства доноси одлуку о програму мера за прилагођавање прекомерног фискалног дефицита у средњем року, коју по прибављеном образложеном мишљењу Фискалног савета доставља Народној скупштини ради информисања. Уколико дуг сектора државе пређе или се предвиђа да ће прећи 55% БДП Влада је дужна да Народној скупштини, заједно са буџетом за наредну годину у Фискалној стратегији, као и у ревидираној Фискалној стратегији поднесе и програм за смањење дуга сектора државе у односу на БДП, а за сваку наредну годину у којој тај дуг остаје изнад 55% БДП и извештај о спровођењу програма за смањење дуга и ажурирани програм. Уколико дуг сектора државе пређе или се предвиђа да ће прећи 60% БДП, програм за смањење дуга усваја Народна скупштина најмање једанпут годишње, у поступку припреме и доношења буџета за наредну фискалну годину. До усвајања програма, министар је овлашћен да смањи расходе, тако да дуг сектора државе задржи испод 60% БДП, водећи рачуна о економској ситуацији и другим околностима.</w:t>
      </w:r>
    </w:p>
    <w:p w14:paraId="0A300E8B"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 xml:space="preserve">На крају 2022. године стање дуга централног нивоа власти достигло је 55,1% БДП, а сектора државе 55,6% БДП. Рацио јавни дуг/БДП централног нивоа власти на крају јула 2023. године износио је 50,7% БДП, а сектора државе 51,1% БДП. До краја 2023. године се очекује благи раст рација на ниво од око 52,7% БДП на централном нивоу, односно 53,3% БДП на нивоу сектора државе, пре свега услед реализације великих инфраструктурних пројеката који се финансирају из пројектних зајмова. Због високог учешћа дуга деноминованог у страној валути (78,7%), евидентно је да ће девизни ризик детерминисати понашање рација јавни дуг/БДП у </w:t>
      </w:r>
      <w:r w:rsidRPr="003C1157">
        <w:rPr>
          <w:rFonts w:ascii="Calibri" w:eastAsia="Calibri" w:hAnsi="Calibri" w:cs="Calibri"/>
          <w:bCs/>
          <w:spacing w:val="-2"/>
          <w:szCs w:val="72"/>
          <w:lang w:val="sr-Cyrl-RS"/>
        </w:rPr>
        <w:t>наредном периоду и битно условљавати успех мера фискалне политике усмерених на консолидацију јавних финансија и смањењу учешћа јавног дуга у БДП.</w:t>
      </w:r>
    </w:p>
    <w:p w14:paraId="70AAA683"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На основу планираног макроекономског оквира, а у случају изостанка утицаја могућих ризика, јавни дуг централног нивоа власти би на крају 2026. године требало да буде на нивоу од 49,0% БДП.</w:t>
      </w:r>
    </w:p>
    <w:p w14:paraId="5DC2DC62" w14:textId="77777777" w:rsidR="00112B0B" w:rsidRPr="003C1157" w:rsidRDefault="00112B0B" w:rsidP="00523B7B">
      <w:pPr>
        <w:rPr>
          <w:lang w:val="sr-Cyrl-RS"/>
        </w:rPr>
      </w:pPr>
      <w:r w:rsidRPr="003C1157">
        <w:rPr>
          <w:rFonts w:ascii="Calibri" w:eastAsia="Calibri" w:hAnsi="Calibri" w:cs="Calibri"/>
          <w:bCs/>
          <w:szCs w:val="72"/>
          <w:lang w:val="sr-Cyrl-RS"/>
        </w:rPr>
        <w:t>Основни фактори који утичу на стабилизацију рација јавни дуг/БДП су раст БДП, позитивни примарни резултат, курс динара према ино-валутама и висина каматних стопа.</w:t>
      </w:r>
    </w:p>
    <w:p w14:paraId="178D91EB" w14:textId="77777777" w:rsidR="00112B0B" w:rsidRPr="003C1157" w:rsidRDefault="00112B0B" w:rsidP="00C91F83">
      <w:pPr>
        <w:spacing w:line="256" w:lineRule="auto"/>
        <w:jc w:val="center"/>
        <w:rPr>
          <w:rFonts w:ascii="Calibri" w:eastAsia="Calibri" w:hAnsi="Calibri" w:cs="Times New Roman"/>
          <w:b/>
          <w:color w:val="002060"/>
          <w:lang w:val="sr-Cyrl-RS"/>
        </w:rPr>
        <w:sectPr w:rsidR="00112B0B" w:rsidRPr="003C1157" w:rsidSect="006272DB">
          <w:type w:val="continuous"/>
          <w:pgSz w:w="12240" w:h="15840" w:code="1"/>
          <w:pgMar w:top="1440" w:right="1440" w:bottom="1440" w:left="1440" w:header="720" w:footer="720" w:gutter="0"/>
          <w:cols w:num="2" w:space="720"/>
          <w:titlePg/>
          <w:docGrid w:linePitch="360"/>
        </w:sectPr>
      </w:pPr>
    </w:p>
    <w:p w14:paraId="2D239095" w14:textId="77777777" w:rsidR="00112B0B" w:rsidRPr="003C1157" w:rsidRDefault="00112B0B" w:rsidP="00C91F83">
      <w:pPr>
        <w:spacing w:line="256" w:lineRule="auto"/>
        <w:jc w:val="center"/>
        <w:rPr>
          <w:rFonts w:ascii="Calibri" w:eastAsia="Calibri" w:hAnsi="Calibri" w:cs="Times New Roman"/>
          <w:b/>
          <w:color w:val="002060"/>
          <w:lang w:val="sr-Cyrl-RS"/>
        </w:rPr>
      </w:pPr>
      <w:r w:rsidRPr="003C1157">
        <w:rPr>
          <w:rFonts w:ascii="Calibri" w:eastAsia="Calibri" w:hAnsi="Calibri" w:cs="Times New Roman"/>
          <w:b/>
          <w:color w:val="002060"/>
          <w:lang w:val="sr-Cyrl-RS"/>
        </w:rPr>
        <w:t xml:space="preserve">Табела 29. Доприноси основних макроекономских варијабли на промену рација </w:t>
      </w:r>
      <w:r w:rsidRPr="003C1157">
        <w:rPr>
          <w:rFonts w:ascii="Calibri" w:eastAsia="Calibri" w:hAnsi="Calibri" w:cs="Times New Roman"/>
          <w:b/>
          <w:color w:val="002060"/>
          <w:lang w:val="sr-Cyrl-RS"/>
        </w:rPr>
        <w:br w:type="textWrapping" w:clear="all"/>
        <w:t>јавни дуг (централног нивоа државе) – БДП, у %</w:t>
      </w:r>
    </w:p>
    <w:tbl>
      <w:tblPr>
        <w:tblStyle w:val="LightShading-Accent1222"/>
        <w:tblW w:w="5000" w:type="pct"/>
        <w:tblInd w:w="0" w:type="dxa"/>
        <w:tblLook w:val="0420" w:firstRow="1" w:lastRow="0" w:firstColumn="0" w:lastColumn="0" w:noHBand="0" w:noVBand="1"/>
      </w:tblPr>
      <w:tblGrid>
        <w:gridCol w:w="3824"/>
        <w:gridCol w:w="921"/>
        <w:gridCol w:w="923"/>
        <w:gridCol w:w="923"/>
        <w:gridCol w:w="923"/>
        <w:gridCol w:w="923"/>
        <w:gridCol w:w="923"/>
      </w:tblGrid>
      <w:tr w:rsidR="00112B0B" w:rsidRPr="003C1157" w14:paraId="2FCA4982" w14:textId="77777777" w:rsidTr="00FF2460">
        <w:trPr>
          <w:cnfStyle w:val="100000000000" w:firstRow="1" w:lastRow="0" w:firstColumn="0" w:lastColumn="0" w:oddVBand="0" w:evenVBand="0" w:oddHBand="0" w:evenHBand="0" w:firstRowFirstColumn="0" w:firstRowLastColumn="0" w:lastRowFirstColumn="0" w:lastRowLastColumn="0"/>
          <w:trHeight w:val="265"/>
        </w:trPr>
        <w:tc>
          <w:tcPr>
            <w:tcW w:w="2043" w:type="pct"/>
            <w:tcBorders>
              <w:top w:val="single" w:sz="4" w:space="0" w:color="002060"/>
              <w:bottom w:val="single" w:sz="8" w:space="0" w:color="FFFFFF" w:themeColor="background1"/>
            </w:tcBorders>
            <w:noWrap/>
            <w:hideMark/>
          </w:tcPr>
          <w:p w14:paraId="486E5E0C" w14:textId="77777777" w:rsidR="00112B0B" w:rsidRPr="003C1157" w:rsidRDefault="00112B0B" w:rsidP="00523B7B">
            <w:pPr>
              <w:jc w:val="center"/>
              <w:rPr>
                <w:rFonts w:ascii="Calibri" w:hAnsi="Calibri" w:cs="Calibri"/>
                <w:color w:val="002060"/>
                <w:sz w:val="18"/>
                <w:szCs w:val="18"/>
                <w:lang w:val="sr-Cyrl-RS"/>
              </w:rPr>
            </w:pPr>
            <w:r w:rsidRPr="003C1157">
              <w:rPr>
                <w:rFonts w:ascii="Calibri" w:hAnsi="Calibri" w:cs="Calibri"/>
                <w:color w:val="002060"/>
                <w:sz w:val="18"/>
                <w:szCs w:val="18"/>
                <w:lang w:val="sr-Cyrl-RS"/>
              </w:rPr>
              <w:t> </w:t>
            </w:r>
          </w:p>
        </w:tc>
        <w:tc>
          <w:tcPr>
            <w:tcW w:w="492" w:type="pct"/>
            <w:tcBorders>
              <w:top w:val="single" w:sz="4" w:space="0" w:color="002060"/>
              <w:bottom w:val="single" w:sz="4" w:space="0" w:color="002060"/>
            </w:tcBorders>
            <w:hideMark/>
          </w:tcPr>
          <w:p w14:paraId="4D1ADBDC" w14:textId="77777777" w:rsidR="00112B0B" w:rsidRPr="003C1157" w:rsidRDefault="00112B0B" w:rsidP="00523B7B">
            <w:pPr>
              <w:jc w:val="center"/>
              <w:rPr>
                <w:rFonts w:ascii="Calibri" w:hAnsi="Calibri" w:cs="Calibri"/>
                <w:color w:val="002060"/>
                <w:sz w:val="18"/>
                <w:szCs w:val="18"/>
                <w:lang w:val="sr-Cyrl-RS"/>
              </w:rPr>
            </w:pPr>
            <w:r w:rsidRPr="003C1157">
              <w:rPr>
                <w:rFonts w:ascii="Calibri" w:hAnsi="Calibri" w:cs="Calibri"/>
                <w:color w:val="002060"/>
                <w:sz w:val="18"/>
                <w:szCs w:val="18"/>
                <w:lang w:val="sr-Cyrl-RS"/>
              </w:rPr>
              <w:t>2021</w:t>
            </w:r>
          </w:p>
        </w:tc>
        <w:tc>
          <w:tcPr>
            <w:tcW w:w="493" w:type="pct"/>
            <w:tcBorders>
              <w:top w:val="single" w:sz="4" w:space="0" w:color="002060"/>
              <w:bottom w:val="single" w:sz="4" w:space="0" w:color="002060"/>
            </w:tcBorders>
            <w:hideMark/>
          </w:tcPr>
          <w:p w14:paraId="1A71572C" w14:textId="77777777" w:rsidR="00112B0B" w:rsidRPr="003C1157" w:rsidRDefault="00112B0B" w:rsidP="00523B7B">
            <w:pPr>
              <w:jc w:val="center"/>
              <w:rPr>
                <w:rFonts w:ascii="Calibri" w:hAnsi="Calibri" w:cs="Calibri"/>
                <w:color w:val="002060"/>
                <w:sz w:val="18"/>
                <w:szCs w:val="18"/>
                <w:lang w:val="sr-Cyrl-RS"/>
              </w:rPr>
            </w:pPr>
            <w:r w:rsidRPr="003C1157">
              <w:rPr>
                <w:rFonts w:ascii="Calibri" w:hAnsi="Calibri" w:cs="Calibri"/>
                <w:color w:val="002060"/>
                <w:sz w:val="18"/>
                <w:szCs w:val="18"/>
                <w:lang w:val="sr-Cyrl-RS"/>
              </w:rPr>
              <w:t>2022</w:t>
            </w:r>
          </w:p>
        </w:tc>
        <w:tc>
          <w:tcPr>
            <w:tcW w:w="493" w:type="pct"/>
            <w:tcBorders>
              <w:top w:val="single" w:sz="4" w:space="0" w:color="002060"/>
              <w:bottom w:val="single" w:sz="4" w:space="0" w:color="002060"/>
            </w:tcBorders>
            <w:noWrap/>
            <w:hideMark/>
          </w:tcPr>
          <w:p w14:paraId="0929FB12" w14:textId="77777777" w:rsidR="00112B0B" w:rsidRPr="003C1157" w:rsidRDefault="00112B0B" w:rsidP="00523B7B">
            <w:pPr>
              <w:jc w:val="center"/>
              <w:rPr>
                <w:rFonts w:ascii="Calibri" w:hAnsi="Calibri" w:cs="Calibri"/>
                <w:color w:val="002060"/>
                <w:sz w:val="18"/>
                <w:szCs w:val="18"/>
                <w:lang w:val="sr-Cyrl-RS"/>
              </w:rPr>
            </w:pPr>
            <w:r w:rsidRPr="003C1157">
              <w:rPr>
                <w:rFonts w:ascii="Calibri" w:hAnsi="Calibri" w:cs="Calibri"/>
                <w:color w:val="002060"/>
                <w:sz w:val="18"/>
                <w:szCs w:val="18"/>
                <w:lang w:val="sr-Cyrl-RS"/>
              </w:rPr>
              <w:t>2023 п</w:t>
            </w:r>
          </w:p>
        </w:tc>
        <w:tc>
          <w:tcPr>
            <w:tcW w:w="493" w:type="pct"/>
            <w:tcBorders>
              <w:top w:val="single" w:sz="4" w:space="0" w:color="002060"/>
              <w:bottom w:val="single" w:sz="4" w:space="0" w:color="002060"/>
            </w:tcBorders>
            <w:noWrap/>
            <w:hideMark/>
          </w:tcPr>
          <w:p w14:paraId="2A918AFA" w14:textId="77777777" w:rsidR="00112B0B" w:rsidRPr="003C1157" w:rsidRDefault="00112B0B" w:rsidP="00523B7B">
            <w:pPr>
              <w:jc w:val="center"/>
              <w:rPr>
                <w:rFonts w:ascii="Calibri" w:hAnsi="Calibri" w:cs="Calibri"/>
                <w:color w:val="002060"/>
                <w:sz w:val="18"/>
                <w:szCs w:val="18"/>
                <w:lang w:val="sr-Cyrl-RS"/>
              </w:rPr>
            </w:pPr>
            <w:r w:rsidRPr="003C1157">
              <w:rPr>
                <w:rFonts w:ascii="Calibri" w:hAnsi="Calibri" w:cs="Calibri"/>
                <w:color w:val="002060"/>
                <w:sz w:val="18"/>
                <w:szCs w:val="18"/>
                <w:lang w:val="sr-Cyrl-RS"/>
              </w:rPr>
              <w:t>2024 п</w:t>
            </w:r>
          </w:p>
        </w:tc>
        <w:tc>
          <w:tcPr>
            <w:tcW w:w="493" w:type="pct"/>
            <w:tcBorders>
              <w:top w:val="single" w:sz="4" w:space="0" w:color="002060"/>
              <w:bottom w:val="single" w:sz="4" w:space="0" w:color="002060"/>
            </w:tcBorders>
            <w:noWrap/>
            <w:hideMark/>
          </w:tcPr>
          <w:p w14:paraId="2C8D5D75" w14:textId="77777777" w:rsidR="00112B0B" w:rsidRPr="003C1157" w:rsidRDefault="00112B0B" w:rsidP="00523B7B">
            <w:pPr>
              <w:jc w:val="center"/>
              <w:rPr>
                <w:rFonts w:ascii="Calibri" w:hAnsi="Calibri" w:cs="Calibri"/>
                <w:color w:val="002060"/>
                <w:sz w:val="18"/>
                <w:szCs w:val="18"/>
                <w:lang w:val="sr-Cyrl-RS"/>
              </w:rPr>
            </w:pPr>
            <w:r w:rsidRPr="003C1157">
              <w:rPr>
                <w:rFonts w:ascii="Calibri" w:hAnsi="Calibri" w:cs="Calibri"/>
                <w:color w:val="002060"/>
                <w:sz w:val="18"/>
                <w:szCs w:val="18"/>
                <w:lang w:val="sr-Cyrl-RS"/>
              </w:rPr>
              <w:t>2025 п</w:t>
            </w:r>
          </w:p>
        </w:tc>
        <w:tc>
          <w:tcPr>
            <w:tcW w:w="493" w:type="pct"/>
            <w:tcBorders>
              <w:top w:val="single" w:sz="4" w:space="0" w:color="002060"/>
              <w:bottom w:val="single" w:sz="4" w:space="0" w:color="002060"/>
            </w:tcBorders>
            <w:noWrap/>
            <w:hideMark/>
          </w:tcPr>
          <w:p w14:paraId="464713AA" w14:textId="77777777" w:rsidR="00112B0B" w:rsidRPr="003C1157" w:rsidRDefault="00112B0B" w:rsidP="00523B7B">
            <w:pPr>
              <w:jc w:val="center"/>
              <w:rPr>
                <w:rFonts w:ascii="Calibri" w:hAnsi="Calibri" w:cs="Calibri"/>
                <w:color w:val="002060"/>
                <w:sz w:val="18"/>
                <w:szCs w:val="18"/>
                <w:lang w:val="sr-Cyrl-RS"/>
              </w:rPr>
            </w:pPr>
            <w:r w:rsidRPr="003C1157">
              <w:rPr>
                <w:rFonts w:ascii="Calibri" w:hAnsi="Calibri" w:cs="Calibri"/>
                <w:color w:val="002060"/>
                <w:sz w:val="18"/>
                <w:szCs w:val="18"/>
                <w:lang w:val="sr-Cyrl-RS"/>
              </w:rPr>
              <w:t>2026 п</w:t>
            </w:r>
          </w:p>
        </w:tc>
      </w:tr>
      <w:tr w:rsidR="00112B0B" w:rsidRPr="003C1157" w14:paraId="74125869" w14:textId="77777777" w:rsidTr="00FF2460">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single" w:sz="8" w:space="0" w:color="FFFFFF" w:themeColor="background1"/>
              <w:bottom w:val="nil"/>
            </w:tcBorders>
            <w:shd w:val="clear" w:color="auto" w:fill="E7E6E6" w:themeFill="background2"/>
            <w:noWrap/>
            <w:hideMark/>
          </w:tcPr>
          <w:p w14:paraId="7E72D784" w14:textId="77777777" w:rsidR="00112B0B" w:rsidRPr="003C1157" w:rsidRDefault="00112B0B" w:rsidP="006272DB">
            <w:pPr>
              <w:spacing w:line="240" w:lineRule="auto"/>
              <w:rPr>
                <w:rFonts w:ascii="Calibri" w:hAnsi="Calibri" w:cs="Calibri"/>
                <w:bCs/>
                <w:color w:val="002060"/>
                <w:sz w:val="18"/>
                <w:szCs w:val="18"/>
                <w:lang w:val="sr-Cyrl-RS"/>
              </w:rPr>
            </w:pPr>
            <w:r w:rsidRPr="003C1157">
              <w:rPr>
                <w:rFonts w:ascii="Calibri" w:hAnsi="Calibri" w:cs="Calibri"/>
                <w:bCs/>
                <w:color w:val="002060"/>
                <w:sz w:val="18"/>
                <w:szCs w:val="18"/>
                <w:lang w:val="sr-Cyrl-RS"/>
              </w:rPr>
              <w:t>Дуг централне државе/БДП</w:t>
            </w:r>
          </w:p>
        </w:tc>
        <w:tc>
          <w:tcPr>
            <w:tcW w:w="492" w:type="pct"/>
            <w:tcBorders>
              <w:top w:val="single" w:sz="4" w:space="0" w:color="002060"/>
              <w:bottom w:val="nil"/>
            </w:tcBorders>
            <w:shd w:val="clear" w:color="auto" w:fill="E7E6E6" w:themeFill="background2"/>
            <w:hideMark/>
          </w:tcPr>
          <w:p w14:paraId="16C2D43F"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56,5</w:t>
            </w:r>
          </w:p>
        </w:tc>
        <w:tc>
          <w:tcPr>
            <w:tcW w:w="493" w:type="pct"/>
            <w:tcBorders>
              <w:top w:val="single" w:sz="4" w:space="0" w:color="002060"/>
              <w:bottom w:val="nil"/>
            </w:tcBorders>
            <w:shd w:val="clear" w:color="auto" w:fill="E7E6E6" w:themeFill="background2"/>
            <w:hideMark/>
          </w:tcPr>
          <w:p w14:paraId="4B5540F0"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55,1</w:t>
            </w:r>
          </w:p>
        </w:tc>
        <w:tc>
          <w:tcPr>
            <w:tcW w:w="493" w:type="pct"/>
            <w:tcBorders>
              <w:top w:val="single" w:sz="4" w:space="0" w:color="002060"/>
              <w:bottom w:val="nil"/>
            </w:tcBorders>
            <w:shd w:val="clear" w:color="auto" w:fill="E7E6E6" w:themeFill="background2"/>
            <w:noWrap/>
            <w:hideMark/>
          </w:tcPr>
          <w:p w14:paraId="20A91F0A"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52,7</w:t>
            </w:r>
          </w:p>
        </w:tc>
        <w:tc>
          <w:tcPr>
            <w:tcW w:w="493" w:type="pct"/>
            <w:tcBorders>
              <w:top w:val="single" w:sz="4" w:space="0" w:color="002060"/>
              <w:bottom w:val="nil"/>
            </w:tcBorders>
            <w:shd w:val="clear" w:color="auto" w:fill="E7E6E6" w:themeFill="background2"/>
            <w:noWrap/>
            <w:hideMark/>
          </w:tcPr>
          <w:p w14:paraId="13189309"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51,0</w:t>
            </w:r>
          </w:p>
        </w:tc>
        <w:tc>
          <w:tcPr>
            <w:tcW w:w="493" w:type="pct"/>
            <w:tcBorders>
              <w:top w:val="single" w:sz="4" w:space="0" w:color="002060"/>
              <w:bottom w:val="nil"/>
            </w:tcBorders>
            <w:shd w:val="clear" w:color="auto" w:fill="E7E6E6" w:themeFill="background2"/>
            <w:noWrap/>
            <w:hideMark/>
          </w:tcPr>
          <w:p w14:paraId="30CD6FED"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49,9</w:t>
            </w:r>
          </w:p>
        </w:tc>
        <w:tc>
          <w:tcPr>
            <w:tcW w:w="493" w:type="pct"/>
            <w:tcBorders>
              <w:top w:val="single" w:sz="4" w:space="0" w:color="002060"/>
              <w:bottom w:val="nil"/>
            </w:tcBorders>
            <w:shd w:val="clear" w:color="auto" w:fill="E7E6E6" w:themeFill="background2"/>
            <w:noWrap/>
            <w:hideMark/>
          </w:tcPr>
          <w:p w14:paraId="544B9EA7"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49,0</w:t>
            </w:r>
          </w:p>
        </w:tc>
      </w:tr>
      <w:tr w:rsidR="00112B0B" w:rsidRPr="003C1157" w14:paraId="1C6E58ED" w14:textId="77777777" w:rsidTr="00FF2460">
        <w:trPr>
          <w:trHeight w:val="265"/>
        </w:trPr>
        <w:tc>
          <w:tcPr>
            <w:tcW w:w="2043" w:type="pct"/>
            <w:tcBorders>
              <w:top w:val="nil"/>
              <w:left w:val="nil"/>
              <w:bottom w:val="nil"/>
              <w:right w:val="nil"/>
            </w:tcBorders>
            <w:noWrap/>
            <w:hideMark/>
          </w:tcPr>
          <w:p w14:paraId="7ED6BBFC" w14:textId="77777777" w:rsidR="00112B0B" w:rsidRPr="003C1157" w:rsidRDefault="00112B0B" w:rsidP="006272DB">
            <w:pPr>
              <w:spacing w:line="240" w:lineRule="auto"/>
              <w:rPr>
                <w:rFonts w:ascii="Calibri" w:hAnsi="Calibri" w:cs="Calibri"/>
                <w:bCs/>
                <w:color w:val="002060"/>
                <w:sz w:val="18"/>
                <w:szCs w:val="18"/>
                <w:lang w:val="sr-Cyrl-RS"/>
              </w:rPr>
            </w:pPr>
            <w:r w:rsidRPr="003C1157">
              <w:rPr>
                <w:rFonts w:ascii="Calibri" w:hAnsi="Calibri" w:cs="Calibri"/>
                <w:bCs/>
                <w:color w:val="002060"/>
                <w:sz w:val="18"/>
                <w:szCs w:val="18"/>
                <w:lang w:val="sr-Cyrl-RS"/>
              </w:rPr>
              <w:t>Промена у односу на претходну год. у % БДП</w:t>
            </w:r>
          </w:p>
        </w:tc>
        <w:tc>
          <w:tcPr>
            <w:tcW w:w="492" w:type="pct"/>
            <w:tcBorders>
              <w:top w:val="nil"/>
              <w:left w:val="nil"/>
              <w:bottom w:val="nil"/>
              <w:right w:val="nil"/>
            </w:tcBorders>
            <w:hideMark/>
          </w:tcPr>
          <w:p w14:paraId="0EF6BEE4"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-0,5</w:t>
            </w:r>
          </w:p>
        </w:tc>
        <w:tc>
          <w:tcPr>
            <w:tcW w:w="493" w:type="pct"/>
            <w:tcBorders>
              <w:top w:val="nil"/>
              <w:left w:val="nil"/>
              <w:bottom w:val="nil"/>
              <w:right w:val="nil"/>
            </w:tcBorders>
            <w:hideMark/>
          </w:tcPr>
          <w:p w14:paraId="2B05EC8C"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-1,4</w:t>
            </w:r>
          </w:p>
        </w:tc>
        <w:tc>
          <w:tcPr>
            <w:tcW w:w="493" w:type="pct"/>
            <w:tcBorders>
              <w:top w:val="nil"/>
              <w:left w:val="nil"/>
              <w:bottom w:val="nil"/>
              <w:right w:val="nil"/>
            </w:tcBorders>
            <w:noWrap/>
            <w:hideMark/>
          </w:tcPr>
          <w:p w14:paraId="1D5087C9"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-2,4</w:t>
            </w:r>
          </w:p>
        </w:tc>
        <w:tc>
          <w:tcPr>
            <w:tcW w:w="493" w:type="pct"/>
            <w:tcBorders>
              <w:top w:val="nil"/>
              <w:left w:val="nil"/>
              <w:bottom w:val="nil"/>
              <w:right w:val="nil"/>
            </w:tcBorders>
            <w:noWrap/>
            <w:hideMark/>
          </w:tcPr>
          <w:p w14:paraId="3575E417"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-1,8</w:t>
            </w:r>
          </w:p>
        </w:tc>
        <w:tc>
          <w:tcPr>
            <w:tcW w:w="493" w:type="pct"/>
            <w:tcBorders>
              <w:top w:val="nil"/>
              <w:left w:val="nil"/>
              <w:bottom w:val="nil"/>
              <w:right w:val="nil"/>
            </w:tcBorders>
            <w:noWrap/>
            <w:hideMark/>
          </w:tcPr>
          <w:p w14:paraId="06BC176F"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-1,1</w:t>
            </w:r>
          </w:p>
        </w:tc>
        <w:tc>
          <w:tcPr>
            <w:tcW w:w="493" w:type="pct"/>
            <w:tcBorders>
              <w:top w:val="nil"/>
              <w:left w:val="nil"/>
              <w:bottom w:val="nil"/>
              <w:right w:val="nil"/>
            </w:tcBorders>
            <w:noWrap/>
            <w:hideMark/>
          </w:tcPr>
          <w:p w14:paraId="78DB9EF7"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-0,9</w:t>
            </w:r>
          </w:p>
        </w:tc>
      </w:tr>
      <w:tr w:rsidR="00112B0B" w:rsidRPr="003C1157" w14:paraId="11DAB186" w14:textId="77777777" w:rsidTr="00FF2460">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nil"/>
              <w:bottom w:val="nil"/>
            </w:tcBorders>
            <w:shd w:val="clear" w:color="auto" w:fill="E7E6E6" w:themeFill="background2"/>
            <w:noWrap/>
            <w:hideMark/>
          </w:tcPr>
          <w:p w14:paraId="505644DA" w14:textId="77777777" w:rsidR="00112B0B" w:rsidRPr="003C1157" w:rsidRDefault="00112B0B" w:rsidP="006272DB">
            <w:pPr>
              <w:spacing w:line="240" w:lineRule="auto"/>
              <w:rPr>
                <w:rFonts w:ascii="Calibri" w:hAnsi="Calibri" w:cs="Calibri"/>
                <w:bCs/>
                <w:color w:val="002060"/>
                <w:sz w:val="18"/>
                <w:szCs w:val="18"/>
                <w:lang w:val="sr-Cyrl-RS"/>
              </w:rPr>
            </w:pPr>
            <w:r w:rsidRPr="003C1157">
              <w:rPr>
                <w:rFonts w:ascii="Calibri" w:hAnsi="Calibri" w:cs="Calibri"/>
                <w:bCs/>
                <w:color w:val="002060"/>
                <w:sz w:val="18"/>
                <w:szCs w:val="18"/>
                <w:lang w:val="sr-Cyrl-RS"/>
              </w:rPr>
              <w:t>Допринос примарног фискалног резултата</w:t>
            </w:r>
          </w:p>
        </w:tc>
        <w:tc>
          <w:tcPr>
            <w:tcW w:w="492" w:type="pct"/>
            <w:tcBorders>
              <w:top w:val="nil"/>
              <w:bottom w:val="nil"/>
            </w:tcBorders>
            <w:shd w:val="clear" w:color="auto" w:fill="E7E6E6" w:themeFill="background2"/>
            <w:hideMark/>
          </w:tcPr>
          <w:p w14:paraId="189C4759"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2,9</w:t>
            </w:r>
          </w:p>
        </w:tc>
        <w:tc>
          <w:tcPr>
            <w:tcW w:w="493" w:type="pct"/>
            <w:tcBorders>
              <w:top w:val="nil"/>
              <w:bottom w:val="nil"/>
            </w:tcBorders>
            <w:shd w:val="clear" w:color="auto" w:fill="E7E6E6" w:themeFill="background2"/>
            <w:hideMark/>
          </w:tcPr>
          <w:p w14:paraId="3E69E73E"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1,8</w:t>
            </w:r>
          </w:p>
        </w:tc>
        <w:tc>
          <w:tcPr>
            <w:tcW w:w="493" w:type="pct"/>
            <w:tcBorders>
              <w:top w:val="nil"/>
              <w:bottom w:val="nil"/>
            </w:tcBorders>
            <w:shd w:val="clear" w:color="auto" w:fill="E7E6E6" w:themeFill="background2"/>
            <w:noWrap/>
            <w:hideMark/>
          </w:tcPr>
          <w:p w14:paraId="7FD8FB0E"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1,0</w:t>
            </w:r>
          </w:p>
        </w:tc>
        <w:tc>
          <w:tcPr>
            <w:tcW w:w="493" w:type="pct"/>
            <w:tcBorders>
              <w:top w:val="nil"/>
              <w:bottom w:val="nil"/>
            </w:tcBorders>
            <w:shd w:val="clear" w:color="auto" w:fill="E7E6E6" w:themeFill="background2"/>
            <w:noWrap/>
            <w:hideMark/>
          </w:tcPr>
          <w:p w14:paraId="42243781"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0,2</w:t>
            </w:r>
          </w:p>
        </w:tc>
        <w:tc>
          <w:tcPr>
            <w:tcW w:w="493" w:type="pct"/>
            <w:tcBorders>
              <w:top w:val="nil"/>
              <w:bottom w:val="nil"/>
            </w:tcBorders>
            <w:shd w:val="clear" w:color="auto" w:fill="E7E6E6" w:themeFill="background2"/>
            <w:noWrap/>
            <w:hideMark/>
          </w:tcPr>
          <w:p w14:paraId="02722D9A"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-0,7</w:t>
            </w:r>
          </w:p>
        </w:tc>
        <w:tc>
          <w:tcPr>
            <w:tcW w:w="493" w:type="pct"/>
            <w:tcBorders>
              <w:top w:val="nil"/>
              <w:bottom w:val="nil"/>
            </w:tcBorders>
            <w:shd w:val="clear" w:color="auto" w:fill="E7E6E6" w:themeFill="background2"/>
            <w:noWrap/>
            <w:hideMark/>
          </w:tcPr>
          <w:p w14:paraId="714C2956"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-0,9</w:t>
            </w:r>
          </w:p>
        </w:tc>
      </w:tr>
      <w:tr w:rsidR="00112B0B" w:rsidRPr="003C1157" w14:paraId="2426B561" w14:textId="77777777" w:rsidTr="00FF2460">
        <w:trPr>
          <w:trHeight w:val="265"/>
        </w:trPr>
        <w:tc>
          <w:tcPr>
            <w:tcW w:w="2043" w:type="pct"/>
            <w:tcBorders>
              <w:top w:val="nil"/>
              <w:left w:val="nil"/>
              <w:bottom w:val="nil"/>
              <w:right w:val="nil"/>
            </w:tcBorders>
            <w:noWrap/>
            <w:hideMark/>
          </w:tcPr>
          <w:p w14:paraId="0DD90DAA" w14:textId="77777777" w:rsidR="00112B0B" w:rsidRPr="003C1157" w:rsidRDefault="00112B0B" w:rsidP="006272DB">
            <w:pPr>
              <w:spacing w:line="240" w:lineRule="auto"/>
              <w:rPr>
                <w:rFonts w:ascii="Calibri" w:hAnsi="Calibri" w:cs="Calibri"/>
                <w:bCs/>
                <w:color w:val="002060"/>
                <w:sz w:val="18"/>
                <w:szCs w:val="18"/>
                <w:lang w:val="sr-Cyrl-RS"/>
              </w:rPr>
            </w:pPr>
            <w:r w:rsidRPr="003C1157">
              <w:rPr>
                <w:rFonts w:ascii="Calibri" w:hAnsi="Calibri" w:cs="Calibri"/>
                <w:bCs/>
                <w:color w:val="002060"/>
                <w:sz w:val="18"/>
                <w:szCs w:val="18"/>
                <w:lang w:val="sr-Cyrl-RS"/>
              </w:rPr>
              <w:t>Допринос камата</w:t>
            </w:r>
          </w:p>
        </w:tc>
        <w:tc>
          <w:tcPr>
            <w:tcW w:w="492" w:type="pct"/>
            <w:tcBorders>
              <w:top w:val="nil"/>
              <w:left w:val="nil"/>
              <w:bottom w:val="nil"/>
              <w:right w:val="nil"/>
            </w:tcBorders>
            <w:hideMark/>
          </w:tcPr>
          <w:p w14:paraId="5AEDFE22"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1,7</w:t>
            </w:r>
          </w:p>
        </w:tc>
        <w:tc>
          <w:tcPr>
            <w:tcW w:w="493" w:type="pct"/>
            <w:tcBorders>
              <w:top w:val="nil"/>
              <w:left w:val="nil"/>
              <w:bottom w:val="nil"/>
              <w:right w:val="nil"/>
            </w:tcBorders>
            <w:hideMark/>
          </w:tcPr>
          <w:p w14:paraId="773B5436"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1,5</w:t>
            </w:r>
          </w:p>
        </w:tc>
        <w:tc>
          <w:tcPr>
            <w:tcW w:w="493" w:type="pct"/>
            <w:tcBorders>
              <w:top w:val="nil"/>
              <w:left w:val="nil"/>
              <w:bottom w:val="nil"/>
              <w:right w:val="nil"/>
            </w:tcBorders>
            <w:noWrap/>
            <w:hideMark/>
          </w:tcPr>
          <w:p w14:paraId="3A1A911B"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1,8</w:t>
            </w:r>
          </w:p>
        </w:tc>
        <w:tc>
          <w:tcPr>
            <w:tcW w:w="493" w:type="pct"/>
            <w:tcBorders>
              <w:top w:val="nil"/>
              <w:left w:val="nil"/>
              <w:bottom w:val="nil"/>
              <w:right w:val="nil"/>
            </w:tcBorders>
            <w:noWrap/>
            <w:hideMark/>
          </w:tcPr>
          <w:p w14:paraId="283D8B75"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2,1</w:t>
            </w:r>
          </w:p>
        </w:tc>
        <w:tc>
          <w:tcPr>
            <w:tcW w:w="493" w:type="pct"/>
            <w:tcBorders>
              <w:top w:val="nil"/>
              <w:left w:val="nil"/>
              <w:bottom w:val="nil"/>
              <w:right w:val="nil"/>
            </w:tcBorders>
            <w:noWrap/>
            <w:hideMark/>
          </w:tcPr>
          <w:p w14:paraId="5C1BC864"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2,1</w:t>
            </w:r>
          </w:p>
        </w:tc>
        <w:tc>
          <w:tcPr>
            <w:tcW w:w="493" w:type="pct"/>
            <w:tcBorders>
              <w:top w:val="nil"/>
              <w:left w:val="nil"/>
              <w:bottom w:val="nil"/>
              <w:right w:val="nil"/>
            </w:tcBorders>
            <w:noWrap/>
            <w:hideMark/>
          </w:tcPr>
          <w:p w14:paraId="30E389B5"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2,3</w:t>
            </w:r>
          </w:p>
        </w:tc>
      </w:tr>
      <w:tr w:rsidR="00112B0B" w:rsidRPr="003C1157" w14:paraId="5A0B7D26" w14:textId="77777777" w:rsidTr="00FF2460">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nil"/>
              <w:bottom w:val="nil"/>
            </w:tcBorders>
            <w:shd w:val="clear" w:color="auto" w:fill="E7E6E6" w:themeFill="background2"/>
            <w:hideMark/>
          </w:tcPr>
          <w:p w14:paraId="7C090ECB" w14:textId="77777777" w:rsidR="00112B0B" w:rsidRPr="003C1157" w:rsidRDefault="00112B0B" w:rsidP="006272DB">
            <w:pPr>
              <w:spacing w:line="240" w:lineRule="auto"/>
              <w:rPr>
                <w:rFonts w:ascii="Calibri" w:hAnsi="Calibri" w:cs="Calibri"/>
                <w:bCs/>
                <w:color w:val="002060"/>
                <w:sz w:val="18"/>
                <w:szCs w:val="18"/>
                <w:lang w:val="sr-Cyrl-RS"/>
              </w:rPr>
            </w:pPr>
            <w:r w:rsidRPr="003C1157">
              <w:rPr>
                <w:rFonts w:ascii="Calibri" w:hAnsi="Calibri" w:cs="Calibri"/>
                <w:bCs/>
                <w:color w:val="002060"/>
                <w:sz w:val="18"/>
                <w:szCs w:val="18"/>
                <w:lang w:val="sr-Cyrl-RS"/>
              </w:rPr>
              <w:t>Допринос раста номиналног БДП</w:t>
            </w:r>
          </w:p>
        </w:tc>
        <w:tc>
          <w:tcPr>
            <w:tcW w:w="492" w:type="pct"/>
            <w:tcBorders>
              <w:top w:val="nil"/>
              <w:bottom w:val="nil"/>
            </w:tcBorders>
            <w:shd w:val="clear" w:color="auto" w:fill="E7E6E6" w:themeFill="background2"/>
            <w:hideMark/>
          </w:tcPr>
          <w:p w14:paraId="028989AC"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-7,0</w:t>
            </w:r>
          </w:p>
        </w:tc>
        <w:tc>
          <w:tcPr>
            <w:tcW w:w="493" w:type="pct"/>
            <w:tcBorders>
              <w:top w:val="nil"/>
              <w:bottom w:val="nil"/>
            </w:tcBorders>
            <w:shd w:val="clear" w:color="auto" w:fill="E7E6E6" w:themeFill="background2"/>
            <w:hideMark/>
          </w:tcPr>
          <w:p w14:paraId="71732BC7"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-6,5</w:t>
            </w:r>
          </w:p>
        </w:tc>
        <w:tc>
          <w:tcPr>
            <w:tcW w:w="493" w:type="pct"/>
            <w:tcBorders>
              <w:top w:val="nil"/>
              <w:bottom w:val="nil"/>
            </w:tcBorders>
            <w:shd w:val="clear" w:color="auto" w:fill="E7E6E6" w:themeFill="background2"/>
            <w:noWrap/>
            <w:hideMark/>
          </w:tcPr>
          <w:p w14:paraId="6A635626"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-6,9</w:t>
            </w:r>
          </w:p>
        </w:tc>
        <w:tc>
          <w:tcPr>
            <w:tcW w:w="493" w:type="pct"/>
            <w:tcBorders>
              <w:top w:val="nil"/>
              <w:bottom w:val="nil"/>
            </w:tcBorders>
            <w:shd w:val="clear" w:color="auto" w:fill="E7E6E6" w:themeFill="background2"/>
            <w:noWrap/>
            <w:hideMark/>
          </w:tcPr>
          <w:p w14:paraId="7FECCD16"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-4,0</w:t>
            </w:r>
          </w:p>
        </w:tc>
        <w:tc>
          <w:tcPr>
            <w:tcW w:w="493" w:type="pct"/>
            <w:tcBorders>
              <w:top w:val="nil"/>
              <w:bottom w:val="nil"/>
            </w:tcBorders>
            <w:shd w:val="clear" w:color="auto" w:fill="E7E6E6" w:themeFill="background2"/>
            <w:noWrap/>
            <w:hideMark/>
          </w:tcPr>
          <w:p w14:paraId="3A84CAAA"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-3,7</w:t>
            </w:r>
          </w:p>
        </w:tc>
        <w:tc>
          <w:tcPr>
            <w:tcW w:w="493" w:type="pct"/>
            <w:tcBorders>
              <w:top w:val="nil"/>
              <w:bottom w:val="nil"/>
            </w:tcBorders>
            <w:shd w:val="clear" w:color="auto" w:fill="E7E6E6" w:themeFill="background2"/>
            <w:noWrap/>
            <w:hideMark/>
          </w:tcPr>
          <w:p w14:paraId="135FB766"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-3,4</w:t>
            </w:r>
          </w:p>
        </w:tc>
      </w:tr>
      <w:tr w:rsidR="00112B0B" w:rsidRPr="003C1157" w14:paraId="659B03CA" w14:textId="77777777" w:rsidTr="00FF2460">
        <w:trPr>
          <w:trHeight w:val="265"/>
        </w:trPr>
        <w:tc>
          <w:tcPr>
            <w:tcW w:w="2043" w:type="pct"/>
            <w:tcBorders>
              <w:top w:val="nil"/>
              <w:left w:val="nil"/>
              <w:bottom w:val="single" w:sz="4" w:space="0" w:color="002060"/>
              <w:right w:val="nil"/>
            </w:tcBorders>
            <w:hideMark/>
          </w:tcPr>
          <w:p w14:paraId="05CD0462" w14:textId="77777777" w:rsidR="00112B0B" w:rsidRPr="003C1157" w:rsidRDefault="00112B0B" w:rsidP="006272DB">
            <w:pPr>
              <w:spacing w:line="240" w:lineRule="auto"/>
              <w:rPr>
                <w:rFonts w:ascii="Calibri" w:hAnsi="Calibri" w:cs="Calibri"/>
                <w:bCs/>
                <w:color w:val="002060"/>
                <w:sz w:val="18"/>
                <w:szCs w:val="18"/>
                <w:lang w:val="sr-Cyrl-RS"/>
              </w:rPr>
            </w:pPr>
            <w:r w:rsidRPr="003C1157">
              <w:rPr>
                <w:rFonts w:ascii="Calibri" w:hAnsi="Calibri" w:cs="Calibri"/>
                <w:bCs/>
                <w:color w:val="002060"/>
                <w:sz w:val="18"/>
                <w:szCs w:val="18"/>
                <w:lang w:val="sr-Cyrl-RS"/>
              </w:rPr>
              <w:t>Допринос осталих фактора</w:t>
            </w:r>
          </w:p>
        </w:tc>
        <w:tc>
          <w:tcPr>
            <w:tcW w:w="492" w:type="pct"/>
            <w:tcBorders>
              <w:top w:val="nil"/>
              <w:left w:val="nil"/>
              <w:bottom w:val="single" w:sz="4" w:space="0" w:color="002060"/>
              <w:right w:val="nil"/>
            </w:tcBorders>
            <w:hideMark/>
          </w:tcPr>
          <w:p w14:paraId="252DD475"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1,9</w:t>
            </w:r>
          </w:p>
        </w:tc>
        <w:tc>
          <w:tcPr>
            <w:tcW w:w="493" w:type="pct"/>
            <w:tcBorders>
              <w:top w:val="nil"/>
              <w:left w:val="nil"/>
              <w:bottom w:val="single" w:sz="4" w:space="0" w:color="002060"/>
              <w:right w:val="nil"/>
            </w:tcBorders>
            <w:hideMark/>
          </w:tcPr>
          <w:p w14:paraId="6A3C5076"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1,8</w:t>
            </w:r>
          </w:p>
        </w:tc>
        <w:tc>
          <w:tcPr>
            <w:tcW w:w="493" w:type="pct"/>
            <w:tcBorders>
              <w:top w:val="nil"/>
              <w:left w:val="nil"/>
              <w:bottom w:val="single" w:sz="4" w:space="0" w:color="002060"/>
              <w:right w:val="nil"/>
            </w:tcBorders>
            <w:noWrap/>
            <w:hideMark/>
          </w:tcPr>
          <w:p w14:paraId="26E7B568"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1,7</w:t>
            </w:r>
          </w:p>
        </w:tc>
        <w:tc>
          <w:tcPr>
            <w:tcW w:w="493" w:type="pct"/>
            <w:tcBorders>
              <w:top w:val="nil"/>
              <w:left w:val="nil"/>
              <w:bottom w:val="single" w:sz="4" w:space="0" w:color="002060"/>
              <w:right w:val="nil"/>
            </w:tcBorders>
            <w:noWrap/>
            <w:hideMark/>
          </w:tcPr>
          <w:p w14:paraId="222717E5"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0,0</w:t>
            </w:r>
          </w:p>
        </w:tc>
        <w:tc>
          <w:tcPr>
            <w:tcW w:w="493" w:type="pct"/>
            <w:tcBorders>
              <w:top w:val="nil"/>
              <w:left w:val="nil"/>
              <w:bottom w:val="single" w:sz="4" w:space="0" w:color="002060"/>
              <w:right w:val="nil"/>
            </w:tcBorders>
            <w:noWrap/>
            <w:hideMark/>
          </w:tcPr>
          <w:p w14:paraId="50CC801C"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1,2</w:t>
            </w:r>
          </w:p>
        </w:tc>
        <w:tc>
          <w:tcPr>
            <w:tcW w:w="493" w:type="pct"/>
            <w:tcBorders>
              <w:top w:val="nil"/>
              <w:left w:val="nil"/>
              <w:bottom w:val="single" w:sz="4" w:space="0" w:color="002060"/>
              <w:right w:val="nil"/>
            </w:tcBorders>
            <w:noWrap/>
            <w:hideMark/>
          </w:tcPr>
          <w:p w14:paraId="505B9CCB" w14:textId="77777777" w:rsidR="00112B0B" w:rsidRPr="003C1157" w:rsidRDefault="00112B0B" w:rsidP="006272DB">
            <w:pPr>
              <w:spacing w:line="240" w:lineRule="auto"/>
              <w:jc w:val="center"/>
              <w:rPr>
                <w:rFonts w:ascii="Calibri" w:hAnsi="Calibri" w:cs="Calibri"/>
                <w:bCs/>
                <w:color w:val="002060"/>
                <w:sz w:val="18"/>
                <w:szCs w:val="18"/>
                <w:lang w:val="sr-Cyrl-RS"/>
              </w:rPr>
            </w:pPr>
            <w:r w:rsidRPr="003C1157">
              <w:rPr>
                <w:rFonts w:ascii="Calibri" w:hAnsi="Calibri" w:cs="Calibri"/>
                <w:bCs/>
                <w:color w:val="002060"/>
                <w:sz w:val="18"/>
                <w:szCs w:val="18"/>
                <w:lang w:val="sr-Cyrl-RS"/>
              </w:rPr>
              <w:t>1,0</w:t>
            </w:r>
          </w:p>
        </w:tc>
      </w:tr>
    </w:tbl>
    <w:p w14:paraId="06ED59BE" w14:textId="77777777" w:rsidR="00112B0B" w:rsidRPr="003C1157" w:rsidRDefault="00112B0B" w:rsidP="00523B7B">
      <w:pPr>
        <w:rPr>
          <w:lang w:val="sr-Cyrl-RS"/>
        </w:rPr>
      </w:pPr>
    </w:p>
    <w:p w14:paraId="5A987D14" w14:textId="77777777" w:rsidR="00112B0B" w:rsidRPr="003C1157" w:rsidRDefault="00112B0B" w:rsidP="00C91F83">
      <w:pPr>
        <w:spacing w:line="256" w:lineRule="auto"/>
        <w:jc w:val="center"/>
        <w:rPr>
          <w:rFonts w:ascii="Calibri" w:eastAsia="Calibri" w:hAnsi="Calibri" w:cs="Times New Roman"/>
          <w:b/>
          <w:color w:val="002060"/>
          <w:lang w:val="sr-Cyrl-RS"/>
        </w:rPr>
        <w:sectPr w:rsidR="00112B0B" w:rsidRPr="003C1157" w:rsidSect="006272DB">
          <w:type w:val="continuous"/>
          <w:pgSz w:w="12240" w:h="15840" w:code="1"/>
          <w:pgMar w:top="1440" w:right="1440" w:bottom="1440" w:left="1440" w:header="720" w:footer="720" w:gutter="0"/>
          <w:cols w:space="720"/>
          <w:titlePg/>
          <w:docGrid w:linePitch="360"/>
        </w:sectPr>
      </w:pPr>
    </w:p>
    <w:p w14:paraId="270344CE" w14:textId="77777777" w:rsidR="00112B0B" w:rsidRPr="003C1157" w:rsidRDefault="00112B0B" w:rsidP="00112B0B">
      <w:pPr>
        <w:rPr>
          <w:lang w:val="sr-Cyrl-RS"/>
        </w:rPr>
      </w:pPr>
      <w:r w:rsidRPr="003C1157">
        <w:rPr>
          <w:lang w:val="sr-Cyrl-RS"/>
        </w:rPr>
        <w:br w:type="page"/>
      </w:r>
    </w:p>
    <w:p w14:paraId="437352D3" w14:textId="77777777" w:rsidR="00112B0B" w:rsidRPr="003C1157" w:rsidRDefault="00112B0B" w:rsidP="00C91F83">
      <w:pPr>
        <w:spacing w:line="256" w:lineRule="auto"/>
        <w:jc w:val="center"/>
        <w:rPr>
          <w:rFonts w:ascii="Calibri" w:eastAsia="Calibri" w:hAnsi="Calibri" w:cs="Times New Roman"/>
          <w:b/>
          <w:color w:val="002060"/>
          <w:lang w:val="sr-Cyrl-RS"/>
        </w:rPr>
      </w:pPr>
      <w:r w:rsidRPr="003C1157">
        <w:rPr>
          <w:rFonts w:ascii="Calibri" w:eastAsia="Calibri" w:hAnsi="Calibri" w:cs="Times New Roman"/>
          <w:b/>
          <w:color w:val="002060"/>
          <w:lang w:val="sr-Cyrl-RS"/>
        </w:rPr>
        <w:lastRenderedPageBreak/>
        <w:t>Утицај промене курса динара према корпи валута из портфолија јавног дуга централног нивоа државе на промену рација јавни дуг – БДП</w:t>
      </w:r>
    </w:p>
    <w:p w14:paraId="3A3D4723" w14:textId="77777777" w:rsidR="00112B0B" w:rsidRPr="003C1157" w:rsidRDefault="00112B0B" w:rsidP="00C91F83">
      <w:pPr>
        <w:spacing w:line="256" w:lineRule="auto"/>
        <w:rPr>
          <w:rFonts w:ascii="Calibri" w:eastAsia="Calibri" w:hAnsi="Calibri" w:cs="Times New Roman"/>
          <w:b/>
          <w:lang w:val="sr-Cyrl-RS"/>
        </w:rPr>
      </w:pPr>
      <w:r w:rsidRPr="003C1157">
        <w:rPr>
          <w:noProof/>
        </w:rPr>
        <w:drawing>
          <wp:inline distT="0" distB="0" distL="0" distR="0" wp14:anchorId="6A0AA57D" wp14:editId="357B9A2F">
            <wp:extent cx="2858770" cy="3828197"/>
            <wp:effectExtent l="0" t="0" r="0" b="1270"/>
            <wp:docPr id="62" name="Chart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6"/>
              </a:graphicData>
            </a:graphic>
          </wp:inline>
        </w:drawing>
      </w:r>
    </w:p>
    <w:p w14:paraId="5BDEE56D"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На графикону је представљено кретање рација јавног дуга централног нивоа државе и БДП у зависности од промене курса динара према одређеној корпи валута. Приказана је основна пројекција са алтернативним сценаријима у зависности од апрецијације, односно депрецијације курса динара у распону од 10% апрецијације до 10% депрецијације динара у односу на корпу валута. Применом наведених сценарија може се видети да би се рацио за 2026. годину кретао у распону од 45,1% до 52,8%, док би за основни сценарио био на нивоу од 49,0%.</w:t>
      </w:r>
    </w:p>
    <w:p w14:paraId="11146D07" w14:textId="77777777" w:rsidR="00112B0B" w:rsidRPr="003C1157" w:rsidRDefault="00112B0B" w:rsidP="00C91F83">
      <w:pPr>
        <w:rPr>
          <w:rFonts w:ascii="Calibri" w:eastAsia="Calibri" w:hAnsi="Calibri" w:cs="Calibri"/>
          <w:bCs/>
          <w:spacing w:val="-2"/>
          <w:szCs w:val="72"/>
          <w:lang w:val="sr-Cyrl-RS"/>
        </w:rPr>
      </w:pPr>
      <w:r w:rsidRPr="003C1157">
        <w:rPr>
          <w:rFonts w:ascii="Calibri" w:eastAsia="Calibri" w:hAnsi="Calibri" w:cs="Calibri"/>
          <w:bCs/>
          <w:spacing w:val="-2"/>
          <w:szCs w:val="72"/>
          <w:lang w:val="sr-Cyrl-RS"/>
        </w:rPr>
        <w:t xml:space="preserve">Главни ризици за остварење Стратегије, поред горе наведених фактора који су квантификовани, су и стабилност макроекономске ситуације у Републици </w:t>
      </w:r>
      <w:r w:rsidRPr="003C1157">
        <w:rPr>
          <w:rFonts w:ascii="Calibri" w:eastAsia="Calibri" w:hAnsi="Calibri" w:cs="Calibri"/>
          <w:bCs/>
          <w:spacing w:val="-2"/>
          <w:szCs w:val="72"/>
          <w:lang w:val="sr-Cyrl-RS"/>
        </w:rPr>
        <w:t>Србији, потребе за додатним задуживањем како би се регулисали дугови на другим нивоима власти, јавном сектору и финансијском сектору Републике Србије и активирање датих гаранција.</w:t>
      </w:r>
    </w:p>
    <w:p w14:paraId="57A764A2"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Важно је напоменути да смањењу јавног дуга у односу на БДП доприноси и адекватна контрола издавања гаранција и унапређење процеса приоритизације инвестиционих пројеката, који се финансирају из кредитних линија мултилатералних и билатералних кредитора.</w:t>
      </w:r>
    </w:p>
    <w:p w14:paraId="4BCC7271" w14:textId="77777777" w:rsidR="00112B0B" w:rsidRPr="003C1157" w:rsidRDefault="00112B0B" w:rsidP="00C91F83">
      <w:pPr>
        <w:spacing w:line="256" w:lineRule="auto"/>
        <w:rPr>
          <w:rFonts w:ascii="Calibri" w:eastAsia="Calibri" w:hAnsi="Calibri" w:cs="Times New Roman"/>
          <w:b/>
          <w:color w:val="2F5496" w:themeColor="accent1" w:themeShade="BF"/>
          <w:sz w:val="22"/>
          <w:lang w:val="sr-Cyrl-RS"/>
        </w:rPr>
      </w:pPr>
      <w:r w:rsidRPr="003C1157">
        <w:rPr>
          <w:rFonts w:ascii="Calibri" w:eastAsia="Calibri" w:hAnsi="Calibri" w:cs="Times New Roman"/>
          <w:b/>
          <w:color w:val="2F5496" w:themeColor="accent1" w:themeShade="BF"/>
          <w:sz w:val="22"/>
          <w:lang w:val="sr-Cyrl-RS"/>
        </w:rPr>
        <w:t>Дугорочни стратешки оквир за управљање јавним дугом</w:t>
      </w:r>
    </w:p>
    <w:p w14:paraId="7D4F3FD9" w14:textId="77777777" w:rsidR="00112B0B" w:rsidRPr="003C1157" w:rsidRDefault="00112B0B" w:rsidP="00C91F83">
      <w:pPr>
        <w:rPr>
          <w:rFonts w:ascii="Calibri" w:eastAsia="Calibri" w:hAnsi="Calibri" w:cs="Calibri"/>
          <w:bCs/>
          <w:szCs w:val="72"/>
          <w:lang w:val="sr-Cyrl-RS"/>
        </w:rPr>
      </w:pPr>
      <w:r w:rsidRPr="003C1157">
        <w:rPr>
          <w:rFonts w:ascii="Calibri" w:eastAsia="Calibri" w:hAnsi="Calibri" w:cs="Calibri"/>
          <w:bCs/>
          <w:szCs w:val="72"/>
          <w:lang w:val="sr-Cyrl-RS"/>
        </w:rPr>
        <w:t>Основни стратешки циљеви којима је потребно тежити у наредном дугорочном периоду, како би се минимизирали ризици повећања задужености и трошкова сервисирања јавног дуга су:</w:t>
      </w:r>
    </w:p>
    <w:p w14:paraId="64517020" w14:textId="77777777" w:rsidR="00112B0B" w:rsidRPr="003C1157" w:rsidRDefault="00112B0B" w:rsidP="00DB0157">
      <w:pPr>
        <w:numPr>
          <w:ilvl w:val="0"/>
          <w:numId w:val="4"/>
        </w:numPr>
        <w:ind w:left="142" w:hanging="142"/>
        <w:contextualSpacing/>
        <w:rPr>
          <w:rFonts w:ascii="Calibri" w:eastAsia="Calibri" w:hAnsi="Calibri" w:cs="Calibri"/>
          <w:bCs/>
          <w:szCs w:val="72"/>
          <w:lang w:val="sr-Cyrl-RS"/>
        </w:rPr>
      </w:pPr>
      <w:r w:rsidRPr="003C1157">
        <w:rPr>
          <w:rFonts w:ascii="Calibri" w:eastAsia="Calibri" w:hAnsi="Calibri" w:cs="Calibri"/>
          <w:bCs/>
          <w:szCs w:val="72"/>
          <w:lang w:val="sr-Cyrl-RS"/>
        </w:rPr>
        <w:t>да учешће дуга деноминованог у динарима износи најмање 30% укупног јавног дуга на средњи рок;</w:t>
      </w:r>
    </w:p>
    <w:p w14:paraId="2347650D" w14:textId="77777777" w:rsidR="00112B0B" w:rsidRPr="003C1157" w:rsidRDefault="00112B0B" w:rsidP="00DB0157">
      <w:pPr>
        <w:numPr>
          <w:ilvl w:val="0"/>
          <w:numId w:val="4"/>
        </w:numPr>
        <w:ind w:left="142" w:hanging="142"/>
        <w:contextualSpacing/>
        <w:rPr>
          <w:rFonts w:ascii="Calibri" w:eastAsia="Calibri" w:hAnsi="Calibri" w:cs="Calibri"/>
          <w:bCs/>
          <w:szCs w:val="72"/>
          <w:lang w:val="sr-Cyrl-RS"/>
        </w:rPr>
      </w:pPr>
      <w:r w:rsidRPr="003C1157">
        <w:rPr>
          <w:rFonts w:ascii="Calibri" w:eastAsia="Calibri" w:hAnsi="Calibri" w:cs="Calibri"/>
          <w:bCs/>
          <w:szCs w:val="72"/>
          <w:lang w:val="sr-Cyrl-RS"/>
        </w:rPr>
        <w:t>да учешће дуга деноминованог у еврима у јавном дугу износи најмање 65% дуга у ино-валути, укључујући будућа задуживања и трансакције;</w:t>
      </w:r>
    </w:p>
    <w:p w14:paraId="04FC6D02" w14:textId="77777777" w:rsidR="00112B0B" w:rsidRPr="003C1157" w:rsidRDefault="00112B0B" w:rsidP="00DB0157">
      <w:pPr>
        <w:numPr>
          <w:ilvl w:val="0"/>
          <w:numId w:val="4"/>
        </w:numPr>
        <w:ind w:left="142" w:hanging="142"/>
        <w:contextualSpacing/>
        <w:rPr>
          <w:rFonts w:ascii="Calibri" w:eastAsia="Calibri" w:hAnsi="Calibri" w:cs="Calibri"/>
          <w:bCs/>
          <w:szCs w:val="72"/>
          <w:lang w:val="sr-Cyrl-RS"/>
        </w:rPr>
      </w:pPr>
      <w:r w:rsidRPr="003C1157">
        <w:rPr>
          <w:rFonts w:ascii="Calibri" w:eastAsia="Calibri" w:hAnsi="Calibri" w:cs="Calibri"/>
          <w:bCs/>
          <w:szCs w:val="72"/>
          <w:lang w:val="sr-Cyrl-RS"/>
        </w:rPr>
        <w:t>да учешће дуга са варијабилном каматном стопом износи испод 15% у средњорочном интервалу;</w:t>
      </w:r>
    </w:p>
    <w:p w14:paraId="62EE8B90" w14:textId="77777777" w:rsidR="00112B0B" w:rsidRPr="003C1157" w:rsidRDefault="00112B0B" w:rsidP="00DB0157">
      <w:pPr>
        <w:numPr>
          <w:ilvl w:val="0"/>
          <w:numId w:val="4"/>
        </w:numPr>
        <w:ind w:left="142" w:hanging="142"/>
        <w:contextualSpacing/>
        <w:rPr>
          <w:rFonts w:ascii="Calibri" w:eastAsia="Calibri" w:hAnsi="Calibri" w:cs="Calibri"/>
          <w:bCs/>
          <w:szCs w:val="72"/>
          <w:lang w:val="sr-Cyrl-RS"/>
        </w:rPr>
      </w:pPr>
      <w:r w:rsidRPr="003C1157">
        <w:rPr>
          <w:rFonts w:ascii="Calibri" w:eastAsia="Calibri" w:hAnsi="Calibri" w:cs="Calibri"/>
          <w:bCs/>
          <w:szCs w:val="72"/>
          <w:lang w:val="sr-Cyrl-RS"/>
        </w:rPr>
        <w:t>да просечно време до промене каматне стопе (АТR) буде одржавано на нивоу од минимум 5,0 година, у складу са горе наведеном мером постепеног смањивања учешћа дуга са варијабилним каматним стопама;</w:t>
      </w:r>
    </w:p>
    <w:p w14:paraId="746D0919" w14:textId="77777777" w:rsidR="00112B0B" w:rsidRPr="003C1157" w:rsidRDefault="00112B0B" w:rsidP="00DB0157">
      <w:pPr>
        <w:numPr>
          <w:ilvl w:val="0"/>
          <w:numId w:val="4"/>
        </w:numPr>
        <w:ind w:left="142" w:hanging="142"/>
        <w:contextualSpacing/>
        <w:rPr>
          <w:rFonts w:ascii="Calibri" w:eastAsia="Calibri" w:hAnsi="Calibri" w:cs="Calibri"/>
          <w:bCs/>
          <w:szCs w:val="72"/>
          <w:lang w:val="sr-Cyrl-RS"/>
        </w:rPr>
      </w:pPr>
      <w:r w:rsidRPr="003C1157">
        <w:rPr>
          <w:rFonts w:ascii="Calibri" w:eastAsia="Calibri" w:hAnsi="Calibri" w:cs="Calibri"/>
          <w:bCs/>
          <w:szCs w:val="72"/>
          <w:lang w:val="sr-Cyrl-RS"/>
        </w:rPr>
        <w:t>да просечна пондерисана каматна стопа (WAIR) на јавни дуг у домаћој валути не прелази 6,00%;</w:t>
      </w:r>
    </w:p>
    <w:p w14:paraId="1602F29B" w14:textId="77777777" w:rsidR="00112B0B" w:rsidRPr="003C1157" w:rsidRDefault="00112B0B" w:rsidP="00DB0157">
      <w:pPr>
        <w:numPr>
          <w:ilvl w:val="0"/>
          <w:numId w:val="4"/>
        </w:numPr>
        <w:ind w:left="142" w:hanging="142"/>
        <w:contextualSpacing/>
        <w:rPr>
          <w:rFonts w:ascii="Calibri" w:eastAsia="Calibri" w:hAnsi="Calibri" w:cs="Calibri"/>
          <w:bCs/>
          <w:szCs w:val="72"/>
          <w:lang w:val="sr-Cyrl-RS"/>
        </w:rPr>
      </w:pPr>
      <w:r w:rsidRPr="003C1157">
        <w:rPr>
          <w:rFonts w:ascii="Calibri" w:eastAsia="Calibri" w:hAnsi="Calibri" w:cs="Calibri"/>
          <w:bCs/>
          <w:szCs w:val="72"/>
          <w:lang w:val="sr-Cyrl-RS"/>
        </w:rPr>
        <w:t>да учешће краткорочног дуга (чије је доспеће до годину дана) износи до 20% укупног јавног дуга;</w:t>
      </w:r>
    </w:p>
    <w:p w14:paraId="0A21D4CA" w14:textId="77777777" w:rsidR="00112B0B" w:rsidRPr="003C1157" w:rsidRDefault="00112B0B" w:rsidP="00DB0157">
      <w:pPr>
        <w:numPr>
          <w:ilvl w:val="0"/>
          <w:numId w:val="4"/>
        </w:numPr>
        <w:ind w:left="142" w:hanging="142"/>
        <w:contextualSpacing/>
        <w:rPr>
          <w:rFonts w:ascii="Calibri" w:eastAsia="Calibri" w:hAnsi="Calibri" w:cs="Calibri"/>
          <w:bCs/>
          <w:szCs w:val="72"/>
          <w:lang w:val="sr-Cyrl-RS"/>
        </w:rPr>
      </w:pPr>
      <w:r w:rsidRPr="003C1157">
        <w:rPr>
          <w:rFonts w:ascii="Calibri" w:eastAsia="Calibri" w:hAnsi="Calibri" w:cs="Calibri"/>
          <w:bCs/>
          <w:szCs w:val="72"/>
          <w:lang w:val="sr-Cyrl-RS"/>
        </w:rPr>
        <w:t>да просечно време до доспећа (АТМ) унутрашњег дуга буде на нивоу од најмање пет година на средњи рок;</w:t>
      </w:r>
    </w:p>
    <w:p w14:paraId="4EED10DD" w14:textId="77777777" w:rsidR="00112B0B" w:rsidRPr="003C1157" w:rsidRDefault="00112B0B" w:rsidP="006272DB">
      <w:pPr>
        <w:numPr>
          <w:ilvl w:val="0"/>
          <w:numId w:val="4"/>
        </w:numPr>
        <w:ind w:left="142" w:hanging="142"/>
        <w:rPr>
          <w:rFonts w:ascii="Calibri" w:eastAsia="Calibri" w:hAnsi="Calibri" w:cs="Calibri"/>
          <w:bCs/>
          <w:szCs w:val="72"/>
          <w:lang w:val="sr-Cyrl-RS"/>
        </w:rPr>
      </w:pPr>
      <w:r w:rsidRPr="003C1157">
        <w:rPr>
          <w:rFonts w:ascii="Calibri" w:eastAsia="Calibri" w:hAnsi="Calibri" w:cs="Calibri"/>
          <w:bCs/>
          <w:szCs w:val="72"/>
          <w:lang w:val="sr-Cyrl-RS"/>
        </w:rPr>
        <w:t>да се просечно време до доспећа (АТМ) спољног дуга одржава на нивоу од 8,0 ± 0,5 година у истом временском хоризонту.</w:t>
      </w:r>
    </w:p>
    <w:p w14:paraId="77ACD310" w14:textId="77777777" w:rsidR="00112B0B" w:rsidRPr="003C1157" w:rsidRDefault="00112B0B">
      <w:pPr>
        <w:jc w:val="left"/>
        <w:rPr>
          <w:rFonts w:ascii="Calibri" w:eastAsia="Calibri" w:hAnsi="Calibri" w:cs="Times New Roman"/>
          <w:b/>
          <w:color w:val="002060"/>
          <w:spacing w:val="-2"/>
          <w:lang w:val="sr-Cyrl-RS"/>
        </w:rPr>
        <w:sectPr w:rsidR="00112B0B" w:rsidRPr="003C1157" w:rsidSect="006272DB">
          <w:type w:val="continuous"/>
          <w:pgSz w:w="12240" w:h="15840" w:code="1"/>
          <w:pgMar w:top="1440" w:right="1440" w:bottom="1440" w:left="1440" w:header="720" w:footer="720" w:gutter="0"/>
          <w:cols w:num="2" w:space="720"/>
          <w:titlePg/>
          <w:docGrid w:linePitch="360"/>
        </w:sectPr>
      </w:pPr>
    </w:p>
    <w:p w14:paraId="3C29F26A" w14:textId="77777777" w:rsidR="00112B0B" w:rsidRPr="003C1157" w:rsidRDefault="00112B0B" w:rsidP="006272DB">
      <w:pPr>
        <w:rPr>
          <w:lang w:val="sr-Cyrl-RS"/>
        </w:rPr>
      </w:pPr>
      <w:r w:rsidRPr="003C1157">
        <w:rPr>
          <w:lang w:val="sr-Cyrl-RS"/>
        </w:rPr>
        <w:br w:type="page"/>
      </w:r>
    </w:p>
    <w:p w14:paraId="3045B209" w14:textId="77777777" w:rsidR="00112B0B" w:rsidRPr="003C1157" w:rsidRDefault="00112B0B" w:rsidP="006272DB">
      <w:pPr>
        <w:spacing w:after="120" w:line="257" w:lineRule="auto"/>
        <w:jc w:val="center"/>
        <w:rPr>
          <w:rFonts w:ascii="Calibri" w:eastAsia="Calibri" w:hAnsi="Calibri" w:cs="Times New Roman"/>
          <w:b/>
          <w:color w:val="002060"/>
          <w:spacing w:val="-2"/>
          <w:lang w:val="sr-Cyrl-RS"/>
        </w:rPr>
      </w:pPr>
      <w:r w:rsidRPr="003C1157">
        <w:rPr>
          <w:rFonts w:ascii="Calibri" w:eastAsia="Calibri" w:hAnsi="Calibri" w:cs="Times New Roman"/>
          <w:b/>
          <w:color w:val="002060"/>
          <w:spacing w:val="-2"/>
          <w:lang w:val="sr-Cyrl-RS"/>
        </w:rPr>
        <w:lastRenderedPageBreak/>
        <w:t xml:space="preserve">Кретање приноса до доспећа динарских </w:t>
      </w:r>
      <w:r w:rsidRPr="003C1157">
        <w:rPr>
          <w:rFonts w:ascii="Calibri" w:eastAsia="Calibri" w:hAnsi="Calibri" w:cs="Calibri"/>
          <w:b/>
          <w:bCs/>
          <w:color w:val="002060"/>
          <w:spacing w:val="-2"/>
          <w:szCs w:val="72"/>
          <w:lang w:val="sr-Cyrl-RS"/>
        </w:rPr>
        <w:t>„</w:t>
      </w:r>
      <w:r w:rsidRPr="003C1157">
        <w:rPr>
          <w:rFonts w:ascii="Calibri" w:eastAsia="Calibri" w:hAnsi="Calibri" w:cs="Times New Roman"/>
          <w:b/>
          <w:color w:val="002060"/>
          <w:spacing w:val="-2"/>
          <w:lang w:val="sr-Cyrl-RS"/>
        </w:rPr>
        <w:t>бенчмарк” емисија укључених у GBI-EM Global Diversified Index на секундарном трговању</w:t>
      </w:r>
    </w:p>
    <w:p w14:paraId="7CCBE1D3" w14:textId="77777777" w:rsidR="00112B0B" w:rsidRPr="003C1157" w:rsidRDefault="00112B0B" w:rsidP="006272DB">
      <w:pPr>
        <w:spacing w:after="240" w:line="256" w:lineRule="auto"/>
        <w:jc w:val="center"/>
        <w:rPr>
          <w:rFonts w:ascii="Calibri" w:eastAsia="Calibri" w:hAnsi="Calibri" w:cs="Times New Roman"/>
          <w:b/>
          <w:lang w:val="sr-Cyrl-RS"/>
        </w:rPr>
      </w:pPr>
      <w:r w:rsidRPr="003C1157">
        <w:rPr>
          <w:rFonts w:ascii="Calibri" w:eastAsia="Calibri" w:hAnsi="Calibri" w:cs="Times New Roman"/>
          <w:b/>
          <w:lang w:val="sr-Cyrl-RS"/>
        </w:rPr>
        <w:fldChar w:fldCharType="begin"/>
      </w:r>
      <w:r w:rsidRPr="003C1157">
        <w:rPr>
          <w:rFonts w:ascii="Calibri" w:eastAsia="Calibri" w:hAnsi="Calibri" w:cs="Times New Roman"/>
          <w:b/>
          <w:lang w:val="sr-Cyrl-RS"/>
        </w:rPr>
        <w:instrText xml:space="preserve"> LINK Excel.Sheet.12 "C:\\Users\\Admin\\Desktop\\Razni dokumenti\\Za Fiskalnu Strategiju\\Chart in Microsoft Word.xlsx!Benchmark stope na sekundarnom![Chart in Microsoft Word.xlsx]Benchmark stope na sekundarnom Chart 1" "" \a \p  \* MERGEFORMAT </w:instrText>
      </w:r>
      <w:r w:rsidRPr="003C1157">
        <w:rPr>
          <w:rFonts w:ascii="Calibri" w:eastAsia="Calibri" w:hAnsi="Calibri" w:cs="Times New Roman"/>
          <w:b/>
          <w:lang w:val="sr-Cyrl-RS"/>
        </w:rPr>
        <w:fldChar w:fldCharType="separate"/>
      </w:r>
      <w:r w:rsidR="00000000">
        <w:rPr>
          <w:rFonts w:ascii="Calibri" w:eastAsia="Calibri" w:hAnsi="Calibri" w:cs="Times New Roman"/>
          <w:b/>
          <w:lang w:val="sr-Cyrl-RS"/>
        </w:rPr>
        <w:object w:dxaOrig="6825" w:dyaOrig="5550" w14:anchorId="60614816">
          <v:shape id="_x0000_i1026" type="#_x0000_t75" style="width:179.25pt;height:145.5pt" o:ole="">
            <v:imagedata r:id="rId217" o:title=""/>
          </v:shape>
        </w:object>
      </w:r>
      <w:r w:rsidRPr="003C1157">
        <w:rPr>
          <w:rFonts w:ascii="Calibri" w:eastAsia="Calibri" w:hAnsi="Calibri" w:cs="Times New Roman"/>
          <w:b/>
          <w:lang w:val="sr-Cyrl-RS"/>
        </w:rPr>
        <w:fldChar w:fldCharType="end"/>
      </w:r>
    </w:p>
    <w:p w14:paraId="34A364B2" w14:textId="77777777" w:rsidR="00112B0B" w:rsidRPr="003C1157" w:rsidRDefault="00112B0B" w:rsidP="006272DB">
      <w:pPr>
        <w:spacing w:after="120" w:line="257" w:lineRule="auto"/>
        <w:jc w:val="center"/>
        <w:rPr>
          <w:rFonts w:ascii="Calibri" w:eastAsia="Calibri" w:hAnsi="Calibri" w:cs="Times New Roman"/>
          <w:b/>
          <w:color w:val="002060"/>
          <w:spacing w:val="-2"/>
          <w:lang w:val="sr-Cyrl-RS"/>
        </w:rPr>
      </w:pPr>
      <w:r w:rsidRPr="003C1157">
        <w:rPr>
          <w:rFonts w:ascii="Calibri" w:eastAsia="Calibri" w:hAnsi="Calibri" w:cs="Times New Roman"/>
          <w:b/>
          <w:bCs/>
          <w:color w:val="002060"/>
          <w:lang w:val="sr-Cyrl-RS"/>
        </w:rPr>
        <w:t xml:space="preserve">Просечно време до доспећа (АТМ) државних хартија од вредности емитованих на домаћем финансијском тржишту у периоду </w:t>
      </w:r>
      <w:r w:rsidRPr="003C1157">
        <w:rPr>
          <w:rFonts w:ascii="Calibri" w:eastAsia="Calibri" w:hAnsi="Calibri" w:cs="Times New Roman"/>
          <w:b/>
          <w:bCs/>
          <w:color w:val="002060"/>
          <w:lang w:val="sr-Cyrl-RS"/>
        </w:rPr>
        <w:br w:type="textWrapping" w:clear="all"/>
        <w:t>1. јануар 2018.–</w:t>
      </w:r>
      <w:r w:rsidRPr="003C1157">
        <w:rPr>
          <w:rFonts w:ascii="Calibri" w:eastAsia="Calibri" w:hAnsi="Calibri" w:cs="Times New Roman"/>
          <w:b/>
          <w:color w:val="002060"/>
          <w:spacing w:val="-2"/>
          <w:lang w:val="sr-Cyrl-RS"/>
        </w:rPr>
        <w:t>31. јул 2023. године</w:t>
      </w:r>
    </w:p>
    <w:p w14:paraId="7B5AE30B" w14:textId="77777777" w:rsidR="00112B0B" w:rsidRPr="003C1157" w:rsidRDefault="00112B0B" w:rsidP="006272DB">
      <w:pPr>
        <w:spacing w:after="240" w:line="256" w:lineRule="auto"/>
        <w:jc w:val="center"/>
        <w:rPr>
          <w:rFonts w:ascii="Calibri" w:eastAsia="Calibri" w:hAnsi="Calibri" w:cs="Times New Roman"/>
          <w:b/>
          <w:color w:val="002060"/>
          <w:spacing w:val="-2"/>
          <w:lang w:val="sr-Cyrl-RS"/>
        </w:rPr>
      </w:pPr>
      <w:r w:rsidRPr="003C1157">
        <w:rPr>
          <w:lang w:val="sr-Cyrl-RS"/>
        </w:rPr>
        <w:fldChar w:fldCharType="begin"/>
      </w:r>
      <w:r w:rsidRPr="003C1157">
        <w:rPr>
          <w:lang w:val="sr-Cyrl-RS"/>
        </w:rPr>
        <w:instrText xml:space="preserve"> LINK Excel.Sheet.12 "C:\\Users\\Admin\\Desktop\\Razni dokumenti\\Za Fiskalnu Strategiju\\ATM_po mesecima.xlsx!Sheet1![ATM_po mesecima.xlsx]Sheet1 Chart 1" "" \a \p \* MERGEFORMAT </w:instrText>
      </w:r>
      <w:r w:rsidRPr="003C1157">
        <w:rPr>
          <w:lang w:val="sr-Cyrl-RS"/>
        </w:rPr>
        <w:fldChar w:fldCharType="separate"/>
      </w:r>
      <w:r w:rsidR="00000000">
        <w:rPr>
          <w:lang w:val="sr-Cyrl-RS"/>
        </w:rPr>
        <w:object w:dxaOrig="5385" w:dyaOrig="5190" w14:anchorId="0F175567">
          <v:shape id="_x0000_i1027" type="#_x0000_t75" style="width:169.5pt;height:162pt" o:ole="">
            <v:imagedata r:id="rId218" o:title=""/>
          </v:shape>
        </w:object>
      </w:r>
      <w:r w:rsidRPr="003C1157">
        <w:rPr>
          <w:lang w:val="sr-Cyrl-RS"/>
        </w:rPr>
        <w:fldChar w:fldCharType="end"/>
      </w:r>
    </w:p>
    <w:p w14:paraId="68C509CA" w14:textId="77777777" w:rsidR="00112B0B" w:rsidRPr="003C1157" w:rsidRDefault="00112B0B" w:rsidP="00523B7B">
      <w:pPr>
        <w:spacing w:line="256" w:lineRule="auto"/>
        <w:rPr>
          <w:rFonts w:ascii="Calibri" w:eastAsia="Calibri" w:hAnsi="Calibri" w:cs="Times New Roman"/>
          <w:b/>
          <w:color w:val="2F5496" w:themeColor="accent1" w:themeShade="BF"/>
          <w:sz w:val="22"/>
          <w:lang w:val="sr-Cyrl-RS"/>
        </w:rPr>
      </w:pPr>
      <w:r w:rsidRPr="003C1157">
        <w:rPr>
          <w:rFonts w:ascii="Calibri" w:eastAsia="Calibri" w:hAnsi="Calibri" w:cs="Times New Roman"/>
          <w:b/>
          <w:color w:val="2F5496" w:themeColor="accent1" w:themeShade="BF"/>
          <w:sz w:val="22"/>
          <w:lang w:val="sr-Cyrl-RS"/>
        </w:rPr>
        <w:t>Мере за унапређење тржишта динарских хартија од вредности у периоду 2023–2026. године</w:t>
      </w:r>
    </w:p>
    <w:p w14:paraId="6A1580B1"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 xml:space="preserve">Тржиште државних хартија од вредности, у периоду од 2012. године до јула 2023. године, карактерише испуњавање зацртаних стратешких циљева, првенствено у погледу инструмената финансирања, као и у развоју и одржавању стабилности диверсификоване базе инвеститора. Преласком са краткорочних извора финансирања који се везују за период до 2010. године, на средњорочне и дугорочне инструменте финансирања, уз константно смањење трошкова задуживања, утиче се на смањење ризика рефинансирања, као једног од примарних ризика </w:t>
      </w:r>
      <w:r w:rsidRPr="003C1157">
        <w:rPr>
          <w:rFonts w:ascii="Calibri" w:eastAsia="Calibri" w:hAnsi="Calibri" w:cs="Calibri"/>
          <w:bCs/>
          <w:szCs w:val="72"/>
          <w:lang w:val="sr-Cyrl-RS"/>
        </w:rPr>
        <w:t>у процесу управљања јавним дугом. На крају 2013. године учешће дугорочних динарских инструмената по оригиналној рочности од три и више година износило је 38,3% у стању динарских хартија од вредности, док је на крају јула 2023. године износило 83,7%.</w:t>
      </w:r>
    </w:p>
    <w:p w14:paraId="55F6FF3C" w14:textId="55165636"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Транспарентност у раду и извештавању, као и присутност на међународном тржишту капитала, утичу на информисаност, а тиме и на заинтересованост нерезидената да инвестирају капитал у дужничке инструменте, првенствено у државне динарске дугорочне хартије од вредности, чиме се остварује раст стабилне базе инвеститора. Услед успешне реализације „бенчмарк” емисија током 2014. и 2015. године, са истом праксом је настављено током 2016. године. У фебруару и јулу 2016. године емитоване су „бенчмарк” трогодишња и седмогодишња обвезница обима емисије по 110,0 млрд динара. У априлу 2017. године емитована је трогодишња „бенчмарк” обвезница обима емисије у износу од 110,0 млрд динара. У јануару и фебруару 2018. године емитоване су „бенчмарк” петогодишња и десетогодишња обвезница обима емисије по 110,0 млрд динара. У јануару 2019. године емитоване су „бенчмарк” трогодишња и седмогодишња обвезница обима емисије 100,0 и 150,0 млрд динара. У јануару и фебруару 2020. године по први пут су емитоване петоипогодишње и дванаестоипогодишње обвезнице са полугодишњим купоном. Изменама Уредбе о општим условима за емисију и продају државних хартија од вредности на примарном тржишту („Службени гласник РС”, бр. 100/14, 78/17, 66/18, 78/18 и 140/20), омогућено је повећање обима рани</w:t>
      </w:r>
      <w:r>
        <w:rPr>
          <w:rFonts w:ascii="Calibri" w:eastAsia="Calibri" w:hAnsi="Calibri" w:cs="Calibri"/>
          <w:bCs/>
          <w:szCs w:val="72"/>
          <w:lang w:val="sr-Cyrl-RS"/>
        </w:rPr>
        <w:t xml:space="preserve">је емитованих обвезница, па је </w:t>
      </w:r>
      <w:r w:rsidRPr="003C1157">
        <w:rPr>
          <w:rFonts w:ascii="Calibri" w:eastAsia="Calibri" w:hAnsi="Calibri" w:cs="Calibri"/>
          <w:bCs/>
          <w:szCs w:val="72"/>
          <w:lang w:val="sr-Cyrl-RS"/>
        </w:rPr>
        <w:t>петоипогодишњим обвезн</w:t>
      </w:r>
      <w:r w:rsidR="00A91FED">
        <w:rPr>
          <w:rFonts w:ascii="Calibri" w:eastAsia="Calibri" w:hAnsi="Calibri" w:cs="Calibri"/>
          <w:bCs/>
          <w:szCs w:val="72"/>
          <w:lang w:val="sr-Cyrl-RS"/>
        </w:rPr>
        <w:t>ицама (првобитно емитованим 28.</w:t>
      </w:r>
      <w:r w:rsidRPr="003C1157">
        <w:rPr>
          <w:rFonts w:ascii="Calibri" w:eastAsia="Calibri" w:hAnsi="Calibri" w:cs="Calibri"/>
          <w:bCs/>
          <w:szCs w:val="72"/>
          <w:lang w:val="sr-Cyrl-RS"/>
        </w:rPr>
        <w:t>1.2020. године) и дванаестоипогодишњим обвезн</w:t>
      </w:r>
      <w:r w:rsidR="00A91FED">
        <w:rPr>
          <w:rFonts w:ascii="Calibri" w:eastAsia="Calibri" w:hAnsi="Calibri" w:cs="Calibri"/>
          <w:bCs/>
          <w:szCs w:val="72"/>
          <w:lang w:val="sr-Cyrl-RS"/>
        </w:rPr>
        <w:t>ицама (првобитно емитованим 18.</w:t>
      </w:r>
      <w:r w:rsidRPr="003C1157">
        <w:rPr>
          <w:rFonts w:ascii="Calibri" w:eastAsia="Calibri" w:hAnsi="Calibri" w:cs="Calibri"/>
          <w:bCs/>
          <w:szCs w:val="72"/>
          <w:lang w:val="sr-Cyrl-RS"/>
        </w:rPr>
        <w:t>2.2020. године) 2021. године повећан обим емисије за по 50 млрд. динара, док је десетогодишњим обвезницама</w:t>
      </w:r>
      <w:r w:rsidR="00A91FED">
        <w:rPr>
          <w:rFonts w:ascii="Calibri" w:eastAsia="Calibri" w:hAnsi="Calibri" w:cs="Calibri"/>
          <w:bCs/>
          <w:szCs w:val="72"/>
          <w:lang w:val="sr-Cyrl-RS"/>
        </w:rPr>
        <w:t xml:space="preserve"> (првобитно емитованим 6.</w:t>
      </w:r>
      <w:r w:rsidRPr="003C1157">
        <w:rPr>
          <w:rFonts w:ascii="Calibri" w:eastAsia="Calibri" w:hAnsi="Calibri" w:cs="Calibri"/>
          <w:bCs/>
          <w:szCs w:val="72"/>
          <w:lang w:val="sr-Cyrl-RS"/>
        </w:rPr>
        <w:t>2.2018. године) повећан за 10 млрд. динара. Током 2022. године извршено је повећање обима емисија десетогодишњим обв</w:t>
      </w:r>
      <w:r w:rsidR="00A91FED">
        <w:rPr>
          <w:rFonts w:ascii="Calibri" w:eastAsia="Calibri" w:hAnsi="Calibri" w:cs="Calibri"/>
          <w:bCs/>
          <w:szCs w:val="72"/>
          <w:lang w:val="sr-Cyrl-RS"/>
        </w:rPr>
        <w:t>езницама (првобитно емитованим 6.</w:t>
      </w:r>
      <w:r w:rsidRPr="003C1157">
        <w:rPr>
          <w:rFonts w:ascii="Calibri" w:eastAsia="Calibri" w:hAnsi="Calibri" w:cs="Calibri"/>
          <w:bCs/>
          <w:szCs w:val="72"/>
          <w:lang w:val="sr-Cyrl-RS"/>
        </w:rPr>
        <w:t>2.2018. године) за 25 млрд. динара.</w:t>
      </w:r>
    </w:p>
    <w:p w14:paraId="7FAA8113"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lastRenderedPageBreak/>
        <w:t>Овим емисијама знатно је повећан обим секундарног трговања овим инструментима, што је допринело и паду извршних стопа приноса на реотварањима поменутих емисија. Учешће страних инвеститора у динарским хартијама од вредности, на крају јула 2023. године износило је 16,8%.</w:t>
      </w:r>
    </w:p>
    <w:p w14:paraId="4B26C5C4"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30. јуна 2021. године три динарске бенчмарк обвезнице укључене су у J.P. Morgan индекс државних обвезница земаља у развоју (GBI-EM Global Diversified Index), са датумом доспећа 11. јануар 2026. године (RSMFRSD89592), 8. фебруар 2028. године (RSMFRSD55940) и 20. август 2032. године (RSMFRSD86176).</w:t>
      </w:r>
    </w:p>
    <w:p w14:paraId="297DC074" w14:textId="77777777" w:rsidR="00112B0B" w:rsidRPr="003C1157" w:rsidRDefault="00112B0B" w:rsidP="00523B7B">
      <w:pPr>
        <w:rPr>
          <w:rFonts w:ascii="Calibri" w:eastAsia="Calibri" w:hAnsi="Calibri" w:cs="Calibri"/>
          <w:bCs/>
          <w:szCs w:val="72"/>
          <w:lang w:val="sr-Cyrl-RS"/>
        </w:rPr>
      </w:pPr>
      <w:r w:rsidRPr="003C1157">
        <w:rPr>
          <w:rFonts w:ascii="Calibri" w:eastAsia="Calibri" w:hAnsi="Calibri" w:cs="Calibri"/>
          <w:bCs/>
          <w:szCs w:val="72"/>
          <w:lang w:val="sr-Cyrl-RS"/>
        </w:rPr>
        <w:t>У 2023. години од динарских хартија емитоване су двогодишње динарске обвезнице. Десетогодишњим динарским обвезницама је повећан обим</w:t>
      </w:r>
      <w:r>
        <w:rPr>
          <w:rFonts w:ascii="Calibri" w:eastAsia="Calibri" w:hAnsi="Calibri" w:cs="Calibri"/>
          <w:bCs/>
          <w:szCs w:val="72"/>
          <w:lang w:val="sr-Cyrl-RS"/>
        </w:rPr>
        <w:t xml:space="preserve"> емисије за 18,4 млрд динара и </w:t>
      </w:r>
      <w:r w:rsidRPr="003C1157">
        <w:rPr>
          <w:rFonts w:ascii="Calibri" w:eastAsia="Calibri" w:hAnsi="Calibri" w:cs="Calibri"/>
          <w:bCs/>
          <w:szCs w:val="72"/>
          <w:lang w:val="sr-Cyrl-RS"/>
        </w:rPr>
        <w:t>дванаестоипоогодишњим за 50 млрд динара. Од евро деноминованих хартија емитоване су двогодишње обвезнице.</w:t>
      </w:r>
    </w:p>
    <w:p w14:paraId="584CEA38" w14:textId="77777777" w:rsidR="00112B0B" w:rsidRPr="003C1157" w:rsidRDefault="00112B0B" w:rsidP="006272DB">
      <w:pPr>
        <w:rPr>
          <w:rFonts w:ascii="Calibri" w:eastAsia="Calibri" w:hAnsi="Calibri" w:cs="Calibri"/>
          <w:bCs/>
          <w:szCs w:val="72"/>
          <w:lang w:val="sr-Cyrl-RS"/>
        </w:rPr>
      </w:pPr>
      <w:r w:rsidRPr="003C1157">
        <w:rPr>
          <w:rFonts w:ascii="Calibri" w:eastAsia="Calibri" w:hAnsi="Calibri" w:cs="Calibri"/>
          <w:bCs/>
          <w:szCs w:val="72"/>
          <w:lang w:val="sr-Cyrl-RS"/>
        </w:rPr>
        <w:t>У периоду за који се доноси ова Стратегија очекује се унапређење ефикасности примарног тржишта путем приступа Euroclear платформи и кроз концепт примарних дилера, као механизма продаје државних хартија од вредности који директно, у дужем року, доприноси смањењу трошкова задуживања, као и смањењу ризика рефинансирања. Увођење система продаје државних хартија од вредности на домаћем финансијском тржишту преко примарних дилера, пружиће добру основу за унапређење тржишне ефикасности секундарног тржишта државних хартија од вредности. Развојем секундарног тржишта, временом ће се успоставити концепт тржишне ефикасности у процесу вредновања државних хартија од вредности. Увођењем „бенчмарк” емисија обвезница остварен је позитиван ефекат на обим и континуитет секундарног трговања, као и на унапређење тржишне ефикасности у поступку продаје државних хартија на примарном тржишту.</w:t>
      </w:r>
    </w:p>
    <w:p w14:paraId="19C25C82" w14:textId="77777777" w:rsidR="00112B0B" w:rsidRPr="003C1157" w:rsidRDefault="00112B0B" w:rsidP="006272DB">
      <w:pPr>
        <w:rPr>
          <w:rFonts w:ascii="Calibri" w:eastAsia="Calibri" w:hAnsi="Calibri" w:cs="Calibri"/>
          <w:bCs/>
          <w:szCs w:val="72"/>
          <w:lang w:val="sr-Cyrl-RS"/>
        </w:rPr>
      </w:pPr>
      <w:r w:rsidRPr="003C1157">
        <w:rPr>
          <w:rFonts w:ascii="Calibri" w:eastAsia="Calibri" w:hAnsi="Calibri" w:cs="Calibri"/>
          <w:bCs/>
          <w:szCs w:val="72"/>
          <w:lang w:val="sr-Cyrl-RS"/>
        </w:rPr>
        <w:t xml:space="preserve">Као водеће факторе који утичу на криву приноса државних хартија од вредности потребно је издвојити фискални резултат, очекивану стопу инфлације и девизни курс. Као посебну групу </w:t>
      </w:r>
      <w:r w:rsidRPr="003C1157">
        <w:rPr>
          <w:rFonts w:ascii="Calibri" w:eastAsia="Calibri" w:hAnsi="Calibri" w:cs="Calibri"/>
          <w:bCs/>
          <w:szCs w:val="72"/>
          <w:lang w:val="sr-Cyrl-RS"/>
        </w:rPr>
        <w:t>фактора потребно је издвојити макроекономска кретања и очекивања, као и промене на међународном финансијском тржишту, које се рефлектују на премију ризика земље.</w:t>
      </w:r>
    </w:p>
    <w:p w14:paraId="5063ABDC" w14:textId="77777777" w:rsidR="00112B0B" w:rsidRPr="003C1157" w:rsidRDefault="00112B0B" w:rsidP="006272DB">
      <w:pPr>
        <w:rPr>
          <w:rFonts w:ascii="Calibri" w:eastAsia="Calibri" w:hAnsi="Calibri" w:cs="Calibri"/>
          <w:bCs/>
          <w:szCs w:val="72"/>
          <w:lang w:val="sr-Cyrl-RS"/>
        </w:rPr>
      </w:pPr>
      <w:r w:rsidRPr="003C1157">
        <w:rPr>
          <w:rFonts w:ascii="Calibri" w:eastAsia="Calibri" w:hAnsi="Calibri" w:cs="Calibri"/>
          <w:bCs/>
          <w:szCs w:val="72"/>
          <w:lang w:val="sr-Cyrl-RS"/>
        </w:rPr>
        <w:t>На крају 2012. године просечна рочност динарских хартија од вредности износила је 394 дана (1,1 годину), на крају 2013. године 469 дана (1,3 године), на крају 2014. године 645 дана (1,8 годину), на крају 2015. године 749 дана (2,1 годину), на крају 2016. године 789 дана (2,2 године), на крају 2017. године 864 дана (2,4 године), на крају 2018. године 1.188 дана (3,3 године), на крају 2019. године 1.403 дана (3,8 година), на крају 2020. године 1.429 дана (3,9 година), на крају 2021. године 1.377 дана (3,8 године), на крају 2022. године 1.220 дана (3,3 године), а на крају јула 2023. године 1.433 дана (3,9 година).</w:t>
      </w:r>
    </w:p>
    <w:p w14:paraId="1AC4FF73" w14:textId="77777777" w:rsidR="00112B0B" w:rsidRPr="003C1157" w:rsidRDefault="00112B0B" w:rsidP="006272DB">
      <w:pPr>
        <w:numPr>
          <w:ilvl w:val="0"/>
          <w:numId w:val="13"/>
        </w:numPr>
        <w:tabs>
          <w:tab w:val="left" w:pos="284"/>
        </w:tabs>
        <w:ind w:left="0" w:firstLine="0"/>
        <w:rPr>
          <w:rFonts w:ascii="Calibri" w:eastAsia="Calibri" w:hAnsi="Calibri" w:cs="Calibri"/>
          <w:bCs/>
          <w:szCs w:val="72"/>
          <w:lang w:val="sr-Cyrl-RS"/>
        </w:rPr>
      </w:pPr>
      <w:r w:rsidRPr="003C1157">
        <w:rPr>
          <w:rFonts w:ascii="Calibri" w:eastAsia="Calibri" w:hAnsi="Calibri" w:cs="Calibri"/>
          <w:bCs/>
          <w:szCs w:val="72"/>
          <w:lang w:val="sr-Cyrl-RS"/>
        </w:rPr>
        <w:t>Развој домаћег тржишта државних хартија од вредности од стране Републике Србије потпомогнут је следећим мерама:</w:t>
      </w:r>
    </w:p>
    <w:p w14:paraId="1288A12B" w14:textId="77777777" w:rsidR="00112B0B" w:rsidRPr="003C1157" w:rsidRDefault="00112B0B" w:rsidP="006272DB">
      <w:pPr>
        <w:numPr>
          <w:ilvl w:val="0"/>
          <w:numId w:val="13"/>
        </w:numPr>
        <w:tabs>
          <w:tab w:val="left" w:pos="284"/>
        </w:tabs>
        <w:ind w:left="0" w:firstLine="0"/>
        <w:rPr>
          <w:rFonts w:ascii="Calibri" w:eastAsia="Calibri" w:hAnsi="Calibri" w:cs="Calibri"/>
          <w:bCs/>
          <w:szCs w:val="72"/>
          <w:lang w:val="sr-Cyrl-RS"/>
        </w:rPr>
      </w:pPr>
      <w:r w:rsidRPr="003C1157">
        <w:rPr>
          <w:rFonts w:ascii="Calibri" w:eastAsia="Calibri" w:hAnsi="Calibri" w:cs="Calibri"/>
          <w:bCs/>
          <w:szCs w:val="72"/>
          <w:lang w:val="sr-Cyrl-RS"/>
        </w:rPr>
        <w:t>Обвезнице Републике Србије укључене су у Ј.P. Morgan глобални индекс државних обвезница у локалним валутама земаља у развоју (GBI-EM Global Diversified Index) што би требало значајно да повећа базу инвеститора и додатно поспеши секундарно трговање, што ће даље допринети смањењу трошкова задуживања путем емисија динарских државних хартија од вредности;</w:t>
      </w:r>
    </w:p>
    <w:p w14:paraId="1E9B9F8D" w14:textId="77777777" w:rsidR="00112B0B" w:rsidRPr="003C1157" w:rsidRDefault="00112B0B" w:rsidP="006272DB">
      <w:pPr>
        <w:numPr>
          <w:ilvl w:val="0"/>
          <w:numId w:val="13"/>
        </w:numPr>
        <w:tabs>
          <w:tab w:val="left" w:pos="284"/>
        </w:tabs>
        <w:ind w:left="0" w:firstLine="0"/>
        <w:rPr>
          <w:rFonts w:ascii="Calibri" w:eastAsia="Calibri" w:hAnsi="Calibri" w:cs="Calibri"/>
          <w:bCs/>
          <w:szCs w:val="72"/>
          <w:lang w:val="sr-Cyrl-RS"/>
        </w:rPr>
      </w:pPr>
      <w:r w:rsidRPr="003C1157">
        <w:rPr>
          <w:rFonts w:ascii="Calibri" w:eastAsia="Calibri" w:hAnsi="Calibri" w:cs="Calibri"/>
          <w:bCs/>
          <w:szCs w:val="72"/>
          <w:lang w:val="sr-Cyrl-RS"/>
        </w:rPr>
        <w:t>У циљу креирања што веће базе инвеститора и развоја секундарног тржишта хартија од вредности емитованих на домаћем тржишту, креиран је једнак порески третман домаћих и страних инвеститора крајем 2011. године, и у наредном периоду тежиће се уклањању свих евентуалних препрека за слободан проток капитала;</w:t>
      </w:r>
    </w:p>
    <w:p w14:paraId="5344AF26" w14:textId="77777777" w:rsidR="00112B0B" w:rsidRPr="003C1157" w:rsidRDefault="00112B0B" w:rsidP="006272DB">
      <w:pPr>
        <w:numPr>
          <w:ilvl w:val="0"/>
          <w:numId w:val="13"/>
        </w:numPr>
        <w:tabs>
          <w:tab w:val="left" w:pos="284"/>
        </w:tabs>
        <w:ind w:left="0" w:firstLine="0"/>
        <w:rPr>
          <w:rFonts w:ascii="Calibri" w:eastAsia="Calibri" w:hAnsi="Calibri" w:cs="Calibri"/>
          <w:bCs/>
          <w:szCs w:val="72"/>
          <w:lang w:val="sr-Cyrl-RS"/>
        </w:rPr>
      </w:pPr>
      <w:r w:rsidRPr="003C1157">
        <w:rPr>
          <w:rFonts w:ascii="Calibri" w:eastAsia="Calibri" w:hAnsi="Calibri" w:cs="Calibri"/>
          <w:bCs/>
          <w:szCs w:val="72"/>
          <w:lang w:val="sr-Cyrl-RS"/>
        </w:rPr>
        <w:t>Предузете су активности на омогућавању салдирања државних хартија од вредности на иностраном тржишту. Изменама и допунама Закона о јавном дугу из децембра 2019. године, омогућено је да клиринг и салдирање државних хартија од вредности емитованих на домаћем тржишту, поред Централног регистра врши и друго страно правно лице које обавља послове клиринга и салдирања.</w:t>
      </w:r>
    </w:p>
    <w:p w14:paraId="0D003739" w14:textId="77777777" w:rsidR="00112B0B" w:rsidRPr="003C1157" w:rsidRDefault="00112B0B" w:rsidP="006272DB">
      <w:pPr>
        <w:numPr>
          <w:ilvl w:val="0"/>
          <w:numId w:val="13"/>
        </w:numPr>
        <w:tabs>
          <w:tab w:val="left" w:pos="284"/>
        </w:tabs>
        <w:ind w:left="0" w:firstLine="0"/>
        <w:rPr>
          <w:rFonts w:ascii="Calibri" w:eastAsia="Calibri" w:hAnsi="Calibri" w:cs="Calibri"/>
          <w:bCs/>
          <w:szCs w:val="72"/>
          <w:lang w:val="sr-Cyrl-RS"/>
        </w:rPr>
      </w:pPr>
      <w:r w:rsidRPr="003C1157">
        <w:rPr>
          <w:rFonts w:ascii="Calibri" w:eastAsia="Calibri" w:hAnsi="Calibri" w:cs="Calibri"/>
          <w:bCs/>
          <w:szCs w:val="72"/>
          <w:lang w:val="sr-Cyrl-RS"/>
        </w:rPr>
        <w:lastRenderedPageBreak/>
        <w:t xml:space="preserve">Током 2022. године активно се радило на усаглашавању законске регулативе и ИТ инфраструктуре за успостављање међународног линка (i-Link) између Централног регистра, депоа и клиринга хартија од вредности и Euroclear банке, што је настављено и у 2023. години како би се отпочело салдирање државних бенчмарк обвезница преко Euroclear провајдера пост трговинских трансакција. Основне предности </w:t>
      </w:r>
      <w:r w:rsidRPr="003C1157">
        <w:rPr>
          <w:rFonts w:ascii="Calibri" w:eastAsia="Calibri" w:hAnsi="Calibri" w:cs="Calibri"/>
          <w:bCs/>
          <w:szCs w:val="72"/>
          <w:lang w:val="sr-Cyrl-RS"/>
        </w:rPr>
        <w:t>приступања Euroclear систему су ширење базе инвеститора кроз лакшу доступност домаћих хартија од вредности страним инвеститорима, што даље смањује трошкове у редукованом ланцу учесника куповине хартија од вредности, а тиме и пад приноса на хартије и ниже трошкове задуживања емитента. Такође, повећава се ликвидност секундарног тржишта ширењем базе инвеститора.</w:t>
      </w:r>
    </w:p>
    <w:p w14:paraId="5C534731" w14:textId="77777777" w:rsidR="00112B0B" w:rsidRPr="003C1157" w:rsidRDefault="00112B0B" w:rsidP="006272DB">
      <w:pPr>
        <w:numPr>
          <w:ilvl w:val="0"/>
          <w:numId w:val="13"/>
        </w:numPr>
        <w:tabs>
          <w:tab w:val="left" w:pos="284"/>
        </w:tabs>
        <w:ind w:left="0" w:firstLine="0"/>
        <w:rPr>
          <w:rFonts w:ascii="Calibri" w:eastAsia="Calibri" w:hAnsi="Calibri" w:cs="Calibri"/>
          <w:bCs/>
          <w:szCs w:val="72"/>
          <w:lang w:val="sr-Cyrl-RS"/>
        </w:rPr>
        <w:sectPr w:rsidR="00112B0B" w:rsidRPr="003C1157" w:rsidSect="006272DB">
          <w:type w:val="continuous"/>
          <w:pgSz w:w="12240" w:h="15840" w:code="1"/>
          <w:pgMar w:top="1440" w:right="1440" w:bottom="1440" w:left="1440" w:header="720" w:footer="720" w:gutter="0"/>
          <w:cols w:num="2" w:space="720"/>
          <w:titlePg/>
          <w:docGrid w:linePitch="360"/>
        </w:sectPr>
      </w:pPr>
    </w:p>
    <w:p w14:paraId="01DF1991" w14:textId="77777777" w:rsidR="00112B0B" w:rsidRPr="003C1157" w:rsidRDefault="00112B0B" w:rsidP="006272DB">
      <w:pPr>
        <w:rPr>
          <w:lang w:val="sr-Cyrl-RS"/>
        </w:rPr>
      </w:pPr>
    </w:p>
    <w:p w14:paraId="66E47F54" w14:textId="77777777" w:rsidR="00112B0B" w:rsidRPr="003C1157" w:rsidRDefault="00112B0B" w:rsidP="006272DB">
      <w:pPr>
        <w:spacing w:after="60"/>
        <w:rPr>
          <w:rFonts w:ascii="Calibri" w:eastAsia="Calibri" w:hAnsi="Calibri" w:cs="Calibri"/>
          <w:color w:val="44546A"/>
          <w:lang w:val="sr-Cyrl-RS"/>
        </w:rPr>
      </w:pPr>
    </w:p>
    <w:p w14:paraId="2F025CC2" w14:textId="77777777" w:rsidR="00D17D25" w:rsidRDefault="00D17D25">
      <w:pPr>
        <w:jc w:val="left"/>
        <w:rPr>
          <w:lang w:val="sr-Cyrl-RS"/>
        </w:rPr>
      </w:pPr>
    </w:p>
    <w:p w14:paraId="2D35233F" w14:textId="0993E512" w:rsidR="00181BDB" w:rsidRPr="0007074F" w:rsidRDefault="00181BDB" w:rsidP="00730D89">
      <w:pPr>
        <w:rPr>
          <w:lang w:val="sr-Cyrl-CS"/>
        </w:rPr>
      </w:pPr>
      <w:r w:rsidRPr="0007074F">
        <w:rPr>
          <w:lang w:val="sr-Cyrl-CS"/>
        </w:rPr>
        <w:br w:type="page"/>
      </w:r>
    </w:p>
    <w:p w14:paraId="2284CBDC" w14:textId="77777777" w:rsidR="008A59AE" w:rsidRPr="0007074F" w:rsidRDefault="008A59AE" w:rsidP="00427829">
      <w:pPr>
        <w:keepNext/>
        <w:keepLines/>
        <w:spacing w:after="0" w:line="240" w:lineRule="auto"/>
        <w:jc w:val="center"/>
        <w:outlineLvl w:val="0"/>
        <w:rPr>
          <w:rFonts w:cstheme="minorHAnsi"/>
          <w:bCs/>
          <w:color w:val="2F5496" w:themeColor="accent1" w:themeShade="BF"/>
          <w:szCs w:val="72"/>
          <w:lang w:val="sr-Cyrl-CS"/>
        </w:rPr>
      </w:pPr>
      <w:bookmarkStart w:id="69" w:name="_Toc529801854"/>
      <w:bookmarkStart w:id="70" w:name="_Toc86923729"/>
      <w:bookmarkStart w:id="71" w:name="_Toc135994508"/>
      <w:bookmarkStart w:id="72" w:name="_Toc146277922"/>
      <w:bookmarkEnd w:id="4"/>
      <w:bookmarkEnd w:id="5"/>
      <w:r w:rsidRPr="0007074F">
        <w:rPr>
          <w:rFonts w:eastAsiaTheme="majorEastAsia" w:cstheme="minorHAnsi"/>
          <w:b/>
          <w:color w:val="2F5496" w:themeColor="accent1" w:themeShade="BF"/>
          <w:sz w:val="26"/>
          <w:szCs w:val="26"/>
          <w:lang w:val="sr-Cyrl-CS"/>
        </w:rPr>
        <w:lastRenderedPageBreak/>
        <w:t>IV. ЗАВРШНЕ ОДРЕДБЕ</w:t>
      </w:r>
      <w:bookmarkEnd w:id="69"/>
      <w:bookmarkEnd w:id="70"/>
      <w:bookmarkEnd w:id="71"/>
      <w:bookmarkEnd w:id="72"/>
    </w:p>
    <w:p w14:paraId="24811DEC" w14:textId="77777777" w:rsidR="008A59AE" w:rsidRPr="0007074F" w:rsidRDefault="008A59AE" w:rsidP="00427829">
      <w:pPr>
        <w:rPr>
          <w:lang w:val="sr-Cyrl-CS"/>
        </w:rPr>
      </w:pPr>
    </w:p>
    <w:p w14:paraId="0865BE08" w14:textId="10E4B060" w:rsidR="008A59AE" w:rsidRPr="0007074F" w:rsidRDefault="00DF34C0" w:rsidP="000D3688">
      <w:pPr>
        <w:spacing w:after="80"/>
        <w:ind w:firstLine="720"/>
        <w:rPr>
          <w:rFonts w:cstheme="minorHAnsi"/>
          <w:bCs/>
          <w:szCs w:val="72"/>
          <w:lang w:val="sr-Cyrl-CS"/>
        </w:rPr>
      </w:pPr>
      <w:r w:rsidRPr="0007074F">
        <w:rPr>
          <w:rFonts w:cstheme="minorHAnsi"/>
          <w:bCs/>
          <w:szCs w:val="72"/>
          <w:lang w:val="sr-Cyrl-CS"/>
        </w:rPr>
        <w:t xml:space="preserve">Саставни део ове </w:t>
      </w:r>
      <w:r w:rsidR="00730D89">
        <w:rPr>
          <w:rFonts w:cstheme="minorHAnsi"/>
          <w:bCs/>
          <w:szCs w:val="72"/>
          <w:lang w:val="sr-Cyrl-RS"/>
        </w:rPr>
        <w:t xml:space="preserve">ревидиране </w:t>
      </w:r>
      <w:r w:rsidR="00730D89" w:rsidRPr="0007074F">
        <w:rPr>
          <w:rFonts w:cstheme="minorHAnsi"/>
          <w:bCs/>
          <w:szCs w:val="72"/>
          <w:lang w:val="sr-Cyrl-CS"/>
        </w:rPr>
        <w:t>Ф</w:t>
      </w:r>
      <w:r w:rsidR="008A59AE" w:rsidRPr="0007074F">
        <w:rPr>
          <w:rFonts w:cstheme="minorHAnsi"/>
          <w:bCs/>
          <w:szCs w:val="72"/>
          <w:lang w:val="sr-Cyrl-CS"/>
        </w:rPr>
        <w:t xml:space="preserve">искалне стратегије чине Прилог 1 – Пројекција основних макроекономских индикатора и Прилог 2 – Фискални оквир </w:t>
      </w:r>
      <w:r w:rsidR="00332897" w:rsidRPr="0007074F">
        <w:rPr>
          <w:rFonts w:cstheme="minorHAnsi"/>
          <w:bCs/>
          <w:szCs w:val="72"/>
          <w:lang w:val="sr-Cyrl-CS"/>
        </w:rPr>
        <w:t xml:space="preserve">сектора </w:t>
      </w:r>
      <w:r w:rsidR="008A59AE" w:rsidRPr="0007074F">
        <w:rPr>
          <w:rFonts w:cstheme="minorHAnsi"/>
          <w:bCs/>
          <w:szCs w:val="72"/>
          <w:lang w:val="sr-Cyrl-CS"/>
        </w:rPr>
        <w:t>државе у 2024. год</w:t>
      </w:r>
      <w:r w:rsidRPr="0007074F">
        <w:rPr>
          <w:rFonts w:cstheme="minorHAnsi"/>
          <w:bCs/>
          <w:szCs w:val="72"/>
          <w:lang w:val="sr-Cyrl-CS"/>
        </w:rPr>
        <w:t>ини, који су одштампани уз ову ф</w:t>
      </w:r>
      <w:r w:rsidR="008A59AE" w:rsidRPr="0007074F">
        <w:rPr>
          <w:rFonts w:cstheme="minorHAnsi"/>
          <w:bCs/>
          <w:szCs w:val="72"/>
          <w:lang w:val="sr-Cyrl-CS"/>
        </w:rPr>
        <w:t>искалну стратегију.</w:t>
      </w:r>
    </w:p>
    <w:p w14:paraId="4237DD79" w14:textId="1977BE88" w:rsidR="008A59AE" w:rsidRPr="0007074F" w:rsidRDefault="008A59AE" w:rsidP="000D3688">
      <w:pPr>
        <w:spacing w:after="80"/>
        <w:ind w:firstLine="720"/>
        <w:rPr>
          <w:rFonts w:cstheme="minorHAnsi"/>
          <w:bCs/>
          <w:szCs w:val="72"/>
          <w:lang w:val="sr-Cyrl-CS"/>
        </w:rPr>
      </w:pPr>
      <w:r w:rsidRPr="0007074F">
        <w:rPr>
          <w:rFonts w:cstheme="minorHAnsi"/>
          <w:bCs/>
          <w:szCs w:val="72"/>
          <w:lang w:val="sr-Cyrl-CS"/>
        </w:rPr>
        <w:t xml:space="preserve">Ову </w:t>
      </w:r>
      <w:r w:rsidR="00730D89">
        <w:rPr>
          <w:rFonts w:cstheme="minorHAnsi"/>
          <w:bCs/>
          <w:szCs w:val="72"/>
          <w:lang w:val="sr-Cyrl-CS"/>
        </w:rPr>
        <w:t xml:space="preserve">ревидирану </w:t>
      </w:r>
      <w:r w:rsidR="00730D89" w:rsidRPr="0007074F">
        <w:rPr>
          <w:rFonts w:cstheme="minorHAnsi"/>
          <w:bCs/>
          <w:szCs w:val="72"/>
          <w:lang w:val="sr-Cyrl-CS"/>
        </w:rPr>
        <w:t>Ф</w:t>
      </w:r>
      <w:r w:rsidRPr="0007074F">
        <w:rPr>
          <w:rFonts w:cstheme="minorHAnsi"/>
          <w:bCs/>
          <w:szCs w:val="72"/>
          <w:lang w:val="sr-Cyrl-CS"/>
        </w:rPr>
        <w:t xml:space="preserve">искалну стратегију доставити </w:t>
      </w:r>
      <w:r w:rsidRPr="0007074F">
        <w:rPr>
          <w:lang w:val="sr-Cyrl-CS"/>
        </w:rPr>
        <w:t xml:space="preserve">одбору Народне скупштине надлежном за финансије, републички буџет и контролу трошења јавних средстава </w:t>
      </w:r>
      <w:r w:rsidRPr="0007074F">
        <w:rPr>
          <w:rFonts w:cstheme="minorHAnsi"/>
          <w:bCs/>
          <w:szCs w:val="72"/>
          <w:lang w:val="sr-Cyrl-CS"/>
        </w:rPr>
        <w:t>и Министарству финансија.</w:t>
      </w:r>
    </w:p>
    <w:p w14:paraId="74383702" w14:textId="7165B0E7" w:rsidR="008A59AE" w:rsidRPr="0007074F" w:rsidRDefault="008A59AE" w:rsidP="00EF6B75">
      <w:pPr>
        <w:ind w:firstLine="720"/>
        <w:rPr>
          <w:lang w:val="sr-Cyrl-CS"/>
        </w:rPr>
      </w:pPr>
      <w:r w:rsidRPr="0007074F">
        <w:rPr>
          <w:rFonts w:cstheme="minorHAnsi"/>
          <w:bCs/>
          <w:szCs w:val="72"/>
          <w:lang w:val="sr-Cyrl-CS"/>
        </w:rPr>
        <w:t xml:space="preserve">Ову </w:t>
      </w:r>
      <w:r w:rsidR="00730D89">
        <w:rPr>
          <w:rFonts w:cstheme="minorHAnsi"/>
          <w:bCs/>
          <w:szCs w:val="72"/>
          <w:lang w:val="sr-Cyrl-CS"/>
        </w:rPr>
        <w:t xml:space="preserve">ревидирану </w:t>
      </w:r>
      <w:r w:rsidR="00730D89" w:rsidRPr="0007074F">
        <w:rPr>
          <w:rFonts w:cstheme="minorHAnsi"/>
          <w:bCs/>
          <w:szCs w:val="72"/>
          <w:lang w:val="sr-Cyrl-CS"/>
        </w:rPr>
        <w:t>Ф</w:t>
      </w:r>
      <w:r w:rsidRPr="0007074F">
        <w:rPr>
          <w:rFonts w:cstheme="minorHAnsi"/>
          <w:bCs/>
          <w:szCs w:val="72"/>
          <w:lang w:val="sr-Cyrl-CS"/>
        </w:rPr>
        <w:t xml:space="preserve">искалну стратегију објавити </w:t>
      </w:r>
      <w:r w:rsidR="00730D89" w:rsidRPr="00730D89">
        <w:rPr>
          <w:rFonts w:cstheme="minorHAnsi"/>
          <w:bCs/>
          <w:szCs w:val="72"/>
          <w:lang w:val="sr-Cyrl-CS"/>
        </w:rPr>
        <w:t xml:space="preserve">у „Службеном гласнику Републике Србије” и </w:t>
      </w:r>
      <w:r w:rsidRPr="0007074F">
        <w:rPr>
          <w:rFonts w:cstheme="minorHAnsi"/>
          <w:bCs/>
          <w:szCs w:val="72"/>
          <w:lang w:val="sr-Cyrl-CS"/>
        </w:rPr>
        <w:t>на интернет страници Владе и Министарства финансија.</w:t>
      </w:r>
    </w:p>
    <w:p w14:paraId="2BA32F94" w14:textId="77777777" w:rsidR="008A59AE" w:rsidRPr="0007074F" w:rsidRDefault="008A59AE" w:rsidP="00427829">
      <w:pPr>
        <w:spacing w:after="0"/>
        <w:jc w:val="right"/>
        <w:rPr>
          <w:rFonts w:cstheme="minorHAnsi"/>
          <w:bCs/>
          <w:szCs w:val="72"/>
          <w:lang w:val="sr-Cyrl-CS"/>
        </w:rPr>
      </w:pPr>
    </w:p>
    <w:p w14:paraId="2E651151" w14:textId="77777777" w:rsidR="008A59AE" w:rsidRPr="0007074F" w:rsidRDefault="008A59AE" w:rsidP="00427829">
      <w:pPr>
        <w:spacing w:after="0"/>
        <w:jc w:val="right"/>
        <w:rPr>
          <w:rFonts w:cstheme="minorHAnsi"/>
          <w:bCs/>
          <w:szCs w:val="72"/>
          <w:lang w:val="sr-Cyrl-CS"/>
        </w:rPr>
      </w:pPr>
    </w:p>
    <w:p w14:paraId="76560E04" w14:textId="02EE21EE" w:rsidR="008A59AE" w:rsidRPr="00A22B97" w:rsidRDefault="00730D89" w:rsidP="000D3688">
      <w:pPr>
        <w:tabs>
          <w:tab w:val="left" w:pos="1189"/>
        </w:tabs>
        <w:spacing w:after="0"/>
        <w:rPr>
          <w:rFonts w:cstheme="minorHAnsi"/>
          <w:bCs/>
          <w:szCs w:val="72"/>
          <w:lang w:val="sr-Latn-RS"/>
        </w:rPr>
      </w:pPr>
      <w:r>
        <w:rPr>
          <w:rFonts w:cstheme="minorHAnsi"/>
          <w:bCs/>
          <w:szCs w:val="72"/>
          <w:lang w:val="sr-Cyrl-CS"/>
        </w:rPr>
        <w:t>05 Број:</w:t>
      </w:r>
      <w:r w:rsidR="00500481">
        <w:rPr>
          <w:rFonts w:cstheme="minorHAnsi"/>
          <w:bCs/>
          <w:szCs w:val="72"/>
          <w:lang w:val="sr-Cyrl-CS"/>
        </w:rPr>
        <w:t xml:space="preserve"> 400-9085/2023</w:t>
      </w:r>
    </w:p>
    <w:p w14:paraId="5E649521" w14:textId="0F83D7AE" w:rsidR="008A59AE" w:rsidRPr="000A42BC" w:rsidRDefault="00730D89" w:rsidP="000D3688">
      <w:pPr>
        <w:spacing w:after="0"/>
        <w:rPr>
          <w:rFonts w:cstheme="minorHAnsi"/>
          <w:bCs/>
          <w:szCs w:val="72"/>
          <w:lang w:val="sr-Cyrl-RS"/>
        </w:rPr>
      </w:pPr>
      <w:r>
        <w:rPr>
          <w:rFonts w:cstheme="minorHAnsi"/>
          <w:bCs/>
          <w:szCs w:val="72"/>
          <w:lang w:val="sr-Cyrl-CS"/>
        </w:rPr>
        <w:t>У Београду,</w:t>
      </w:r>
      <w:r w:rsidR="000A42BC">
        <w:rPr>
          <w:rFonts w:cstheme="minorHAnsi"/>
          <w:bCs/>
          <w:szCs w:val="72"/>
          <w:lang w:val="en-GB"/>
        </w:rPr>
        <w:t xml:space="preserve"> </w:t>
      </w:r>
      <w:r w:rsidR="00500481">
        <w:rPr>
          <w:rFonts w:cstheme="minorHAnsi"/>
          <w:bCs/>
          <w:szCs w:val="72"/>
          <w:lang w:val="sr-Cyrl-RS"/>
        </w:rPr>
        <w:t xml:space="preserve">5. </w:t>
      </w:r>
      <w:r w:rsidR="000A42BC">
        <w:rPr>
          <w:rFonts w:cstheme="minorHAnsi"/>
          <w:bCs/>
          <w:szCs w:val="72"/>
          <w:lang w:val="sr-Cyrl-RS"/>
        </w:rPr>
        <w:t>октобра 2023. године</w:t>
      </w:r>
    </w:p>
    <w:p w14:paraId="53B9FF8F" w14:textId="77777777" w:rsidR="008A59AE" w:rsidRPr="0007074F" w:rsidRDefault="008A59AE" w:rsidP="00427829">
      <w:pPr>
        <w:spacing w:after="0"/>
        <w:jc w:val="right"/>
        <w:rPr>
          <w:rFonts w:cstheme="minorHAnsi"/>
          <w:bCs/>
          <w:szCs w:val="72"/>
          <w:lang w:val="sr-Cyrl-CS"/>
        </w:rPr>
      </w:pPr>
    </w:p>
    <w:p w14:paraId="218DF25C" w14:textId="77777777" w:rsidR="008A59AE" w:rsidRPr="0007074F" w:rsidRDefault="008A59AE" w:rsidP="000D3688">
      <w:pPr>
        <w:spacing w:after="0"/>
        <w:jc w:val="center"/>
        <w:rPr>
          <w:rFonts w:cstheme="minorHAnsi"/>
          <w:bCs/>
          <w:szCs w:val="72"/>
          <w:lang w:val="sr-Cyrl-CS"/>
        </w:rPr>
      </w:pPr>
      <w:r w:rsidRPr="0007074F">
        <w:rPr>
          <w:rFonts w:cstheme="minorHAnsi"/>
          <w:bCs/>
          <w:szCs w:val="72"/>
          <w:lang w:val="sr-Cyrl-CS"/>
        </w:rPr>
        <w:t>В Л А Д А</w:t>
      </w:r>
    </w:p>
    <w:p w14:paraId="5D976BFE" w14:textId="77777777" w:rsidR="008A59AE" w:rsidRPr="0007074F" w:rsidRDefault="008A59AE" w:rsidP="000D3688">
      <w:pPr>
        <w:spacing w:after="0"/>
        <w:jc w:val="right"/>
        <w:rPr>
          <w:rFonts w:cstheme="minorHAnsi"/>
          <w:bCs/>
          <w:szCs w:val="72"/>
          <w:lang w:val="sr-Cyrl-CS"/>
        </w:rPr>
      </w:pPr>
    </w:p>
    <w:p w14:paraId="26FA4607" w14:textId="29E4CD94" w:rsidR="008A59AE" w:rsidRPr="0007074F" w:rsidRDefault="00444A1A" w:rsidP="00444A1A">
      <w:pPr>
        <w:spacing w:after="0"/>
        <w:jc w:val="left"/>
        <w:rPr>
          <w:rFonts w:cstheme="minorHAnsi"/>
          <w:bCs/>
          <w:szCs w:val="72"/>
          <w:lang w:val="sr-Cyrl-CS"/>
        </w:rPr>
      </w:pPr>
      <w:r w:rsidRPr="0007074F">
        <w:rPr>
          <w:rFonts w:cstheme="minorHAnsi"/>
          <w:bCs/>
          <w:szCs w:val="72"/>
          <w:lang w:val="sr-Cyrl-CS"/>
        </w:rPr>
        <w:t xml:space="preserve">                                                                                                                                                                           ПРЕДСЕДНИК</w:t>
      </w:r>
    </w:p>
    <w:p w14:paraId="6A5D3BE1" w14:textId="77777777" w:rsidR="008A59AE" w:rsidRPr="0007074F" w:rsidRDefault="008A59AE" w:rsidP="000D3688">
      <w:pPr>
        <w:spacing w:after="0"/>
        <w:rPr>
          <w:rFonts w:cstheme="minorHAnsi"/>
          <w:bCs/>
          <w:szCs w:val="72"/>
          <w:lang w:val="sr-Cyrl-CS"/>
        </w:rPr>
      </w:pPr>
    </w:p>
    <w:p w14:paraId="15CF0F91" w14:textId="3180705D" w:rsidR="008A59AE" w:rsidRPr="00A22B97" w:rsidRDefault="00444A1A" w:rsidP="000D3688">
      <w:pPr>
        <w:spacing w:after="0"/>
        <w:jc w:val="center"/>
        <w:rPr>
          <w:rFonts w:cstheme="minorHAnsi"/>
          <w:bCs/>
          <w:szCs w:val="72"/>
          <w:lang w:val="sr-Cyrl-RS"/>
        </w:rPr>
      </w:pPr>
      <w:r w:rsidRPr="0007074F">
        <w:rPr>
          <w:rFonts w:cstheme="minorHAnsi"/>
          <w:bCs/>
          <w:szCs w:val="72"/>
          <w:lang w:val="sr-Cyrl-CS"/>
        </w:rPr>
        <w:t xml:space="preserve">                                                                                                                                                                  Ана Брнабић</w:t>
      </w:r>
      <w:r w:rsidR="00500481">
        <w:rPr>
          <w:rFonts w:cstheme="minorHAnsi"/>
          <w:bCs/>
          <w:szCs w:val="72"/>
          <w:lang w:val="sr-Cyrl-CS"/>
        </w:rPr>
        <w:t>, с.р.</w:t>
      </w:r>
    </w:p>
    <w:p w14:paraId="4394E593" w14:textId="77777777" w:rsidR="008A59AE" w:rsidRPr="0007074F" w:rsidRDefault="008A59AE" w:rsidP="000D3688">
      <w:pPr>
        <w:spacing w:after="0"/>
        <w:jc w:val="right"/>
        <w:rPr>
          <w:rFonts w:cstheme="minorHAnsi"/>
          <w:bCs/>
          <w:szCs w:val="72"/>
          <w:lang w:val="sr-Cyrl-CS"/>
        </w:rPr>
      </w:pPr>
    </w:p>
    <w:p w14:paraId="4237FF36" w14:textId="77777777" w:rsidR="008A59AE" w:rsidRPr="0007074F" w:rsidRDefault="008A59AE" w:rsidP="00427829">
      <w:pPr>
        <w:spacing w:after="0"/>
        <w:jc w:val="right"/>
        <w:rPr>
          <w:rFonts w:cstheme="minorHAnsi"/>
          <w:bCs/>
          <w:szCs w:val="72"/>
          <w:lang w:val="sr-Cyrl-CS"/>
        </w:rPr>
      </w:pPr>
    </w:p>
    <w:p w14:paraId="7946870A" w14:textId="77777777" w:rsidR="008A59AE" w:rsidRPr="0007074F" w:rsidRDefault="008A59AE" w:rsidP="008A59AE">
      <w:pPr>
        <w:rPr>
          <w:lang w:val="sr-Cyrl-CS"/>
        </w:rPr>
      </w:pPr>
    </w:p>
    <w:p w14:paraId="21B79554" w14:textId="77777777" w:rsidR="008A59AE" w:rsidRPr="0007074F" w:rsidRDefault="008A59AE" w:rsidP="008A59AE">
      <w:pPr>
        <w:rPr>
          <w:spacing w:val="-2"/>
          <w:lang w:val="sr-Cyrl-CS"/>
        </w:rPr>
      </w:pPr>
    </w:p>
    <w:p w14:paraId="1AE87363" w14:textId="77777777" w:rsidR="008A59AE" w:rsidRPr="0007074F" w:rsidRDefault="008A59AE" w:rsidP="008A59AE">
      <w:pPr>
        <w:rPr>
          <w:spacing w:val="-2"/>
          <w:lang w:val="sr-Cyrl-CS"/>
        </w:rPr>
      </w:pPr>
    </w:p>
    <w:p w14:paraId="629F5576" w14:textId="77777777" w:rsidR="008A59AE" w:rsidRPr="0007074F" w:rsidRDefault="008A59AE" w:rsidP="008A59AE">
      <w:pPr>
        <w:rPr>
          <w:lang w:val="sr-Cyrl-CS"/>
        </w:rPr>
      </w:pPr>
    </w:p>
    <w:p w14:paraId="2E73F5E7" w14:textId="061E75DA" w:rsidR="008A59AE" w:rsidRPr="0007074F" w:rsidRDefault="008A59AE">
      <w:pPr>
        <w:jc w:val="left"/>
        <w:rPr>
          <w:rFonts w:ascii="Calibri" w:eastAsia="Calibri" w:hAnsi="Calibri" w:cs="Calibri"/>
          <w:color w:val="44546A"/>
          <w:lang w:val="sr-Cyrl-CS"/>
        </w:rPr>
      </w:pPr>
      <w:r w:rsidRPr="0007074F">
        <w:rPr>
          <w:rFonts w:ascii="Calibri" w:eastAsia="Calibri" w:hAnsi="Calibri" w:cs="Calibri"/>
          <w:color w:val="44546A"/>
          <w:lang w:val="sr-Cyrl-CS"/>
        </w:rPr>
        <w:br w:type="page"/>
      </w:r>
    </w:p>
    <w:p w14:paraId="07404513" w14:textId="77777777" w:rsidR="00596354" w:rsidRPr="0007074F" w:rsidRDefault="00596354" w:rsidP="00953528">
      <w:pPr>
        <w:pStyle w:val="Heading1"/>
        <w:spacing w:after="160"/>
        <w:rPr>
          <w:rFonts w:asciiTheme="minorHAnsi" w:hAnsiTheme="minorHAnsi" w:cstheme="minorHAnsi"/>
          <w:color w:val="002060"/>
          <w:sz w:val="24"/>
          <w:szCs w:val="26"/>
          <w:lang w:val="sr-Cyrl-CS"/>
        </w:rPr>
      </w:pPr>
      <w:bookmarkStart w:id="73" w:name="_Toc146277923"/>
      <w:bookmarkStart w:id="74" w:name="_Toc119654152"/>
      <w:bookmarkStart w:id="75" w:name="_Toc135994509"/>
      <w:bookmarkStart w:id="76" w:name="_Toc86923730"/>
      <w:bookmarkStart w:id="77" w:name="_Toc23342474"/>
      <w:bookmarkStart w:id="78" w:name="_Toc530635112"/>
      <w:r w:rsidRPr="0007074F">
        <w:rPr>
          <w:rFonts w:asciiTheme="minorHAnsi" w:hAnsiTheme="minorHAnsi" w:cstheme="minorHAnsi"/>
          <w:color w:val="002060"/>
          <w:sz w:val="24"/>
          <w:szCs w:val="26"/>
          <w:lang w:val="sr-Cyrl-CS"/>
        </w:rPr>
        <w:lastRenderedPageBreak/>
        <w:t>Прилог 1 – Пројекција основних макроекономских индикатора</w:t>
      </w:r>
      <w:bookmarkEnd w:id="73"/>
    </w:p>
    <w:tbl>
      <w:tblPr>
        <w:tblStyle w:val="TableGrid1"/>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8"/>
        <w:gridCol w:w="1129"/>
        <w:gridCol w:w="1131"/>
        <w:gridCol w:w="1129"/>
        <w:gridCol w:w="1123"/>
      </w:tblGrid>
      <w:tr w:rsidR="00596354" w:rsidRPr="0007074F" w14:paraId="0F780F3B" w14:textId="77777777" w:rsidTr="00953528">
        <w:trPr>
          <w:trHeight w:val="551"/>
          <w:jc w:val="center"/>
        </w:trPr>
        <w:tc>
          <w:tcPr>
            <w:tcW w:w="2590" w:type="pct"/>
            <w:tcBorders>
              <w:top w:val="single" w:sz="4" w:space="0" w:color="002060"/>
              <w:bottom w:val="single" w:sz="4" w:space="0" w:color="002060"/>
            </w:tcBorders>
            <w:vAlign w:val="center"/>
            <w:hideMark/>
          </w:tcPr>
          <w:p w14:paraId="47A6A372" w14:textId="77777777" w:rsidR="00596354" w:rsidRPr="0007074F" w:rsidRDefault="00596354" w:rsidP="00953528">
            <w:pPr>
              <w:rPr>
                <w:rFonts w:eastAsia="Calibri" w:cstheme="minorHAnsi"/>
                <w:iCs/>
                <w:color w:val="002060"/>
                <w:sz w:val="18"/>
                <w:szCs w:val="18"/>
                <w:lang w:val="sr-Cyrl-CS"/>
              </w:rPr>
            </w:pPr>
          </w:p>
        </w:tc>
        <w:tc>
          <w:tcPr>
            <w:tcW w:w="603" w:type="pct"/>
            <w:tcBorders>
              <w:top w:val="single" w:sz="4" w:space="0" w:color="002060"/>
              <w:bottom w:val="single" w:sz="4" w:space="0" w:color="002060"/>
            </w:tcBorders>
            <w:noWrap/>
            <w:vAlign w:val="center"/>
          </w:tcPr>
          <w:p w14:paraId="5ED9396F" w14:textId="77777777" w:rsidR="00596354" w:rsidRPr="0007074F" w:rsidRDefault="00596354" w:rsidP="00953528">
            <w:pPr>
              <w:jc w:val="center"/>
              <w:rPr>
                <w:rFonts w:eastAsia="Calibri" w:cstheme="minorHAnsi"/>
                <w:iCs/>
                <w:color w:val="002060"/>
                <w:szCs w:val="18"/>
                <w:lang w:val="sr-Cyrl-CS"/>
              </w:rPr>
            </w:pPr>
            <w:r w:rsidRPr="0007074F">
              <w:rPr>
                <w:rFonts w:eastAsia="Calibri" w:cstheme="minorHAnsi"/>
                <w:iCs/>
                <w:color w:val="002060"/>
                <w:szCs w:val="18"/>
                <w:lang w:val="sr-Cyrl-CS"/>
              </w:rPr>
              <w:t>2023</w:t>
            </w:r>
          </w:p>
        </w:tc>
        <w:tc>
          <w:tcPr>
            <w:tcW w:w="604" w:type="pct"/>
            <w:tcBorders>
              <w:top w:val="single" w:sz="4" w:space="0" w:color="002060"/>
              <w:bottom w:val="single" w:sz="4" w:space="0" w:color="002060"/>
            </w:tcBorders>
            <w:noWrap/>
            <w:vAlign w:val="center"/>
            <w:hideMark/>
          </w:tcPr>
          <w:p w14:paraId="4E7D3C2D" w14:textId="77777777" w:rsidR="00596354" w:rsidRPr="0007074F" w:rsidRDefault="00596354" w:rsidP="00953528">
            <w:pPr>
              <w:jc w:val="center"/>
              <w:rPr>
                <w:rFonts w:eastAsia="Calibri" w:cstheme="minorHAnsi"/>
                <w:iCs/>
                <w:color w:val="002060"/>
                <w:sz w:val="18"/>
                <w:szCs w:val="18"/>
                <w:lang w:val="sr-Cyrl-CS"/>
              </w:rPr>
            </w:pPr>
            <w:r w:rsidRPr="0007074F">
              <w:rPr>
                <w:color w:val="002060"/>
                <w:lang w:val="sr-Cyrl-CS"/>
              </w:rPr>
              <w:t>2024</w:t>
            </w:r>
          </w:p>
        </w:tc>
        <w:tc>
          <w:tcPr>
            <w:tcW w:w="603" w:type="pct"/>
            <w:tcBorders>
              <w:top w:val="single" w:sz="4" w:space="0" w:color="002060"/>
              <w:bottom w:val="single" w:sz="4" w:space="0" w:color="002060"/>
            </w:tcBorders>
            <w:noWrap/>
            <w:vAlign w:val="center"/>
            <w:hideMark/>
          </w:tcPr>
          <w:p w14:paraId="357A76EB" w14:textId="77777777" w:rsidR="00596354" w:rsidRPr="0007074F" w:rsidRDefault="00596354" w:rsidP="00953528">
            <w:pPr>
              <w:jc w:val="center"/>
              <w:rPr>
                <w:rFonts w:eastAsia="Calibri" w:cstheme="minorHAnsi"/>
                <w:iCs/>
                <w:color w:val="002060"/>
                <w:sz w:val="18"/>
                <w:szCs w:val="18"/>
                <w:lang w:val="sr-Cyrl-CS"/>
              </w:rPr>
            </w:pPr>
            <w:r w:rsidRPr="0007074F">
              <w:rPr>
                <w:color w:val="002060"/>
                <w:lang w:val="sr-Cyrl-CS"/>
              </w:rPr>
              <w:t>2025</w:t>
            </w:r>
          </w:p>
        </w:tc>
        <w:tc>
          <w:tcPr>
            <w:tcW w:w="600" w:type="pct"/>
            <w:tcBorders>
              <w:top w:val="single" w:sz="4" w:space="0" w:color="002060"/>
              <w:bottom w:val="single" w:sz="4" w:space="0" w:color="002060"/>
            </w:tcBorders>
            <w:noWrap/>
            <w:vAlign w:val="center"/>
            <w:hideMark/>
          </w:tcPr>
          <w:p w14:paraId="3630F6C7" w14:textId="77777777" w:rsidR="00596354" w:rsidRPr="0007074F" w:rsidRDefault="00596354" w:rsidP="00953528">
            <w:pPr>
              <w:jc w:val="center"/>
              <w:rPr>
                <w:rFonts w:eastAsia="Calibri" w:cstheme="minorHAnsi"/>
                <w:iCs/>
                <w:color w:val="002060"/>
                <w:sz w:val="18"/>
                <w:szCs w:val="18"/>
                <w:lang w:val="sr-Cyrl-CS"/>
              </w:rPr>
            </w:pPr>
            <w:r w:rsidRPr="0007074F">
              <w:rPr>
                <w:color w:val="002060"/>
                <w:lang w:val="sr-Cyrl-CS"/>
              </w:rPr>
              <w:t>2026</w:t>
            </w:r>
          </w:p>
        </w:tc>
      </w:tr>
      <w:tr w:rsidR="00596354" w:rsidRPr="0007074F" w14:paraId="43F4B012" w14:textId="77777777" w:rsidTr="000D3688">
        <w:trPr>
          <w:trHeight w:val="281"/>
          <w:jc w:val="center"/>
        </w:trPr>
        <w:tc>
          <w:tcPr>
            <w:tcW w:w="2590" w:type="pct"/>
            <w:tcBorders>
              <w:top w:val="single" w:sz="4" w:space="0" w:color="002060"/>
            </w:tcBorders>
            <w:noWrap/>
            <w:vAlign w:val="center"/>
            <w:hideMark/>
          </w:tcPr>
          <w:p w14:paraId="0BED033C" w14:textId="77777777" w:rsidR="00596354" w:rsidRPr="0007074F" w:rsidRDefault="00596354" w:rsidP="000D3688">
            <w:pPr>
              <w:jc w:val="left"/>
              <w:rPr>
                <w:rFonts w:eastAsia="Calibri" w:cstheme="minorHAnsi"/>
                <w:color w:val="002060"/>
                <w:sz w:val="18"/>
                <w:szCs w:val="18"/>
                <w:lang w:val="sr-Cyrl-CS"/>
              </w:rPr>
            </w:pPr>
            <w:r w:rsidRPr="0007074F">
              <w:rPr>
                <w:rFonts w:eastAsia="Calibri" w:cstheme="minorHAnsi"/>
                <w:color w:val="002060"/>
                <w:sz w:val="18"/>
                <w:szCs w:val="18"/>
                <w:lang w:val="sr-Cyrl-CS"/>
              </w:rPr>
              <w:t>Стопа реалног раста БДП, %</w:t>
            </w:r>
          </w:p>
        </w:tc>
        <w:tc>
          <w:tcPr>
            <w:tcW w:w="603" w:type="pct"/>
            <w:tcBorders>
              <w:top w:val="nil"/>
              <w:left w:val="nil"/>
              <w:bottom w:val="nil"/>
              <w:right w:val="nil"/>
            </w:tcBorders>
            <w:shd w:val="clear" w:color="auto" w:fill="auto"/>
            <w:noWrap/>
            <w:vAlign w:val="center"/>
          </w:tcPr>
          <w:p w14:paraId="1EA1BC23" w14:textId="77777777" w:rsidR="00596354" w:rsidRPr="0007074F" w:rsidRDefault="00596354" w:rsidP="000D3688">
            <w:pPr>
              <w:jc w:val="center"/>
              <w:rPr>
                <w:rFonts w:cstheme="minorHAnsi"/>
                <w:color w:val="002060"/>
                <w:sz w:val="18"/>
                <w:szCs w:val="18"/>
                <w:lang w:val="sr-Cyrl-CS"/>
              </w:rPr>
            </w:pPr>
            <w:r w:rsidRPr="0007074F">
              <w:rPr>
                <w:color w:val="002060"/>
                <w:sz w:val="18"/>
                <w:lang w:val="sr-Cyrl-CS"/>
              </w:rPr>
              <w:t>2,5</w:t>
            </w:r>
          </w:p>
        </w:tc>
        <w:tc>
          <w:tcPr>
            <w:tcW w:w="604" w:type="pct"/>
            <w:tcBorders>
              <w:top w:val="nil"/>
              <w:left w:val="nil"/>
              <w:bottom w:val="nil"/>
              <w:right w:val="nil"/>
            </w:tcBorders>
            <w:shd w:val="clear" w:color="auto" w:fill="auto"/>
            <w:noWrap/>
            <w:vAlign w:val="center"/>
          </w:tcPr>
          <w:p w14:paraId="3DBB4C0E" w14:textId="77777777" w:rsidR="00596354" w:rsidRPr="0007074F" w:rsidRDefault="00596354" w:rsidP="000D3688">
            <w:pPr>
              <w:jc w:val="center"/>
              <w:rPr>
                <w:rFonts w:cstheme="minorHAnsi"/>
                <w:color w:val="002060"/>
                <w:sz w:val="18"/>
                <w:szCs w:val="18"/>
                <w:lang w:val="sr-Cyrl-CS"/>
              </w:rPr>
            </w:pPr>
            <w:r w:rsidRPr="0007074F">
              <w:rPr>
                <w:color w:val="002060"/>
                <w:sz w:val="18"/>
                <w:lang w:val="sr-Cyrl-CS"/>
              </w:rPr>
              <w:t>3,5</w:t>
            </w:r>
          </w:p>
        </w:tc>
        <w:tc>
          <w:tcPr>
            <w:tcW w:w="603" w:type="pct"/>
            <w:tcBorders>
              <w:top w:val="nil"/>
              <w:left w:val="nil"/>
              <w:bottom w:val="nil"/>
              <w:right w:val="nil"/>
            </w:tcBorders>
            <w:shd w:val="clear" w:color="auto" w:fill="auto"/>
            <w:noWrap/>
            <w:vAlign w:val="center"/>
          </w:tcPr>
          <w:p w14:paraId="5561778C" w14:textId="77777777" w:rsidR="00596354" w:rsidRPr="0007074F" w:rsidRDefault="00596354" w:rsidP="000D3688">
            <w:pPr>
              <w:jc w:val="center"/>
              <w:rPr>
                <w:rFonts w:cstheme="minorHAnsi"/>
                <w:color w:val="002060"/>
                <w:sz w:val="18"/>
                <w:szCs w:val="18"/>
                <w:lang w:val="sr-Cyrl-CS"/>
              </w:rPr>
            </w:pPr>
            <w:r w:rsidRPr="0007074F">
              <w:rPr>
                <w:color w:val="002060"/>
                <w:sz w:val="18"/>
                <w:lang w:val="sr-Cyrl-CS"/>
              </w:rPr>
              <w:t>4,0</w:t>
            </w:r>
          </w:p>
        </w:tc>
        <w:tc>
          <w:tcPr>
            <w:tcW w:w="600" w:type="pct"/>
            <w:tcBorders>
              <w:top w:val="nil"/>
              <w:left w:val="nil"/>
              <w:bottom w:val="nil"/>
              <w:right w:val="nil"/>
            </w:tcBorders>
            <w:shd w:val="clear" w:color="auto" w:fill="auto"/>
            <w:noWrap/>
            <w:vAlign w:val="center"/>
          </w:tcPr>
          <w:p w14:paraId="1734141F" w14:textId="77777777" w:rsidR="00596354" w:rsidRPr="0007074F" w:rsidRDefault="00596354" w:rsidP="000D3688">
            <w:pPr>
              <w:jc w:val="center"/>
              <w:rPr>
                <w:rFonts w:cstheme="minorHAnsi"/>
                <w:color w:val="002060"/>
                <w:sz w:val="18"/>
                <w:szCs w:val="18"/>
                <w:lang w:val="sr-Cyrl-CS"/>
              </w:rPr>
            </w:pPr>
            <w:r w:rsidRPr="0007074F">
              <w:rPr>
                <w:color w:val="002060"/>
                <w:sz w:val="18"/>
                <w:lang w:val="sr-Cyrl-CS"/>
              </w:rPr>
              <w:t>4,3</w:t>
            </w:r>
          </w:p>
        </w:tc>
      </w:tr>
      <w:tr w:rsidR="00596354" w:rsidRPr="0007074F" w14:paraId="232A8E8E" w14:textId="77777777" w:rsidTr="000D3688">
        <w:trPr>
          <w:trHeight w:val="281"/>
          <w:jc w:val="center"/>
        </w:trPr>
        <w:tc>
          <w:tcPr>
            <w:tcW w:w="2590" w:type="pct"/>
            <w:noWrap/>
            <w:vAlign w:val="center"/>
            <w:hideMark/>
          </w:tcPr>
          <w:p w14:paraId="1D136EF8" w14:textId="77777777" w:rsidR="00596354" w:rsidRPr="0007074F" w:rsidRDefault="00596354" w:rsidP="00886C5E">
            <w:pPr>
              <w:jc w:val="left"/>
              <w:rPr>
                <w:rFonts w:eastAsia="Calibri" w:cstheme="minorHAnsi"/>
                <w:bCs/>
                <w:color w:val="002060"/>
                <w:sz w:val="18"/>
                <w:szCs w:val="18"/>
                <w:lang w:val="sr-Cyrl-CS"/>
              </w:rPr>
            </w:pPr>
            <w:r w:rsidRPr="0007074F">
              <w:rPr>
                <w:rFonts w:eastAsia="Calibri" w:cstheme="minorHAnsi"/>
                <w:color w:val="002060"/>
                <w:sz w:val="18"/>
                <w:szCs w:val="18"/>
                <w:lang w:val="sr-Cyrl-CS"/>
              </w:rPr>
              <w:t>БДП у текућим тржишним ценама</w:t>
            </w:r>
            <w:r>
              <w:rPr>
                <w:rFonts w:eastAsia="Calibri" w:cstheme="minorHAnsi"/>
                <w:color w:val="002060"/>
                <w:sz w:val="18"/>
                <w:szCs w:val="18"/>
                <w:lang w:val="en-GB"/>
              </w:rPr>
              <w:t xml:space="preserve"> </w:t>
            </w:r>
            <w:r w:rsidRPr="0007074F">
              <w:rPr>
                <w:rFonts w:eastAsia="Calibri" w:cstheme="minorHAnsi"/>
                <w:color w:val="002060"/>
                <w:sz w:val="18"/>
                <w:szCs w:val="18"/>
                <w:lang w:val="sr-Cyrl-CS"/>
              </w:rPr>
              <w:t>(у млрд динара)</w:t>
            </w:r>
          </w:p>
        </w:tc>
        <w:tc>
          <w:tcPr>
            <w:tcW w:w="603" w:type="pct"/>
            <w:tcBorders>
              <w:top w:val="nil"/>
              <w:left w:val="nil"/>
              <w:bottom w:val="nil"/>
              <w:right w:val="nil"/>
            </w:tcBorders>
            <w:shd w:val="clear" w:color="auto" w:fill="auto"/>
            <w:noWrap/>
            <w:vAlign w:val="center"/>
          </w:tcPr>
          <w:p w14:paraId="0D94DE10" w14:textId="77777777" w:rsidR="00596354" w:rsidRPr="0007074F" w:rsidRDefault="00596354" w:rsidP="000D3688">
            <w:pPr>
              <w:jc w:val="center"/>
              <w:rPr>
                <w:rFonts w:cstheme="minorHAnsi"/>
                <w:color w:val="002060"/>
                <w:sz w:val="18"/>
                <w:szCs w:val="18"/>
                <w:lang w:val="sr-Cyrl-CS"/>
              </w:rPr>
            </w:pPr>
            <w:r w:rsidRPr="0007074F">
              <w:rPr>
                <w:color w:val="002060"/>
                <w:sz w:val="18"/>
                <w:lang w:val="sr-Cyrl-CS"/>
              </w:rPr>
              <w:t>8.103,5</w:t>
            </w:r>
          </w:p>
        </w:tc>
        <w:tc>
          <w:tcPr>
            <w:tcW w:w="604" w:type="pct"/>
            <w:tcBorders>
              <w:top w:val="nil"/>
              <w:left w:val="nil"/>
              <w:bottom w:val="nil"/>
              <w:right w:val="nil"/>
            </w:tcBorders>
            <w:shd w:val="clear" w:color="auto" w:fill="auto"/>
            <w:noWrap/>
            <w:vAlign w:val="center"/>
          </w:tcPr>
          <w:p w14:paraId="2317C79B" w14:textId="77777777" w:rsidR="00596354" w:rsidRPr="008A7370" w:rsidRDefault="00596354" w:rsidP="000D3688">
            <w:pPr>
              <w:jc w:val="center"/>
              <w:rPr>
                <w:rFonts w:cstheme="minorHAnsi"/>
                <w:color w:val="002060"/>
                <w:sz w:val="18"/>
                <w:szCs w:val="18"/>
              </w:rPr>
            </w:pPr>
            <w:r>
              <w:rPr>
                <w:color w:val="002060"/>
                <w:sz w:val="18"/>
                <w:lang w:val="sr-Cyrl-CS"/>
              </w:rPr>
              <w:t>8.773,</w:t>
            </w:r>
            <w:r>
              <w:rPr>
                <w:color w:val="002060"/>
                <w:sz w:val="18"/>
              </w:rPr>
              <w:t>7</w:t>
            </w:r>
          </w:p>
        </w:tc>
        <w:tc>
          <w:tcPr>
            <w:tcW w:w="603" w:type="pct"/>
            <w:tcBorders>
              <w:top w:val="nil"/>
              <w:left w:val="nil"/>
              <w:bottom w:val="nil"/>
              <w:right w:val="nil"/>
            </w:tcBorders>
            <w:shd w:val="clear" w:color="auto" w:fill="auto"/>
            <w:noWrap/>
            <w:vAlign w:val="center"/>
          </w:tcPr>
          <w:p w14:paraId="62515D33" w14:textId="77777777" w:rsidR="00596354" w:rsidRPr="0007074F" w:rsidRDefault="00596354" w:rsidP="000D3688">
            <w:pPr>
              <w:jc w:val="center"/>
              <w:rPr>
                <w:rFonts w:cstheme="minorHAnsi"/>
                <w:color w:val="002060"/>
                <w:sz w:val="18"/>
                <w:szCs w:val="18"/>
                <w:lang w:val="sr-Cyrl-CS"/>
              </w:rPr>
            </w:pPr>
            <w:r>
              <w:rPr>
                <w:color w:val="002060"/>
                <w:sz w:val="18"/>
                <w:lang w:val="sr-Cyrl-CS"/>
              </w:rPr>
              <w:t>9.461,1</w:t>
            </w:r>
          </w:p>
        </w:tc>
        <w:tc>
          <w:tcPr>
            <w:tcW w:w="600" w:type="pct"/>
            <w:tcBorders>
              <w:top w:val="nil"/>
              <w:left w:val="nil"/>
              <w:bottom w:val="nil"/>
              <w:right w:val="nil"/>
            </w:tcBorders>
            <w:shd w:val="clear" w:color="auto" w:fill="auto"/>
            <w:noWrap/>
            <w:vAlign w:val="center"/>
          </w:tcPr>
          <w:p w14:paraId="667149D6" w14:textId="77777777" w:rsidR="00596354" w:rsidRPr="0007074F" w:rsidRDefault="00596354" w:rsidP="000D3688">
            <w:pPr>
              <w:jc w:val="center"/>
              <w:rPr>
                <w:rFonts w:cstheme="minorHAnsi"/>
                <w:color w:val="002060"/>
                <w:sz w:val="18"/>
                <w:szCs w:val="18"/>
                <w:lang w:val="sr-Cyrl-CS"/>
              </w:rPr>
            </w:pPr>
            <w:r w:rsidRPr="0007074F">
              <w:rPr>
                <w:color w:val="002060"/>
                <w:sz w:val="18"/>
                <w:lang w:val="sr-Cyrl-CS"/>
              </w:rPr>
              <w:t>10.148,4</w:t>
            </w:r>
          </w:p>
        </w:tc>
      </w:tr>
      <w:tr w:rsidR="00596354" w:rsidRPr="0007074F" w14:paraId="20465495" w14:textId="77777777" w:rsidTr="000D3688">
        <w:trPr>
          <w:trHeight w:val="281"/>
          <w:jc w:val="center"/>
        </w:trPr>
        <w:tc>
          <w:tcPr>
            <w:tcW w:w="2590" w:type="pct"/>
            <w:shd w:val="clear" w:color="auto" w:fill="E7E6E6" w:themeFill="background2"/>
            <w:noWrap/>
            <w:vAlign w:val="center"/>
            <w:hideMark/>
          </w:tcPr>
          <w:p w14:paraId="32ABA212" w14:textId="77777777" w:rsidR="00596354" w:rsidRPr="0007074F" w:rsidRDefault="00596354" w:rsidP="00953528">
            <w:pPr>
              <w:jc w:val="left"/>
              <w:rPr>
                <w:rFonts w:eastAsia="Calibri" w:cstheme="minorHAnsi"/>
                <w:bCs/>
                <w:color w:val="002060"/>
                <w:sz w:val="18"/>
                <w:szCs w:val="18"/>
                <w:lang w:val="sr-Cyrl-CS"/>
              </w:rPr>
            </w:pPr>
            <w:r w:rsidRPr="0007074F">
              <w:rPr>
                <w:rFonts w:eastAsia="Calibri" w:cstheme="minorHAnsi"/>
                <w:iCs/>
                <w:color w:val="002060"/>
                <w:sz w:val="18"/>
                <w:szCs w:val="18"/>
                <w:lang w:val="sr-Cyrl-CS"/>
              </w:rPr>
              <w:t xml:space="preserve">Извори раста: процентне промене у </w:t>
            </w:r>
            <w:r w:rsidRPr="0007074F">
              <w:rPr>
                <w:rFonts w:eastAsia="Calibri" w:cstheme="minorHAnsi"/>
                <w:bCs/>
                <w:iCs/>
                <w:color w:val="002060"/>
                <w:sz w:val="18"/>
                <w:szCs w:val="18"/>
                <w:lang w:val="sr-Cyrl-CS"/>
              </w:rPr>
              <w:t>сталним</w:t>
            </w:r>
            <w:r w:rsidRPr="0007074F">
              <w:rPr>
                <w:rFonts w:eastAsia="Calibri" w:cstheme="minorHAnsi"/>
                <w:iCs/>
                <w:color w:val="002060"/>
                <w:sz w:val="18"/>
                <w:szCs w:val="18"/>
                <w:lang w:val="sr-Cyrl-CS"/>
              </w:rPr>
              <w:t xml:space="preserve"> ценама</w:t>
            </w:r>
          </w:p>
        </w:tc>
        <w:tc>
          <w:tcPr>
            <w:tcW w:w="603" w:type="pct"/>
            <w:shd w:val="clear" w:color="auto" w:fill="E7E6E6" w:themeFill="background2"/>
            <w:vAlign w:val="center"/>
          </w:tcPr>
          <w:p w14:paraId="7D756720" w14:textId="77777777" w:rsidR="00596354" w:rsidRPr="0007074F" w:rsidRDefault="00596354" w:rsidP="000D3688">
            <w:pPr>
              <w:jc w:val="center"/>
              <w:rPr>
                <w:rFonts w:eastAsia="Calibri" w:cstheme="minorHAnsi"/>
                <w:bCs/>
                <w:color w:val="002060"/>
                <w:sz w:val="18"/>
                <w:szCs w:val="18"/>
                <w:lang w:val="sr-Cyrl-CS"/>
              </w:rPr>
            </w:pPr>
          </w:p>
        </w:tc>
        <w:tc>
          <w:tcPr>
            <w:tcW w:w="604" w:type="pct"/>
            <w:shd w:val="clear" w:color="auto" w:fill="E7E6E6" w:themeFill="background2"/>
            <w:vAlign w:val="center"/>
          </w:tcPr>
          <w:p w14:paraId="1C02279F" w14:textId="77777777" w:rsidR="00596354" w:rsidRPr="0007074F" w:rsidRDefault="00596354" w:rsidP="000D3688">
            <w:pPr>
              <w:jc w:val="center"/>
              <w:rPr>
                <w:rFonts w:eastAsia="Calibri" w:cstheme="minorHAnsi"/>
                <w:bCs/>
                <w:color w:val="002060"/>
                <w:sz w:val="18"/>
                <w:szCs w:val="18"/>
                <w:lang w:val="sr-Cyrl-CS"/>
              </w:rPr>
            </w:pPr>
          </w:p>
        </w:tc>
        <w:tc>
          <w:tcPr>
            <w:tcW w:w="603" w:type="pct"/>
            <w:shd w:val="clear" w:color="auto" w:fill="E7E6E6" w:themeFill="background2"/>
            <w:vAlign w:val="center"/>
          </w:tcPr>
          <w:p w14:paraId="19B6AEF1" w14:textId="77777777" w:rsidR="00596354" w:rsidRPr="0007074F" w:rsidRDefault="00596354" w:rsidP="000D3688">
            <w:pPr>
              <w:jc w:val="center"/>
              <w:rPr>
                <w:rFonts w:eastAsia="Calibri" w:cstheme="minorHAnsi"/>
                <w:bCs/>
                <w:color w:val="002060"/>
                <w:sz w:val="18"/>
                <w:szCs w:val="18"/>
                <w:lang w:val="sr-Cyrl-CS"/>
              </w:rPr>
            </w:pPr>
          </w:p>
        </w:tc>
        <w:tc>
          <w:tcPr>
            <w:tcW w:w="600" w:type="pct"/>
            <w:shd w:val="clear" w:color="auto" w:fill="E7E6E6" w:themeFill="background2"/>
            <w:vAlign w:val="center"/>
          </w:tcPr>
          <w:p w14:paraId="10622587" w14:textId="77777777" w:rsidR="00596354" w:rsidRPr="0007074F" w:rsidRDefault="00596354" w:rsidP="000D3688">
            <w:pPr>
              <w:jc w:val="center"/>
              <w:rPr>
                <w:rFonts w:eastAsia="Calibri" w:cstheme="minorHAnsi"/>
                <w:bCs/>
                <w:color w:val="002060"/>
                <w:sz w:val="18"/>
                <w:szCs w:val="18"/>
                <w:lang w:val="sr-Cyrl-CS"/>
              </w:rPr>
            </w:pPr>
          </w:p>
        </w:tc>
      </w:tr>
      <w:tr w:rsidR="00596354" w:rsidRPr="0007074F" w14:paraId="6A91D5AE" w14:textId="77777777" w:rsidTr="000D3688">
        <w:trPr>
          <w:trHeight w:val="281"/>
          <w:jc w:val="center"/>
        </w:trPr>
        <w:tc>
          <w:tcPr>
            <w:tcW w:w="2590" w:type="pct"/>
            <w:noWrap/>
            <w:vAlign w:val="center"/>
            <w:hideMark/>
          </w:tcPr>
          <w:p w14:paraId="452795DF"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Лична потрошња</w:t>
            </w:r>
          </w:p>
        </w:tc>
        <w:tc>
          <w:tcPr>
            <w:tcW w:w="603" w:type="pct"/>
            <w:tcBorders>
              <w:top w:val="nil"/>
              <w:left w:val="nil"/>
              <w:bottom w:val="nil"/>
              <w:right w:val="nil"/>
            </w:tcBorders>
            <w:shd w:val="clear" w:color="auto" w:fill="auto"/>
            <w:noWrap/>
            <w:vAlign w:val="center"/>
          </w:tcPr>
          <w:p w14:paraId="1AAD5944" w14:textId="77777777" w:rsidR="00596354" w:rsidRPr="0007074F" w:rsidRDefault="00596354" w:rsidP="000D3688">
            <w:pPr>
              <w:jc w:val="center"/>
              <w:rPr>
                <w:color w:val="002060"/>
                <w:sz w:val="18"/>
                <w:lang w:val="sr-Cyrl-CS"/>
              </w:rPr>
            </w:pPr>
            <w:r>
              <w:rPr>
                <w:color w:val="002060"/>
                <w:sz w:val="18"/>
                <w:lang w:val="sr-Cyrl-CS"/>
              </w:rPr>
              <w:t>1,0</w:t>
            </w:r>
          </w:p>
        </w:tc>
        <w:tc>
          <w:tcPr>
            <w:tcW w:w="604" w:type="pct"/>
            <w:tcBorders>
              <w:top w:val="nil"/>
              <w:left w:val="nil"/>
              <w:bottom w:val="nil"/>
              <w:right w:val="nil"/>
            </w:tcBorders>
            <w:shd w:val="clear" w:color="auto" w:fill="auto"/>
            <w:noWrap/>
            <w:vAlign w:val="center"/>
          </w:tcPr>
          <w:p w14:paraId="07464399" w14:textId="77777777" w:rsidR="00596354" w:rsidRPr="008A7370" w:rsidRDefault="00596354" w:rsidP="000D3688">
            <w:pPr>
              <w:jc w:val="center"/>
              <w:rPr>
                <w:color w:val="002060"/>
                <w:sz w:val="18"/>
              </w:rPr>
            </w:pPr>
            <w:r>
              <w:rPr>
                <w:color w:val="002060"/>
                <w:sz w:val="18"/>
                <w:lang w:val="sr-Cyrl-CS"/>
              </w:rPr>
              <w:t>4,</w:t>
            </w:r>
            <w:r>
              <w:rPr>
                <w:color w:val="002060"/>
                <w:sz w:val="18"/>
              </w:rPr>
              <w:t>3</w:t>
            </w:r>
          </w:p>
        </w:tc>
        <w:tc>
          <w:tcPr>
            <w:tcW w:w="603" w:type="pct"/>
            <w:tcBorders>
              <w:top w:val="nil"/>
              <w:left w:val="nil"/>
              <w:bottom w:val="nil"/>
              <w:right w:val="nil"/>
            </w:tcBorders>
            <w:shd w:val="clear" w:color="auto" w:fill="auto"/>
            <w:noWrap/>
            <w:vAlign w:val="center"/>
          </w:tcPr>
          <w:p w14:paraId="2D9BF968" w14:textId="77777777" w:rsidR="00596354" w:rsidRPr="0007074F" w:rsidRDefault="00596354" w:rsidP="000D3688">
            <w:pPr>
              <w:jc w:val="center"/>
              <w:rPr>
                <w:color w:val="002060"/>
                <w:sz w:val="18"/>
                <w:lang w:val="sr-Cyrl-CS"/>
              </w:rPr>
            </w:pPr>
            <w:r>
              <w:rPr>
                <w:color w:val="002060"/>
                <w:sz w:val="18"/>
                <w:lang w:val="sr-Cyrl-CS"/>
              </w:rPr>
              <w:t>3,4</w:t>
            </w:r>
          </w:p>
        </w:tc>
        <w:tc>
          <w:tcPr>
            <w:tcW w:w="600" w:type="pct"/>
            <w:tcBorders>
              <w:top w:val="nil"/>
              <w:left w:val="nil"/>
              <w:bottom w:val="nil"/>
              <w:right w:val="nil"/>
            </w:tcBorders>
            <w:shd w:val="clear" w:color="auto" w:fill="auto"/>
            <w:noWrap/>
            <w:vAlign w:val="center"/>
          </w:tcPr>
          <w:p w14:paraId="53BBE6CB" w14:textId="77777777" w:rsidR="00596354" w:rsidRPr="0007074F" w:rsidRDefault="00596354" w:rsidP="000D3688">
            <w:pPr>
              <w:jc w:val="center"/>
              <w:rPr>
                <w:color w:val="002060"/>
                <w:sz w:val="18"/>
                <w:lang w:val="sr-Cyrl-CS"/>
              </w:rPr>
            </w:pPr>
            <w:r>
              <w:rPr>
                <w:color w:val="002060"/>
                <w:sz w:val="18"/>
                <w:lang w:val="sr-Cyrl-CS"/>
              </w:rPr>
              <w:t>3,3</w:t>
            </w:r>
          </w:p>
        </w:tc>
      </w:tr>
      <w:tr w:rsidR="00596354" w:rsidRPr="0007074F" w14:paraId="7E79E66B" w14:textId="77777777" w:rsidTr="000D3688">
        <w:trPr>
          <w:trHeight w:val="281"/>
          <w:jc w:val="center"/>
        </w:trPr>
        <w:tc>
          <w:tcPr>
            <w:tcW w:w="2590" w:type="pct"/>
            <w:noWrap/>
            <w:vAlign w:val="center"/>
            <w:hideMark/>
          </w:tcPr>
          <w:p w14:paraId="77BF6F8A"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Државна потрошња</w:t>
            </w:r>
          </w:p>
        </w:tc>
        <w:tc>
          <w:tcPr>
            <w:tcW w:w="603" w:type="pct"/>
            <w:tcBorders>
              <w:top w:val="nil"/>
              <w:left w:val="nil"/>
              <w:bottom w:val="nil"/>
              <w:right w:val="nil"/>
            </w:tcBorders>
            <w:shd w:val="clear" w:color="auto" w:fill="auto"/>
            <w:noWrap/>
            <w:vAlign w:val="center"/>
          </w:tcPr>
          <w:p w14:paraId="06270097" w14:textId="77777777" w:rsidR="00596354" w:rsidRPr="0007074F" w:rsidRDefault="00596354" w:rsidP="000D3688">
            <w:pPr>
              <w:jc w:val="center"/>
              <w:rPr>
                <w:color w:val="002060"/>
                <w:sz w:val="18"/>
                <w:lang w:val="sr-Cyrl-CS"/>
              </w:rPr>
            </w:pPr>
            <w:r>
              <w:rPr>
                <w:color w:val="002060"/>
                <w:sz w:val="18"/>
                <w:lang w:val="sr-Cyrl-CS"/>
              </w:rPr>
              <w:t>-1,3</w:t>
            </w:r>
          </w:p>
        </w:tc>
        <w:tc>
          <w:tcPr>
            <w:tcW w:w="604" w:type="pct"/>
            <w:tcBorders>
              <w:top w:val="nil"/>
              <w:left w:val="nil"/>
              <w:bottom w:val="nil"/>
              <w:right w:val="nil"/>
            </w:tcBorders>
            <w:shd w:val="clear" w:color="auto" w:fill="auto"/>
            <w:noWrap/>
            <w:vAlign w:val="center"/>
          </w:tcPr>
          <w:p w14:paraId="214E5349" w14:textId="77777777" w:rsidR="00596354" w:rsidRPr="0007074F" w:rsidRDefault="00596354" w:rsidP="000D3688">
            <w:pPr>
              <w:jc w:val="center"/>
              <w:rPr>
                <w:color w:val="002060"/>
                <w:sz w:val="18"/>
                <w:lang w:val="sr-Cyrl-CS"/>
              </w:rPr>
            </w:pPr>
            <w:r>
              <w:rPr>
                <w:color w:val="002060"/>
                <w:sz w:val="18"/>
                <w:lang w:val="sr-Cyrl-CS"/>
              </w:rPr>
              <w:t>1,5</w:t>
            </w:r>
          </w:p>
        </w:tc>
        <w:tc>
          <w:tcPr>
            <w:tcW w:w="603" w:type="pct"/>
            <w:tcBorders>
              <w:top w:val="nil"/>
              <w:left w:val="nil"/>
              <w:bottom w:val="nil"/>
              <w:right w:val="nil"/>
            </w:tcBorders>
            <w:shd w:val="clear" w:color="auto" w:fill="auto"/>
            <w:noWrap/>
            <w:vAlign w:val="center"/>
          </w:tcPr>
          <w:p w14:paraId="54DDD45C" w14:textId="77777777" w:rsidR="00596354" w:rsidRPr="0007074F" w:rsidRDefault="00596354" w:rsidP="000D3688">
            <w:pPr>
              <w:jc w:val="center"/>
              <w:rPr>
                <w:color w:val="002060"/>
                <w:sz w:val="18"/>
                <w:lang w:val="sr-Cyrl-CS"/>
              </w:rPr>
            </w:pPr>
            <w:r>
              <w:rPr>
                <w:color w:val="002060"/>
                <w:sz w:val="18"/>
                <w:lang w:val="sr-Cyrl-CS"/>
              </w:rPr>
              <w:t>1,1</w:t>
            </w:r>
          </w:p>
        </w:tc>
        <w:tc>
          <w:tcPr>
            <w:tcW w:w="600" w:type="pct"/>
            <w:tcBorders>
              <w:top w:val="nil"/>
              <w:left w:val="nil"/>
              <w:bottom w:val="nil"/>
              <w:right w:val="nil"/>
            </w:tcBorders>
            <w:shd w:val="clear" w:color="auto" w:fill="auto"/>
            <w:noWrap/>
            <w:vAlign w:val="center"/>
          </w:tcPr>
          <w:p w14:paraId="5D28BA24" w14:textId="77777777" w:rsidR="00596354" w:rsidRPr="0007074F" w:rsidRDefault="00596354" w:rsidP="000D3688">
            <w:pPr>
              <w:jc w:val="center"/>
              <w:rPr>
                <w:color w:val="002060"/>
                <w:sz w:val="18"/>
                <w:lang w:val="sr-Cyrl-CS"/>
              </w:rPr>
            </w:pPr>
            <w:r>
              <w:rPr>
                <w:color w:val="002060"/>
                <w:sz w:val="18"/>
                <w:lang w:val="sr-Cyrl-CS"/>
              </w:rPr>
              <w:t>1,8</w:t>
            </w:r>
          </w:p>
        </w:tc>
      </w:tr>
      <w:tr w:rsidR="00596354" w:rsidRPr="0007074F" w14:paraId="5072A2E4" w14:textId="77777777" w:rsidTr="000D3688">
        <w:trPr>
          <w:trHeight w:val="281"/>
          <w:jc w:val="center"/>
        </w:trPr>
        <w:tc>
          <w:tcPr>
            <w:tcW w:w="2590" w:type="pct"/>
            <w:noWrap/>
            <w:vAlign w:val="center"/>
            <w:hideMark/>
          </w:tcPr>
          <w:p w14:paraId="258993EE"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Инвестиције у основна средства</w:t>
            </w:r>
          </w:p>
        </w:tc>
        <w:tc>
          <w:tcPr>
            <w:tcW w:w="603" w:type="pct"/>
            <w:tcBorders>
              <w:top w:val="nil"/>
              <w:left w:val="nil"/>
              <w:bottom w:val="nil"/>
              <w:right w:val="nil"/>
            </w:tcBorders>
            <w:shd w:val="clear" w:color="auto" w:fill="auto"/>
            <w:noWrap/>
            <w:vAlign w:val="center"/>
          </w:tcPr>
          <w:p w14:paraId="29FCCB15" w14:textId="77777777" w:rsidR="00596354" w:rsidRPr="0007074F" w:rsidRDefault="00596354" w:rsidP="000D3688">
            <w:pPr>
              <w:jc w:val="center"/>
              <w:rPr>
                <w:color w:val="002060"/>
                <w:sz w:val="18"/>
                <w:lang w:val="sr-Cyrl-CS"/>
              </w:rPr>
            </w:pPr>
            <w:r>
              <w:rPr>
                <w:color w:val="002060"/>
                <w:sz w:val="18"/>
                <w:lang w:val="sr-Cyrl-CS"/>
              </w:rPr>
              <w:t>3,1</w:t>
            </w:r>
          </w:p>
        </w:tc>
        <w:tc>
          <w:tcPr>
            <w:tcW w:w="604" w:type="pct"/>
            <w:tcBorders>
              <w:top w:val="nil"/>
              <w:left w:val="nil"/>
              <w:bottom w:val="nil"/>
              <w:right w:val="nil"/>
            </w:tcBorders>
            <w:shd w:val="clear" w:color="auto" w:fill="auto"/>
            <w:noWrap/>
            <w:vAlign w:val="center"/>
          </w:tcPr>
          <w:p w14:paraId="6207B241" w14:textId="77777777" w:rsidR="00596354" w:rsidRPr="0007074F" w:rsidRDefault="00596354" w:rsidP="000D3688">
            <w:pPr>
              <w:jc w:val="center"/>
              <w:rPr>
                <w:color w:val="002060"/>
                <w:sz w:val="18"/>
                <w:lang w:val="sr-Cyrl-CS"/>
              </w:rPr>
            </w:pPr>
            <w:r>
              <w:rPr>
                <w:color w:val="002060"/>
                <w:sz w:val="18"/>
                <w:lang w:val="sr-Cyrl-CS"/>
              </w:rPr>
              <w:t>5</w:t>
            </w:r>
            <w:r w:rsidRPr="0007074F">
              <w:rPr>
                <w:color w:val="002060"/>
                <w:sz w:val="18"/>
                <w:lang w:val="sr-Cyrl-CS"/>
              </w:rPr>
              <w:t>,2</w:t>
            </w:r>
          </w:p>
        </w:tc>
        <w:tc>
          <w:tcPr>
            <w:tcW w:w="603" w:type="pct"/>
            <w:tcBorders>
              <w:top w:val="nil"/>
              <w:left w:val="nil"/>
              <w:bottom w:val="nil"/>
              <w:right w:val="nil"/>
            </w:tcBorders>
            <w:shd w:val="clear" w:color="auto" w:fill="auto"/>
            <w:noWrap/>
            <w:vAlign w:val="center"/>
          </w:tcPr>
          <w:p w14:paraId="5C4E4858" w14:textId="77777777" w:rsidR="00596354" w:rsidRPr="0007074F" w:rsidRDefault="00596354" w:rsidP="000D3688">
            <w:pPr>
              <w:jc w:val="center"/>
              <w:rPr>
                <w:color w:val="002060"/>
                <w:sz w:val="18"/>
                <w:lang w:val="sr-Cyrl-CS"/>
              </w:rPr>
            </w:pPr>
            <w:r>
              <w:rPr>
                <w:color w:val="002060"/>
                <w:sz w:val="18"/>
                <w:lang w:val="sr-Cyrl-CS"/>
              </w:rPr>
              <w:t>6,0</w:t>
            </w:r>
          </w:p>
        </w:tc>
        <w:tc>
          <w:tcPr>
            <w:tcW w:w="600" w:type="pct"/>
            <w:tcBorders>
              <w:top w:val="nil"/>
              <w:left w:val="nil"/>
              <w:bottom w:val="nil"/>
              <w:right w:val="nil"/>
            </w:tcBorders>
            <w:shd w:val="clear" w:color="auto" w:fill="auto"/>
            <w:noWrap/>
            <w:vAlign w:val="center"/>
          </w:tcPr>
          <w:p w14:paraId="423A44EA" w14:textId="77777777" w:rsidR="00596354" w:rsidRPr="0007074F" w:rsidRDefault="00596354" w:rsidP="000D3688">
            <w:pPr>
              <w:jc w:val="center"/>
              <w:rPr>
                <w:color w:val="002060"/>
                <w:sz w:val="18"/>
                <w:lang w:val="sr-Cyrl-CS"/>
              </w:rPr>
            </w:pPr>
            <w:r>
              <w:rPr>
                <w:color w:val="002060"/>
                <w:sz w:val="18"/>
                <w:lang w:val="sr-Cyrl-CS"/>
              </w:rPr>
              <w:t>6,9</w:t>
            </w:r>
          </w:p>
        </w:tc>
      </w:tr>
      <w:tr w:rsidR="00596354" w:rsidRPr="0007074F" w14:paraId="113263C8" w14:textId="77777777" w:rsidTr="000D3688">
        <w:trPr>
          <w:trHeight w:val="281"/>
          <w:jc w:val="center"/>
        </w:trPr>
        <w:tc>
          <w:tcPr>
            <w:tcW w:w="2590" w:type="pct"/>
            <w:noWrap/>
            <w:vAlign w:val="center"/>
            <w:hideMark/>
          </w:tcPr>
          <w:p w14:paraId="58DFF585"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Извоз робе и услуга</w:t>
            </w:r>
          </w:p>
        </w:tc>
        <w:tc>
          <w:tcPr>
            <w:tcW w:w="603" w:type="pct"/>
            <w:tcBorders>
              <w:top w:val="nil"/>
              <w:left w:val="nil"/>
              <w:bottom w:val="nil"/>
              <w:right w:val="nil"/>
            </w:tcBorders>
            <w:shd w:val="clear" w:color="auto" w:fill="auto"/>
            <w:noWrap/>
            <w:vAlign w:val="center"/>
          </w:tcPr>
          <w:p w14:paraId="22DAD05A" w14:textId="77777777" w:rsidR="00596354" w:rsidRPr="0007074F" w:rsidRDefault="00596354" w:rsidP="000D3688">
            <w:pPr>
              <w:jc w:val="center"/>
              <w:rPr>
                <w:color w:val="002060"/>
                <w:sz w:val="18"/>
                <w:lang w:val="sr-Cyrl-CS"/>
              </w:rPr>
            </w:pPr>
            <w:r>
              <w:rPr>
                <w:color w:val="002060"/>
                <w:sz w:val="18"/>
                <w:lang w:val="sr-Cyrl-CS"/>
              </w:rPr>
              <w:t>3,0</w:t>
            </w:r>
          </w:p>
        </w:tc>
        <w:tc>
          <w:tcPr>
            <w:tcW w:w="604" w:type="pct"/>
            <w:tcBorders>
              <w:top w:val="nil"/>
              <w:left w:val="nil"/>
              <w:bottom w:val="nil"/>
              <w:right w:val="nil"/>
            </w:tcBorders>
            <w:shd w:val="clear" w:color="auto" w:fill="auto"/>
            <w:noWrap/>
            <w:vAlign w:val="center"/>
          </w:tcPr>
          <w:p w14:paraId="3F77C8CA" w14:textId="77777777" w:rsidR="00596354" w:rsidRPr="0007074F" w:rsidRDefault="00596354" w:rsidP="000D3688">
            <w:pPr>
              <w:jc w:val="center"/>
              <w:rPr>
                <w:color w:val="002060"/>
                <w:sz w:val="18"/>
                <w:lang w:val="sr-Cyrl-CS"/>
              </w:rPr>
            </w:pPr>
            <w:r>
              <w:rPr>
                <w:color w:val="002060"/>
                <w:sz w:val="18"/>
                <w:lang w:val="sr-Cyrl-CS"/>
              </w:rPr>
              <w:t>8,1</w:t>
            </w:r>
          </w:p>
        </w:tc>
        <w:tc>
          <w:tcPr>
            <w:tcW w:w="603" w:type="pct"/>
            <w:tcBorders>
              <w:top w:val="nil"/>
              <w:left w:val="nil"/>
              <w:bottom w:val="nil"/>
              <w:right w:val="nil"/>
            </w:tcBorders>
            <w:shd w:val="clear" w:color="auto" w:fill="auto"/>
            <w:noWrap/>
            <w:vAlign w:val="center"/>
          </w:tcPr>
          <w:p w14:paraId="715EBAC8" w14:textId="77777777" w:rsidR="00596354" w:rsidRPr="0007074F" w:rsidRDefault="00596354" w:rsidP="000D3688">
            <w:pPr>
              <w:jc w:val="center"/>
              <w:rPr>
                <w:color w:val="002060"/>
                <w:sz w:val="18"/>
                <w:lang w:val="sr-Cyrl-CS"/>
              </w:rPr>
            </w:pPr>
            <w:r>
              <w:rPr>
                <w:color w:val="002060"/>
                <w:sz w:val="18"/>
                <w:lang w:val="sr-Cyrl-CS"/>
              </w:rPr>
              <w:t>10,5</w:t>
            </w:r>
          </w:p>
        </w:tc>
        <w:tc>
          <w:tcPr>
            <w:tcW w:w="600" w:type="pct"/>
            <w:tcBorders>
              <w:top w:val="nil"/>
              <w:left w:val="nil"/>
              <w:bottom w:val="nil"/>
              <w:right w:val="nil"/>
            </w:tcBorders>
            <w:shd w:val="clear" w:color="auto" w:fill="auto"/>
            <w:noWrap/>
            <w:vAlign w:val="center"/>
          </w:tcPr>
          <w:p w14:paraId="5A307CD8" w14:textId="77777777" w:rsidR="00596354" w:rsidRPr="0007074F" w:rsidRDefault="00596354" w:rsidP="000D3688">
            <w:pPr>
              <w:jc w:val="center"/>
              <w:rPr>
                <w:color w:val="002060"/>
                <w:sz w:val="18"/>
                <w:lang w:val="sr-Cyrl-CS"/>
              </w:rPr>
            </w:pPr>
            <w:r>
              <w:rPr>
                <w:color w:val="002060"/>
                <w:sz w:val="18"/>
                <w:lang w:val="sr-Cyrl-CS"/>
              </w:rPr>
              <w:t>11,5</w:t>
            </w:r>
          </w:p>
        </w:tc>
      </w:tr>
      <w:tr w:rsidR="00596354" w:rsidRPr="0007074F" w14:paraId="105224D6" w14:textId="77777777" w:rsidTr="000D3688">
        <w:trPr>
          <w:trHeight w:val="281"/>
          <w:jc w:val="center"/>
        </w:trPr>
        <w:tc>
          <w:tcPr>
            <w:tcW w:w="2590" w:type="pct"/>
            <w:noWrap/>
            <w:vAlign w:val="center"/>
          </w:tcPr>
          <w:p w14:paraId="552AA60E"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bCs/>
                <w:color w:val="002060"/>
                <w:sz w:val="18"/>
                <w:szCs w:val="18"/>
                <w:lang w:val="sr-Cyrl-CS"/>
              </w:rPr>
              <w:t>Увоз робе и услуга</w:t>
            </w:r>
          </w:p>
        </w:tc>
        <w:tc>
          <w:tcPr>
            <w:tcW w:w="603" w:type="pct"/>
            <w:tcBorders>
              <w:top w:val="nil"/>
              <w:left w:val="nil"/>
              <w:bottom w:val="nil"/>
              <w:right w:val="nil"/>
            </w:tcBorders>
            <w:shd w:val="clear" w:color="auto" w:fill="auto"/>
            <w:noWrap/>
            <w:vAlign w:val="center"/>
          </w:tcPr>
          <w:p w14:paraId="60313BFA" w14:textId="77777777" w:rsidR="00596354" w:rsidRPr="0007074F" w:rsidRDefault="00596354" w:rsidP="000D3688">
            <w:pPr>
              <w:jc w:val="center"/>
              <w:rPr>
                <w:color w:val="002060"/>
                <w:sz w:val="18"/>
                <w:lang w:val="sr-Cyrl-CS"/>
              </w:rPr>
            </w:pPr>
            <w:r>
              <w:rPr>
                <w:color w:val="002060"/>
                <w:sz w:val="18"/>
              </w:rPr>
              <w:t>-</w:t>
            </w:r>
            <w:r>
              <w:rPr>
                <w:color w:val="002060"/>
                <w:sz w:val="18"/>
                <w:lang w:val="sr-Cyrl-CS"/>
              </w:rPr>
              <w:t>1,4</w:t>
            </w:r>
          </w:p>
        </w:tc>
        <w:tc>
          <w:tcPr>
            <w:tcW w:w="604" w:type="pct"/>
            <w:tcBorders>
              <w:top w:val="nil"/>
              <w:left w:val="nil"/>
              <w:bottom w:val="nil"/>
              <w:right w:val="nil"/>
            </w:tcBorders>
            <w:shd w:val="clear" w:color="auto" w:fill="auto"/>
            <w:noWrap/>
            <w:vAlign w:val="center"/>
          </w:tcPr>
          <w:p w14:paraId="5BD6DE4E" w14:textId="77777777" w:rsidR="00596354" w:rsidRPr="0007074F" w:rsidRDefault="00596354" w:rsidP="000D3688">
            <w:pPr>
              <w:jc w:val="center"/>
              <w:rPr>
                <w:color w:val="002060"/>
                <w:sz w:val="18"/>
                <w:lang w:val="sr-Cyrl-CS"/>
              </w:rPr>
            </w:pPr>
            <w:r>
              <w:rPr>
                <w:color w:val="002060"/>
                <w:sz w:val="18"/>
                <w:lang w:val="sr-Cyrl-CS"/>
              </w:rPr>
              <w:t>8,4</w:t>
            </w:r>
          </w:p>
        </w:tc>
        <w:tc>
          <w:tcPr>
            <w:tcW w:w="603" w:type="pct"/>
            <w:tcBorders>
              <w:top w:val="nil"/>
              <w:left w:val="nil"/>
              <w:bottom w:val="nil"/>
              <w:right w:val="nil"/>
            </w:tcBorders>
            <w:shd w:val="clear" w:color="auto" w:fill="auto"/>
            <w:noWrap/>
            <w:vAlign w:val="center"/>
          </w:tcPr>
          <w:p w14:paraId="5D1B332C" w14:textId="77777777" w:rsidR="00596354" w:rsidRPr="0007074F" w:rsidRDefault="00596354" w:rsidP="000D3688">
            <w:pPr>
              <w:jc w:val="center"/>
              <w:rPr>
                <w:color w:val="002060"/>
                <w:sz w:val="18"/>
                <w:lang w:val="sr-Cyrl-CS"/>
              </w:rPr>
            </w:pPr>
            <w:r>
              <w:rPr>
                <w:color w:val="002060"/>
                <w:sz w:val="18"/>
                <w:lang w:val="sr-Cyrl-CS"/>
              </w:rPr>
              <w:t>9,2</w:t>
            </w:r>
          </w:p>
        </w:tc>
        <w:tc>
          <w:tcPr>
            <w:tcW w:w="600" w:type="pct"/>
            <w:tcBorders>
              <w:top w:val="nil"/>
              <w:left w:val="nil"/>
              <w:bottom w:val="nil"/>
              <w:right w:val="nil"/>
            </w:tcBorders>
            <w:shd w:val="clear" w:color="auto" w:fill="auto"/>
            <w:noWrap/>
            <w:vAlign w:val="center"/>
          </w:tcPr>
          <w:p w14:paraId="7786FAD8" w14:textId="77777777" w:rsidR="00596354" w:rsidRPr="0007074F" w:rsidRDefault="00596354" w:rsidP="000D3688">
            <w:pPr>
              <w:jc w:val="center"/>
              <w:rPr>
                <w:color w:val="002060"/>
                <w:sz w:val="18"/>
                <w:lang w:val="sr-Cyrl-CS"/>
              </w:rPr>
            </w:pPr>
            <w:r>
              <w:rPr>
                <w:color w:val="002060"/>
                <w:sz w:val="18"/>
                <w:lang w:val="sr-Cyrl-CS"/>
              </w:rPr>
              <w:t>10,2</w:t>
            </w:r>
          </w:p>
        </w:tc>
      </w:tr>
      <w:tr w:rsidR="00596354" w:rsidRPr="0007074F" w14:paraId="24A27D62" w14:textId="77777777" w:rsidTr="000D3688">
        <w:trPr>
          <w:trHeight w:val="281"/>
          <w:jc w:val="center"/>
        </w:trPr>
        <w:tc>
          <w:tcPr>
            <w:tcW w:w="2590" w:type="pct"/>
            <w:shd w:val="clear" w:color="auto" w:fill="E7E6E6" w:themeFill="background2"/>
            <w:noWrap/>
            <w:vAlign w:val="center"/>
            <w:hideMark/>
          </w:tcPr>
          <w:p w14:paraId="3A5BDCAA" w14:textId="77777777" w:rsidR="00596354" w:rsidRPr="0007074F" w:rsidRDefault="00596354" w:rsidP="00953528">
            <w:pPr>
              <w:jc w:val="left"/>
              <w:rPr>
                <w:rFonts w:eastAsia="Calibri" w:cstheme="minorHAnsi"/>
                <w:bCs/>
                <w:iCs/>
                <w:color w:val="002060"/>
                <w:sz w:val="18"/>
                <w:szCs w:val="18"/>
                <w:lang w:val="sr-Cyrl-CS"/>
              </w:rPr>
            </w:pPr>
            <w:r w:rsidRPr="0007074F">
              <w:rPr>
                <w:rFonts w:eastAsia="Calibri" w:cstheme="minorHAnsi"/>
                <w:iCs/>
                <w:color w:val="002060"/>
                <w:sz w:val="18"/>
                <w:szCs w:val="18"/>
                <w:lang w:val="sr-Cyrl-CS"/>
              </w:rPr>
              <w:t>Допринос расту БДП</w:t>
            </w:r>
            <w:r w:rsidRPr="0007074F">
              <w:rPr>
                <w:rFonts w:eastAsia="Calibri" w:cstheme="minorHAnsi"/>
                <w:bCs/>
                <w:iCs/>
                <w:color w:val="002060"/>
                <w:sz w:val="18"/>
                <w:szCs w:val="18"/>
                <w:lang w:val="sr-Cyrl-CS"/>
              </w:rPr>
              <w:t>, процентни поени</w:t>
            </w:r>
          </w:p>
        </w:tc>
        <w:tc>
          <w:tcPr>
            <w:tcW w:w="603" w:type="pct"/>
            <w:shd w:val="clear" w:color="auto" w:fill="E7E6E6" w:themeFill="background2"/>
            <w:noWrap/>
            <w:vAlign w:val="center"/>
          </w:tcPr>
          <w:p w14:paraId="712D4510" w14:textId="77777777" w:rsidR="00596354" w:rsidRPr="0007074F" w:rsidRDefault="00596354" w:rsidP="000D3688">
            <w:pPr>
              <w:jc w:val="center"/>
              <w:rPr>
                <w:rFonts w:eastAsia="Calibri" w:cstheme="minorHAnsi"/>
                <w:iCs/>
                <w:color w:val="002060"/>
                <w:sz w:val="18"/>
                <w:szCs w:val="18"/>
                <w:lang w:val="sr-Cyrl-CS"/>
              </w:rPr>
            </w:pPr>
          </w:p>
        </w:tc>
        <w:tc>
          <w:tcPr>
            <w:tcW w:w="604" w:type="pct"/>
            <w:shd w:val="clear" w:color="auto" w:fill="E7E6E6" w:themeFill="background2"/>
            <w:noWrap/>
            <w:vAlign w:val="center"/>
          </w:tcPr>
          <w:p w14:paraId="70BF78CF" w14:textId="77777777" w:rsidR="00596354" w:rsidRPr="0007074F" w:rsidRDefault="00596354" w:rsidP="000D3688">
            <w:pPr>
              <w:jc w:val="center"/>
              <w:rPr>
                <w:rFonts w:eastAsia="Calibri" w:cstheme="minorHAnsi"/>
                <w:color w:val="002060"/>
                <w:sz w:val="18"/>
                <w:szCs w:val="18"/>
                <w:lang w:val="sr-Cyrl-CS"/>
              </w:rPr>
            </w:pPr>
          </w:p>
        </w:tc>
        <w:tc>
          <w:tcPr>
            <w:tcW w:w="603" w:type="pct"/>
            <w:shd w:val="clear" w:color="auto" w:fill="E7E6E6" w:themeFill="background2"/>
            <w:noWrap/>
            <w:vAlign w:val="center"/>
          </w:tcPr>
          <w:p w14:paraId="7C8AA318" w14:textId="77777777" w:rsidR="00596354" w:rsidRPr="0007074F" w:rsidRDefault="00596354" w:rsidP="000D3688">
            <w:pPr>
              <w:jc w:val="center"/>
              <w:rPr>
                <w:rFonts w:eastAsia="Calibri" w:cstheme="minorHAnsi"/>
                <w:color w:val="002060"/>
                <w:sz w:val="18"/>
                <w:szCs w:val="18"/>
                <w:lang w:val="sr-Cyrl-CS"/>
              </w:rPr>
            </w:pPr>
          </w:p>
        </w:tc>
        <w:tc>
          <w:tcPr>
            <w:tcW w:w="600" w:type="pct"/>
            <w:shd w:val="clear" w:color="auto" w:fill="E7E6E6" w:themeFill="background2"/>
            <w:noWrap/>
            <w:vAlign w:val="center"/>
          </w:tcPr>
          <w:p w14:paraId="6D9FC055" w14:textId="77777777" w:rsidR="00596354" w:rsidRPr="0007074F" w:rsidRDefault="00596354" w:rsidP="000D3688">
            <w:pPr>
              <w:jc w:val="center"/>
              <w:rPr>
                <w:rFonts w:eastAsia="Calibri" w:cstheme="minorHAnsi"/>
                <w:color w:val="002060"/>
                <w:sz w:val="18"/>
                <w:szCs w:val="18"/>
                <w:lang w:val="sr-Cyrl-CS"/>
              </w:rPr>
            </w:pPr>
          </w:p>
        </w:tc>
      </w:tr>
      <w:tr w:rsidR="00596354" w:rsidRPr="0007074F" w14:paraId="31F492D2" w14:textId="77777777" w:rsidTr="000D3688">
        <w:trPr>
          <w:trHeight w:val="281"/>
          <w:jc w:val="center"/>
        </w:trPr>
        <w:tc>
          <w:tcPr>
            <w:tcW w:w="2590" w:type="pct"/>
            <w:noWrap/>
            <w:vAlign w:val="center"/>
            <w:hideMark/>
          </w:tcPr>
          <w:p w14:paraId="08B0DFDD"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Домаћа тражња</w:t>
            </w:r>
          </w:p>
        </w:tc>
        <w:tc>
          <w:tcPr>
            <w:tcW w:w="603" w:type="pct"/>
            <w:tcBorders>
              <w:top w:val="nil"/>
              <w:left w:val="nil"/>
              <w:bottom w:val="nil"/>
              <w:right w:val="nil"/>
            </w:tcBorders>
            <w:shd w:val="clear" w:color="auto" w:fill="auto"/>
            <w:noWrap/>
            <w:vAlign w:val="center"/>
          </w:tcPr>
          <w:p w14:paraId="0488CACD" w14:textId="77777777" w:rsidR="00596354" w:rsidRPr="0007074F" w:rsidRDefault="00596354" w:rsidP="000D3688">
            <w:pPr>
              <w:jc w:val="center"/>
              <w:rPr>
                <w:color w:val="002060"/>
                <w:sz w:val="18"/>
                <w:lang w:val="sr-Cyrl-CS"/>
              </w:rPr>
            </w:pPr>
            <w:r>
              <w:rPr>
                <w:color w:val="002060"/>
                <w:sz w:val="18"/>
              </w:rPr>
              <w:t>-</w:t>
            </w:r>
            <w:r>
              <w:rPr>
                <w:color w:val="002060"/>
                <w:sz w:val="18"/>
                <w:lang w:val="sr-Cyrl-CS"/>
              </w:rPr>
              <w:t>0,7</w:t>
            </w:r>
          </w:p>
        </w:tc>
        <w:tc>
          <w:tcPr>
            <w:tcW w:w="604" w:type="pct"/>
            <w:tcBorders>
              <w:top w:val="nil"/>
              <w:left w:val="nil"/>
              <w:bottom w:val="nil"/>
              <w:right w:val="nil"/>
            </w:tcBorders>
            <w:shd w:val="clear" w:color="auto" w:fill="auto"/>
            <w:noWrap/>
            <w:vAlign w:val="center"/>
          </w:tcPr>
          <w:p w14:paraId="0ED8BFB7" w14:textId="77777777" w:rsidR="00596354" w:rsidRPr="0007074F" w:rsidRDefault="00596354" w:rsidP="000D3688">
            <w:pPr>
              <w:jc w:val="center"/>
              <w:rPr>
                <w:color w:val="002060"/>
                <w:sz w:val="18"/>
                <w:lang w:val="sr-Cyrl-CS"/>
              </w:rPr>
            </w:pPr>
            <w:r>
              <w:rPr>
                <w:color w:val="002060"/>
                <w:sz w:val="18"/>
                <w:lang w:val="sr-Cyrl-CS"/>
              </w:rPr>
              <w:t>4,5</w:t>
            </w:r>
          </w:p>
        </w:tc>
        <w:tc>
          <w:tcPr>
            <w:tcW w:w="603" w:type="pct"/>
            <w:tcBorders>
              <w:top w:val="nil"/>
              <w:left w:val="nil"/>
              <w:bottom w:val="nil"/>
              <w:right w:val="nil"/>
            </w:tcBorders>
            <w:shd w:val="clear" w:color="auto" w:fill="auto"/>
            <w:noWrap/>
            <w:vAlign w:val="center"/>
          </w:tcPr>
          <w:p w14:paraId="2C3F8D86" w14:textId="77777777" w:rsidR="00596354" w:rsidRPr="0007074F" w:rsidRDefault="00596354" w:rsidP="000D3688">
            <w:pPr>
              <w:jc w:val="center"/>
              <w:rPr>
                <w:color w:val="002060"/>
                <w:sz w:val="18"/>
                <w:lang w:val="sr-Cyrl-CS"/>
              </w:rPr>
            </w:pPr>
            <w:r>
              <w:rPr>
                <w:color w:val="002060"/>
                <w:sz w:val="18"/>
                <w:lang w:val="sr-Cyrl-CS"/>
              </w:rPr>
              <w:t>4,1</w:t>
            </w:r>
          </w:p>
        </w:tc>
        <w:tc>
          <w:tcPr>
            <w:tcW w:w="600" w:type="pct"/>
            <w:tcBorders>
              <w:top w:val="nil"/>
              <w:left w:val="nil"/>
              <w:bottom w:val="nil"/>
              <w:right w:val="nil"/>
            </w:tcBorders>
            <w:shd w:val="clear" w:color="auto" w:fill="auto"/>
            <w:noWrap/>
            <w:vAlign w:val="center"/>
          </w:tcPr>
          <w:p w14:paraId="1D251071" w14:textId="77777777" w:rsidR="00596354" w:rsidRPr="0007074F" w:rsidRDefault="00596354" w:rsidP="000D3688">
            <w:pPr>
              <w:jc w:val="center"/>
              <w:rPr>
                <w:color w:val="002060"/>
                <w:sz w:val="18"/>
                <w:lang w:val="sr-Cyrl-CS"/>
              </w:rPr>
            </w:pPr>
            <w:r>
              <w:rPr>
                <w:color w:val="002060"/>
                <w:sz w:val="18"/>
                <w:lang w:val="sr-Cyrl-CS"/>
              </w:rPr>
              <w:t>4,3</w:t>
            </w:r>
          </w:p>
        </w:tc>
      </w:tr>
      <w:tr w:rsidR="00596354" w:rsidRPr="0007074F" w14:paraId="75D269FF" w14:textId="77777777" w:rsidTr="000D3688">
        <w:trPr>
          <w:trHeight w:val="281"/>
          <w:jc w:val="center"/>
        </w:trPr>
        <w:tc>
          <w:tcPr>
            <w:tcW w:w="2590" w:type="pct"/>
            <w:noWrap/>
            <w:vAlign w:val="center"/>
            <w:hideMark/>
          </w:tcPr>
          <w:p w14:paraId="0EB15EFB"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Лична потрошња</w:t>
            </w:r>
          </w:p>
        </w:tc>
        <w:tc>
          <w:tcPr>
            <w:tcW w:w="603" w:type="pct"/>
            <w:tcBorders>
              <w:top w:val="nil"/>
              <w:left w:val="nil"/>
              <w:bottom w:val="nil"/>
              <w:right w:val="nil"/>
            </w:tcBorders>
            <w:shd w:val="clear" w:color="auto" w:fill="auto"/>
            <w:noWrap/>
            <w:vAlign w:val="center"/>
          </w:tcPr>
          <w:p w14:paraId="45956ABF" w14:textId="77777777" w:rsidR="00596354" w:rsidRPr="002E7430" w:rsidRDefault="00596354" w:rsidP="000D3688">
            <w:pPr>
              <w:jc w:val="center"/>
              <w:rPr>
                <w:color w:val="002060"/>
                <w:sz w:val="18"/>
              </w:rPr>
            </w:pPr>
            <w:r>
              <w:rPr>
                <w:color w:val="002060"/>
                <w:sz w:val="18"/>
                <w:lang w:val="sr-Cyrl-CS"/>
              </w:rPr>
              <w:t>0,</w:t>
            </w:r>
            <w:r>
              <w:rPr>
                <w:color w:val="002060"/>
                <w:sz w:val="18"/>
              </w:rPr>
              <w:t>7</w:t>
            </w:r>
          </w:p>
        </w:tc>
        <w:tc>
          <w:tcPr>
            <w:tcW w:w="604" w:type="pct"/>
            <w:tcBorders>
              <w:top w:val="nil"/>
              <w:left w:val="nil"/>
              <w:bottom w:val="nil"/>
              <w:right w:val="nil"/>
            </w:tcBorders>
            <w:shd w:val="clear" w:color="auto" w:fill="auto"/>
            <w:noWrap/>
            <w:vAlign w:val="center"/>
          </w:tcPr>
          <w:p w14:paraId="102CF7A2" w14:textId="77777777" w:rsidR="00596354" w:rsidRPr="0007074F" w:rsidRDefault="00596354" w:rsidP="000D3688">
            <w:pPr>
              <w:jc w:val="center"/>
              <w:rPr>
                <w:color w:val="002060"/>
                <w:sz w:val="18"/>
                <w:lang w:val="sr-Cyrl-CS"/>
              </w:rPr>
            </w:pPr>
            <w:r>
              <w:rPr>
                <w:color w:val="002060"/>
                <w:sz w:val="18"/>
                <w:lang w:val="sr-Cyrl-CS"/>
              </w:rPr>
              <w:t>3,0</w:t>
            </w:r>
          </w:p>
        </w:tc>
        <w:tc>
          <w:tcPr>
            <w:tcW w:w="603" w:type="pct"/>
            <w:tcBorders>
              <w:top w:val="nil"/>
              <w:left w:val="nil"/>
              <w:bottom w:val="nil"/>
              <w:right w:val="nil"/>
            </w:tcBorders>
            <w:shd w:val="clear" w:color="auto" w:fill="auto"/>
            <w:noWrap/>
            <w:vAlign w:val="center"/>
          </w:tcPr>
          <w:p w14:paraId="2824B7F4" w14:textId="77777777" w:rsidR="00596354" w:rsidRPr="0007074F" w:rsidRDefault="00596354" w:rsidP="000D3688">
            <w:pPr>
              <w:jc w:val="center"/>
              <w:rPr>
                <w:color w:val="002060"/>
                <w:sz w:val="18"/>
                <w:lang w:val="sr-Cyrl-CS"/>
              </w:rPr>
            </w:pPr>
            <w:r>
              <w:rPr>
                <w:color w:val="002060"/>
                <w:sz w:val="18"/>
                <w:lang w:val="sr-Cyrl-CS"/>
              </w:rPr>
              <w:t>2,4</w:t>
            </w:r>
          </w:p>
        </w:tc>
        <w:tc>
          <w:tcPr>
            <w:tcW w:w="600" w:type="pct"/>
            <w:tcBorders>
              <w:top w:val="nil"/>
              <w:left w:val="nil"/>
              <w:bottom w:val="nil"/>
              <w:right w:val="nil"/>
            </w:tcBorders>
            <w:shd w:val="clear" w:color="auto" w:fill="auto"/>
            <w:noWrap/>
            <w:vAlign w:val="center"/>
          </w:tcPr>
          <w:p w14:paraId="23B1C4AA" w14:textId="77777777" w:rsidR="00596354" w:rsidRPr="0007074F" w:rsidRDefault="00596354" w:rsidP="000D3688">
            <w:pPr>
              <w:jc w:val="center"/>
              <w:rPr>
                <w:color w:val="002060"/>
                <w:sz w:val="18"/>
                <w:lang w:val="sr-Cyrl-CS"/>
              </w:rPr>
            </w:pPr>
            <w:r>
              <w:rPr>
                <w:color w:val="002060"/>
                <w:sz w:val="18"/>
                <w:lang w:val="sr-Cyrl-CS"/>
              </w:rPr>
              <w:t>2,3</w:t>
            </w:r>
          </w:p>
        </w:tc>
      </w:tr>
      <w:tr w:rsidR="00596354" w:rsidRPr="0007074F" w14:paraId="37AAD06B" w14:textId="77777777" w:rsidTr="000D3688">
        <w:trPr>
          <w:trHeight w:val="281"/>
          <w:jc w:val="center"/>
        </w:trPr>
        <w:tc>
          <w:tcPr>
            <w:tcW w:w="2590" w:type="pct"/>
            <w:noWrap/>
            <w:vAlign w:val="center"/>
            <w:hideMark/>
          </w:tcPr>
          <w:p w14:paraId="24395D57"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Државна потрошња</w:t>
            </w:r>
          </w:p>
        </w:tc>
        <w:tc>
          <w:tcPr>
            <w:tcW w:w="603" w:type="pct"/>
            <w:tcBorders>
              <w:top w:val="nil"/>
              <w:left w:val="nil"/>
              <w:bottom w:val="nil"/>
              <w:right w:val="nil"/>
            </w:tcBorders>
            <w:shd w:val="clear" w:color="auto" w:fill="auto"/>
            <w:noWrap/>
            <w:vAlign w:val="center"/>
          </w:tcPr>
          <w:p w14:paraId="47BE9644" w14:textId="77777777" w:rsidR="00596354" w:rsidRPr="0007074F" w:rsidRDefault="00596354" w:rsidP="000D3688">
            <w:pPr>
              <w:jc w:val="center"/>
              <w:rPr>
                <w:color w:val="002060"/>
                <w:sz w:val="18"/>
                <w:lang w:val="sr-Cyrl-CS"/>
              </w:rPr>
            </w:pPr>
            <w:r w:rsidRPr="0007074F">
              <w:rPr>
                <w:color w:val="002060"/>
                <w:sz w:val="18"/>
                <w:lang w:val="sr-Cyrl-CS"/>
              </w:rPr>
              <w:t>-0,2</w:t>
            </w:r>
          </w:p>
        </w:tc>
        <w:tc>
          <w:tcPr>
            <w:tcW w:w="604" w:type="pct"/>
            <w:tcBorders>
              <w:top w:val="nil"/>
              <w:left w:val="nil"/>
              <w:bottom w:val="nil"/>
              <w:right w:val="nil"/>
            </w:tcBorders>
            <w:shd w:val="clear" w:color="auto" w:fill="auto"/>
            <w:noWrap/>
            <w:vAlign w:val="center"/>
          </w:tcPr>
          <w:p w14:paraId="7597895D" w14:textId="77777777" w:rsidR="00596354" w:rsidRPr="0007074F" w:rsidRDefault="00596354" w:rsidP="000D3688">
            <w:pPr>
              <w:jc w:val="center"/>
              <w:rPr>
                <w:color w:val="002060"/>
                <w:sz w:val="18"/>
                <w:lang w:val="sr-Cyrl-CS"/>
              </w:rPr>
            </w:pPr>
            <w:r w:rsidRPr="0007074F">
              <w:rPr>
                <w:color w:val="002060"/>
                <w:sz w:val="18"/>
                <w:lang w:val="sr-Cyrl-CS"/>
              </w:rPr>
              <w:t>0,2</w:t>
            </w:r>
          </w:p>
        </w:tc>
        <w:tc>
          <w:tcPr>
            <w:tcW w:w="603" w:type="pct"/>
            <w:tcBorders>
              <w:top w:val="nil"/>
              <w:left w:val="nil"/>
              <w:bottom w:val="nil"/>
              <w:right w:val="nil"/>
            </w:tcBorders>
            <w:shd w:val="clear" w:color="auto" w:fill="auto"/>
            <w:noWrap/>
            <w:vAlign w:val="center"/>
          </w:tcPr>
          <w:p w14:paraId="517DACBF" w14:textId="77777777" w:rsidR="00596354" w:rsidRPr="0007074F" w:rsidRDefault="00596354" w:rsidP="000D3688">
            <w:pPr>
              <w:jc w:val="center"/>
              <w:rPr>
                <w:color w:val="002060"/>
                <w:sz w:val="18"/>
                <w:lang w:val="sr-Cyrl-CS"/>
              </w:rPr>
            </w:pPr>
            <w:r>
              <w:rPr>
                <w:color w:val="002060"/>
                <w:sz w:val="18"/>
                <w:lang w:val="sr-Cyrl-CS"/>
              </w:rPr>
              <w:t>0,2</w:t>
            </w:r>
          </w:p>
        </w:tc>
        <w:tc>
          <w:tcPr>
            <w:tcW w:w="600" w:type="pct"/>
            <w:tcBorders>
              <w:top w:val="nil"/>
              <w:left w:val="nil"/>
              <w:bottom w:val="nil"/>
              <w:right w:val="nil"/>
            </w:tcBorders>
            <w:shd w:val="clear" w:color="auto" w:fill="auto"/>
            <w:noWrap/>
            <w:vAlign w:val="center"/>
          </w:tcPr>
          <w:p w14:paraId="5D58EDE2" w14:textId="77777777" w:rsidR="00596354" w:rsidRPr="0007074F" w:rsidRDefault="00596354" w:rsidP="000D3688">
            <w:pPr>
              <w:jc w:val="center"/>
              <w:rPr>
                <w:color w:val="002060"/>
                <w:sz w:val="18"/>
                <w:lang w:val="sr-Cyrl-CS"/>
              </w:rPr>
            </w:pPr>
            <w:r>
              <w:rPr>
                <w:color w:val="002060"/>
                <w:sz w:val="18"/>
                <w:lang w:val="sr-Cyrl-CS"/>
              </w:rPr>
              <w:t>0,3</w:t>
            </w:r>
          </w:p>
        </w:tc>
      </w:tr>
      <w:tr w:rsidR="00596354" w:rsidRPr="0007074F" w14:paraId="20E8FEB4" w14:textId="77777777" w:rsidTr="000D3688">
        <w:trPr>
          <w:trHeight w:val="281"/>
          <w:jc w:val="center"/>
        </w:trPr>
        <w:tc>
          <w:tcPr>
            <w:tcW w:w="2590" w:type="pct"/>
            <w:vAlign w:val="center"/>
          </w:tcPr>
          <w:p w14:paraId="2F0A6021"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Инвестиције у основна средства</w:t>
            </w:r>
          </w:p>
        </w:tc>
        <w:tc>
          <w:tcPr>
            <w:tcW w:w="603" w:type="pct"/>
            <w:tcBorders>
              <w:top w:val="nil"/>
              <w:left w:val="nil"/>
              <w:bottom w:val="nil"/>
              <w:right w:val="nil"/>
            </w:tcBorders>
            <w:shd w:val="clear" w:color="auto" w:fill="auto"/>
            <w:noWrap/>
            <w:vAlign w:val="center"/>
          </w:tcPr>
          <w:p w14:paraId="3C16A1DD" w14:textId="77777777" w:rsidR="00596354" w:rsidRPr="0007074F" w:rsidRDefault="00596354" w:rsidP="000D3688">
            <w:pPr>
              <w:jc w:val="center"/>
              <w:rPr>
                <w:color w:val="002060"/>
                <w:sz w:val="18"/>
                <w:lang w:val="sr-Cyrl-CS"/>
              </w:rPr>
            </w:pPr>
            <w:r>
              <w:rPr>
                <w:color w:val="002060"/>
                <w:sz w:val="18"/>
                <w:lang w:val="sr-Cyrl-CS"/>
              </w:rPr>
              <w:t>0,7</w:t>
            </w:r>
          </w:p>
        </w:tc>
        <w:tc>
          <w:tcPr>
            <w:tcW w:w="604" w:type="pct"/>
            <w:tcBorders>
              <w:top w:val="nil"/>
              <w:left w:val="nil"/>
              <w:bottom w:val="nil"/>
              <w:right w:val="nil"/>
            </w:tcBorders>
            <w:shd w:val="clear" w:color="auto" w:fill="auto"/>
            <w:noWrap/>
            <w:vAlign w:val="center"/>
          </w:tcPr>
          <w:p w14:paraId="4B4C66E3" w14:textId="77777777" w:rsidR="00596354" w:rsidRPr="0007074F" w:rsidRDefault="00596354" w:rsidP="000D3688">
            <w:pPr>
              <w:jc w:val="center"/>
              <w:rPr>
                <w:color w:val="002060"/>
                <w:sz w:val="18"/>
                <w:lang w:val="sr-Cyrl-CS"/>
              </w:rPr>
            </w:pPr>
            <w:r>
              <w:rPr>
                <w:color w:val="002060"/>
                <w:sz w:val="18"/>
                <w:lang w:val="sr-Cyrl-CS"/>
              </w:rPr>
              <w:t>1,2</w:t>
            </w:r>
          </w:p>
        </w:tc>
        <w:tc>
          <w:tcPr>
            <w:tcW w:w="603" w:type="pct"/>
            <w:tcBorders>
              <w:top w:val="nil"/>
              <w:left w:val="nil"/>
              <w:bottom w:val="nil"/>
              <w:right w:val="nil"/>
            </w:tcBorders>
            <w:shd w:val="clear" w:color="auto" w:fill="auto"/>
            <w:noWrap/>
            <w:vAlign w:val="center"/>
          </w:tcPr>
          <w:p w14:paraId="4D13F6DE" w14:textId="77777777" w:rsidR="00596354" w:rsidRPr="002E7430" w:rsidRDefault="00596354" w:rsidP="000D3688">
            <w:pPr>
              <w:jc w:val="center"/>
              <w:rPr>
                <w:color w:val="002060"/>
                <w:sz w:val="18"/>
              </w:rPr>
            </w:pPr>
            <w:r>
              <w:rPr>
                <w:color w:val="002060"/>
                <w:sz w:val="18"/>
                <w:lang w:val="sr-Cyrl-CS"/>
              </w:rPr>
              <w:t>1,</w:t>
            </w:r>
            <w:r>
              <w:rPr>
                <w:color w:val="002060"/>
                <w:sz w:val="18"/>
              </w:rPr>
              <w:t>5</w:t>
            </w:r>
          </w:p>
        </w:tc>
        <w:tc>
          <w:tcPr>
            <w:tcW w:w="600" w:type="pct"/>
            <w:tcBorders>
              <w:top w:val="nil"/>
              <w:left w:val="nil"/>
              <w:bottom w:val="nil"/>
              <w:right w:val="nil"/>
            </w:tcBorders>
            <w:shd w:val="clear" w:color="auto" w:fill="auto"/>
            <w:noWrap/>
            <w:vAlign w:val="center"/>
          </w:tcPr>
          <w:p w14:paraId="11F28BC7" w14:textId="77777777" w:rsidR="00596354" w:rsidRPr="0007074F" w:rsidRDefault="00596354" w:rsidP="000D3688">
            <w:pPr>
              <w:jc w:val="center"/>
              <w:rPr>
                <w:color w:val="002060"/>
                <w:sz w:val="18"/>
                <w:lang w:val="sr-Cyrl-CS"/>
              </w:rPr>
            </w:pPr>
            <w:r>
              <w:rPr>
                <w:color w:val="002060"/>
                <w:sz w:val="18"/>
                <w:lang w:val="sr-Cyrl-CS"/>
              </w:rPr>
              <w:t>1,7</w:t>
            </w:r>
          </w:p>
        </w:tc>
      </w:tr>
      <w:tr w:rsidR="00596354" w:rsidRPr="0007074F" w14:paraId="3B3CC2F9" w14:textId="77777777" w:rsidTr="000D3688">
        <w:trPr>
          <w:trHeight w:val="281"/>
          <w:jc w:val="center"/>
        </w:trPr>
        <w:tc>
          <w:tcPr>
            <w:tcW w:w="2590" w:type="pct"/>
            <w:vAlign w:val="center"/>
            <w:hideMark/>
          </w:tcPr>
          <w:p w14:paraId="257FF5B7"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Промена у залихама</w:t>
            </w:r>
          </w:p>
        </w:tc>
        <w:tc>
          <w:tcPr>
            <w:tcW w:w="603" w:type="pct"/>
            <w:tcBorders>
              <w:top w:val="nil"/>
              <w:left w:val="nil"/>
              <w:bottom w:val="nil"/>
              <w:right w:val="nil"/>
            </w:tcBorders>
            <w:shd w:val="clear" w:color="auto" w:fill="auto"/>
            <w:noWrap/>
            <w:vAlign w:val="center"/>
          </w:tcPr>
          <w:p w14:paraId="39023B68" w14:textId="77777777" w:rsidR="00596354" w:rsidRPr="0007074F" w:rsidRDefault="00596354" w:rsidP="000D3688">
            <w:pPr>
              <w:jc w:val="center"/>
              <w:rPr>
                <w:color w:val="002060"/>
                <w:sz w:val="18"/>
                <w:lang w:val="sr-Cyrl-CS"/>
              </w:rPr>
            </w:pPr>
            <w:r>
              <w:rPr>
                <w:color w:val="002060"/>
                <w:sz w:val="18"/>
              </w:rPr>
              <w:t>-</w:t>
            </w:r>
            <w:r>
              <w:rPr>
                <w:color w:val="002060"/>
                <w:sz w:val="18"/>
                <w:lang w:val="sr-Cyrl-CS"/>
              </w:rPr>
              <w:t>1,9</w:t>
            </w:r>
          </w:p>
        </w:tc>
        <w:tc>
          <w:tcPr>
            <w:tcW w:w="604" w:type="pct"/>
            <w:tcBorders>
              <w:top w:val="nil"/>
              <w:left w:val="nil"/>
              <w:bottom w:val="nil"/>
              <w:right w:val="nil"/>
            </w:tcBorders>
            <w:shd w:val="clear" w:color="auto" w:fill="auto"/>
            <w:noWrap/>
            <w:vAlign w:val="center"/>
          </w:tcPr>
          <w:p w14:paraId="25ADDB07" w14:textId="77777777" w:rsidR="00596354" w:rsidRPr="0007074F" w:rsidRDefault="00596354" w:rsidP="000D3688">
            <w:pPr>
              <w:jc w:val="center"/>
              <w:rPr>
                <w:color w:val="002060"/>
                <w:sz w:val="18"/>
                <w:lang w:val="sr-Cyrl-CS"/>
              </w:rPr>
            </w:pPr>
            <w:r w:rsidRPr="0007074F">
              <w:rPr>
                <w:color w:val="002060"/>
                <w:sz w:val="18"/>
                <w:lang w:val="sr-Cyrl-CS"/>
              </w:rPr>
              <w:t>0,0</w:t>
            </w:r>
          </w:p>
        </w:tc>
        <w:tc>
          <w:tcPr>
            <w:tcW w:w="603" w:type="pct"/>
            <w:tcBorders>
              <w:top w:val="nil"/>
              <w:left w:val="nil"/>
              <w:bottom w:val="nil"/>
              <w:right w:val="nil"/>
            </w:tcBorders>
            <w:shd w:val="clear" w:color="auto" w:fill="auto"/>
            <w:noWrap/>
            <w:vAlign w:val="center"/>
          </w:tcPr>
          <w:p w14:paraId="19B851A5" w14:textId="77777777" w:rsidR="00596354" w:rsidRPr="0007074F" w:rsidRDefault="00596354" w:rsidP="000D3688">
            <w:pPr>
              <w:jc w:val="center"/>
              <w:rPr>
                <w:color w:val="002060"/>
                <w:sz w:val="18"/>
                <w:lang w:val="sr-Cyrl-CS"/>
              </w:rPr>
            </w:pPr>
            <w:r>
              <w:rPr>
                <w:color w:val="002060"/>
                <w:sz w:val="18"/>
                <w:lang w:val="sr-Cyrl-CS"/>
              </w:rPr>
              <w:t>0,0</w:t>
            </w:r>
          </w:p>
        </w:tc>
        <w:tc>
          <w:tcPr>
            <w:tcW w:w="600" w:type="pct"/>
            <w:tcBorders>
              <w:top w:val="nil"/>
              <w:left w:val="nil"/>
              <w:bottom w:val="nil"/>
              <w:right w:val="nil"/>
            </w:tcBorders>
            <w:shd w:val="clear" w:color="auto" w:fill="auto"/>
            <w:noWrap/>
            <w:vAlign w:val="center"/>
          </w:tcPr>
          <w:p w14:paraId="4F20DFF6" w14:textId="77777777" w:rsidR="00596354" w:rsidRPr="0007074F" w:rsidRDefault="00596354" w:rsidP="000D3688">
            <w:pPr>
              <w:jc w:val="center"/>
              <w:rPr>
                <w:color w:val="002060"/>
                <w:sz w:val="18"/>
                <w:lang w:val="sr-Cyrl-CS"/>
              </w:rPr>
            </w:pPr>
            <w:r>
              <w:rPr>
                <w:color w:val="002060"/>
                <w:sz w:val="18"/>
                <w:lang w:val="sr-Cyrl-CS"/>
              </w:rPr>
              <w:t>0,0</w:t>
            </w:r>
          </w:p>
        </w:tc>
      </w:tr>
      <w:tr w:rsidR="00596354" w:rsidRPr="0007074F" w14:paraId="0611197F" w14:textId="77777777" w:rsidTr="000D3688">
        <w:trPr>
          <w:trHeight w:val="281"/>
          <w:jc w:val="center"/>
        </w:trPr>
        <w:tc>
          <w:tcPr>
            <w:tcW w:w="2590" w:type="pct"/>
            <w:noWrap/>
            <w:vAlign w:val="center"/>
            <w:hideMark/>
          </w:tcPr>
          <w:p w14:paraId="2510A5CC"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Нето извоз робе и услуга</w:t>
            </w:r>
          </w:p>
        </w:tc>
        <w:tc>
          <w:tcPr>
            <w:tcW w:w="603" w:type="pct"/>
            <w:tcBorders>
              <w:top w:val="nil"/>
              <w:left w:val="nil"/>
              <w:bottom w:val="nil"/>
              <w:right w:val="nil"/>
            </w:tcBorders>
            <w:shd w:val="clear" w:color="auto" w:fill="auto"/>
            <w:noWrap/>
            <w:vAlign w:val="center"/>
          </w:tcPr>
          <w:p w14:paraId="0AB546B3" w14:textId="77777777" w:rsidR="00596354" w:rsidRPr="0007074F" w:rsidRDefault="00596354" w:rsidP="000D3688">
            <w:pPr>
              <w:jc w:val="center"/>
              <w:rPr>
                <w:color w:val="002060"/>
                <w:sz w:val="18"/>
                <w:lang w:val="sr-Cyrl-CS"/>
              </w:rPr>
            </w:pPr>
            <w:r>
              <w:rPr>
                <w:color w:val="002060"/>
                <w:sz w:val="18"/>
                <w:lang w:val="sr-Cyrl-CS"/>
              </w:rPr>
              <w:t>3,2</w:t>
            </w:r>
          </w:p>
        </w:tc>
        <w:tc>
          <w:tcPr>
            <w:tcW w:w="604" w:type="pct"/>
            <w:tcBorders>
              <w:top w:val="nil"/>
              <w:left w:val="nil"/>
              <w:bottom w:val="nil"/>
              <w:right w:val="nil"/>
            </w:tcBorders>
            <w:shd w:val="clear" w:color="auto" w:fill="auto"/>
            <w:noWrap/>
            <w:vAlign w:val="center"/>
          </w:tcPr>
          <w:p w14:paraId="6765EE5B" w14:textId="77777777" w:rsidR="00596354" w:rsidRPr="0007074F" w:rsidRDefault="00596354" w:rsidP="000D3688">
            <w:pPr>
              <w:jc w:val="center"/>
              <w:rPr>
                <w:color w:val="002060"/>
                <w:sz w:val="18"/>
                <w:lang w:val="sr-Cyrl-CS"/>
              </w:rPr>
            </w:pPr>
            <w:r>
              <w:rPr>
                <w:color w:val="002060"/>
                <w:sz w:val="18"/>
              </w:rPr>
              <w:t>-</w:t>
            </w:r>
            <w:r>
              <w:rPr>
                <w:color w:val="002060"/>
                <w:sz w:val="18"/>
                <w:lang w:val="sr-Cyrl-CS"/>
              </w:rPr>
              <w:t>1,0</w:t>
            </w:r>
          </w:p>
        </w:tc>
        <w:tc>
          <w:tcPr>
            <w:tcW w:w="603" w:type="pct"/>
            <w:tcBorders>
              <w:top w:val="nil"/>
              <w:left w:val="nil"/>
              <w:bottom w:val="nil"/>
              <w:right w:val="nil"/>
            </w:tcBorders>
            <w:shd w:val="clear" w:color="auto" w:fill="auto"/>
            <w:noWrap/>
            <w:vAlign w:val="center"/>
          </w:tcPr>
          <w:p w14:paraId="4C761524" w14:textId="77777777" w:rsidR="00596354" w:rsidRPr="0007074F" w:rsidRDefault="00596354" w:rsidP="000D3688">
            <w:pPr>
              <w:jc w:val="center"/>
              <w:rPr>
                <w:color w:val="002060"/>
                <w:sz w:val="18"/>
                <w:lang w:val="sr-Cyrl-CS"/>
              </w:rPr>
            </w:pPr>
            <w:r>
              <w:rPr>
                <w:color w:val="002060"/>
                <w:sz w:val="18"/>
                <w:lang w:val="sr-Cyrl-CS"/>
              </w:rPr>
              <w:t>0,0</w:t>
            </w:r>
          </w:p>
        </w:tc>
        <w:tc>
          <w:tcPr>
            <w:tcW w:w="600" w:type="pct"/>
            <w:tcBorders>
              <w:top w:val="nil"/>
              <w:left w:val="nil"/>
              <w:bottom w:val="nil"/>
              <w:right w:val="nil"/>
            </w:tcBorders>
            <w:shd w:val="clear" w:color="auto" w:fill="auto"/>
            <w:noWrap/>
            <w:vAlign w:val="center"/>
          </w:tcPr>
          <w:p w14:paraId="6915D81F" w14:textId="77777777" w:rsidR="00596354" w:rsidRPr="0007074F" w:rsidRDefault="00596354" w:rsidP="000D3688">
            <w:pPr>
              <w:jc w:val="center"/>
              <w:rPr>
                <w:color w:val="002060"/>
                <w:sz w:val="18"/>
                <w:lang w:val="sr-Cyrl-CS"/>
              </w:rPr>
            </w:pPr>
            <w:r>
              <w:rPr>
                <w:color w:val="002060"/>
                <w:sz w:val="18"/>
                <w:lang w:val="sr-Cyrl-CS"/>
              </w:rPr>
              <w:t>0,0</w:t>
            </w:r>
          </w:p>
        </w:tc>
      </w:tr>
      <w:tr w:rsidR="00596354" w:rsidRPr="0007074F" w14:paraId="52F6E7AF" w14:textId="77777777" w:rsidTr="000D3688">
        <w:trPr>
          <w:trHeight w:val="281"/>
          <w:jc w:val="center"/>
        </w:trPr>
        <w:tc>
          <w:tcPr>
            <w:tcW w:w="2590" w:type="pct"/>
            <w:shd w:val="clear" w:color="auto" w:fill="E7E6E6" w:themeFill="background2"/>
            <w:noWrap/>
            <w:vAlign w:val="center"/>
            <w:hideMark/>
          </w:tcPr>
          <w:p w14:paraId="590BD6C1" w14:textId="77777777" w:rsidR="00596354" w:rsidRPr="0007074F" w:rsidRDefault="00596354" w:rsidP="00953528">
            <w:pPr>
              <w:jc w:val="left"/>
              <w:rPr>
                <w:rFonts w:eastAsia="Calibri" w:cstheme="minorHAnsi"/>
                <w:bCs/>
                <w:color w:val="002060"/>
                <w:sz w:val="18"/>
                <w:szCs w:val="18"/>
                <w:lang w:val="sr-Cyrl-CS"/>
              </w:rPr>
            </w:pPr>
            <w:r w:rsidRPr="0007074F">
              <w:rPr>
                <w:rFonts w:eastAsia="Calibri" w:cstheme="minorHAnsi"/>
                <w:iCs/>
                <w:color w:val="002060"/>
                <w:sz w:val="18"/>
                <w:szCs w:val="18"/>
                <w:lang w:val="sr-Cyrl-CS"/>
              </w:rPr>
              <w:t>Раст БДВ по секторима и нето пореза, %</w:t>
            </w:r>
          </w:p>
        </w:tc>
        <w:tc>
          <w:tcPr>
            <w:tcW w:w="603" w:type="pct"/>
            <w:shd w:val="clear" w:color="auto" w:fill="E7E6E6" w:themeFill="background2"/>
            <w:vAlign w:val="center"/>
          </w:tcPr>
          <w:p w14:paraId="363A9E1A" w14:textId="77777777" w:rsidR="00596354" w:rsidRPr="0007074F" w:rsidRDefault="00596354" w:rsidP="000D3688">
            <w:pPr>
              <w:jc w:val="center"/>
              <w:rPr>
                <w:rFonts w:eastAsia="Calibri" w:cstheme="minorHAnsi"/>
                <w:bCs/>
                <w:color w:val="002060"/>
                <w:sz w:val="18"/>
                <w:szCs w:val="18"/>
                <w:lang w:val="sr-Cyrl-CS"/>
              </w:rPr>
            </w:pPr>
          </w:p>
        </w:tc>
        <w:tc>
          <w:tcPr>
            <w:tcW w:w="604" w:type="pct"/>
            <w:shd w:val="clear" w:color="auto" w:fill="E7E6E6" w:themeFill="background2"/>
            <w:vAlign w:val="center"/>
          </w:tcPr>
          <w:p w14:paraId="01D02C2F" w14:textId="77777777" w:rsidR="00596354" w:rsidRPr="0007074F" w:rsidRDefault="00596354" w:rsidP="000D3688">
            <w:pPr>
              <w:jc w:val="center"/>
              <w:rPr>
                <w:rFonts w:eastAsia="Calibri" w:cstheme="minorHAnsi"/>
                <w:bCs/>
                <w:color w:val="002060"/>
                <w:sz w:val="18"/>
                <w:szCs w:val="18"/>
                <w:lang w:val="sr-Cyrl-CS"/>
              </w:rPr>
            </w:pPr>
          </w:p>
        </w:tc>
        <w:tc>
          <w:tcPr>
            <w:tcW w:w="603" w:type="pct"/>
            <w:shd w:val="clear" w:color="auto" w:fill="E7E6E6" w:themeFill="background2"/>
            <w:vAlign w:val="center"/>
          </w:tcPr>
          <w:p w14:paraId="2A3BA74C" w14:textId="77777777" w:rsidR="00596354" w:rsidRPr="0007074F" w:rsidRDefault="00596354" w:rsidP="000D3688">
            <w:pPr>
              <w:jc w:val="center"/>
              <w:rPr>
                <w:rFonts w:eastAsia="Calibri" w:cstheme="minorHAnsi"/>
                <w:bCs/>
                <w:color w:val="002060"/>
                <w:sz w:val="18"/>
                <w:szCs w:val="18"/>
                <w:lang w:val="sr-Cyrl-CS"/>
              </w:rPr>
            </w:pPr>
          </w:p>
        </w:tc>
        <w:tc>
          <w:tcPr>
            <w:tcW w:w="600" w:type="pct"/>
            <w:shd w:val="clear" w:color="auto" w:fill="E7E6E6" w:themeFill="background2"/>
            <w:vAlign w:val="center"/>
          </w:tcPr>
          <w:p w14:paraId="4D8DC622" w14:textId="77777777" w:rsidR="00596354" w:rsidRPr="0007074F" w:rsidRDefault="00596354" w:rsidP="000D3688">
            <w:pPr>
              <w:jc w:val="center"/>
              <w:rPr>
                <w:rFonts w:eastAsia="Calibri" w:cstheme="minorHAnsi"/>
                <w:bCs/>
                <w:color w:val="002060"/>
                <w:sz w:val="18"/>
                <w:szCs w:val="18"/>
                <w:lang w:val="sr-Cyrl-CS"/>
              </w:rPr>
            </w:pPr>
          </w:p>
        </w:tc>
      </w:tr>
      <w:tr w:rsidR="00596354" w:rsidRPr="0007074F" w14:paraId="75A6CCA0" w14:textId="77777777" w:rsidTr="000D3688">
        <w:trPr>
          <w:trHeight w:val="281"/>
          <w:jc w:val="center"/>
        </w:trPr>
        <w:tc>
          <w:tcPr>
            <w:tcW w:w="2590" w:type="pct"/>
            <w:noWrap/>
            <w:vAlign w:val="center"/>
            <w:hideMark/>
          </w:tcPr>
          <w:p w14:paraId="6522FC8A"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Пољопривреда</w:t>
            </w:r>
          </w:p>
        </w:tc>
        <w:tc>
          <w:tcPr>
            <w:tcW w:w="603" w:type="pct"/>
            <w:tcBorders>
              <w:top w:val="nil"/>
              <w:left w:val="nil"/>
              <w:bottom w:val="nil"/>
            </w:tcBorders>
            <w:shd w:val="clear" w:color="auto" w:fill="auto"/>
            <w:noWrap/>
            <w:vAlign w:val="center"/>
          </w:tcPr>
          <w:p w14:paraId="0A3F1D6B" w14:textId="77777777" w:rsidR="00596354" w:rsidRPr="00312725" w:rsidRDefault="00596354" w:rsidP="000D3688">
            <w:pPr>
              <w:jc w:val="center"/>
              <w:rPr>
                <w:color w:val="002060"/>
                <w:sz w:val="18"/>
                <w:lang w:val="sr-Cyrl-CS"/>
              </w:rPr>
            </w:pPr>
            <w:r w:rsidRPr="00312725">
              <w:rPr>
                <w:color w:val="002060"/>
                <w:sz w:val="18"/>
                <w:lang w:val="sr-Cyrl-CS"/>
              </w:rPr>
              <w:t>10,1</w:t>
            </w:r>
          </w:p>
        </w:tc>
        <w:tc>
          <w:tcPr>
            <w:tcW w:w="604" w:type="pct"/>
            <w:tcBorders>
              <w:top w:val="nil"/>
              <w:bottom w:val="nil"/>
            </w:tcBorders>
            <w:shd w:val="clear" w:color="auto" w:fill="auto"/>
            <w:noWrap/>
            <w:vAlign w:val="center"/>
          </w:tcPr>
          <w:p w14:paraId="325838D6" w14:textId="77777777" w:rsidR="00596354" w:rsidRPr="00312725" w:rsidRDefault="00596354" w:rsidP="000D3688">
            <w:pPr>
              <w:jc w:val="center"/>
              <w:rPr>
                <w:color w:val="002060"/>
                <w:sz w:val="18"/>
                <w:lang w:val="sr-Cyrl-CS"/>
              </w:rPr>
            </w:pPr>
            <w:r w:rsidRPr="00312725">
              <w:rPr>
                <w:color w:val="002060"/>
                <w:sz w:val="18"/>
                <w:lang w:val="sr-Cyrl-CS"/>
              </w:rPr>
              <w:t>-3,1</w:t>
            </w:r>
          </w:p>
        </w:tc>
        <w:tc>
          <w:tcPr>
            <w:tcW w:w="603" w:type="pct"/>
            <w:tcBorders>
              <w:top w:val="nil"/>
              <w:bottom w:val="nil"/>
            </w:tcBorders>
            <w:shd w:val="clear" w:color="auto" w:fill="auto"/>
            <w:noWrap/>
            <w:vAlign w:val="center"/>
          </w:tcPr>
          <w:p w14:paraId="7D892E99" w14:textId="77777777" w:rsidR="00596354" w:rsidRPr="00312725" w:rsidRDefault="00596354" w:rsidP="000D3688">
            <w:pPr>
              <w:jc w:val="center"/>
              <w:rPr>
                <w:color w:val="002060"/>
                <w:sz w:val="18"/>
                <w:lang w:val="sr-Cyrl-CS"/>
              </w:rPr>
            </w:pPr>
            <w:r w:rsidRPr="00312725">
              <w:rPr>
                <w:color w:val="002060"/>
                <w:sz w:val="18"/>
                <w:lang w:val="sr-Cyrl-CS"/>
              </w:rPr>
              <w:t>0,0</w:t>
            </w:r>
          </w:p>
        </w:tc>
        <w:tc>
          <w:tcPr>
            <w:tcW w:w="600" w:type="pct"/>
            <w:tcBorders>
              <w:top w:val="nil"/>
              <w:bottom w:val="nil"/>
              <w:right w:val="nil"/>
            </w:tcBorders>
            <w:shd w:val="clear" w:color="auto" w:fill="auto"/>
            <w:noWrap/>
            <w:vAlign w:val="center"/>
          </w:tcPr>
          <w:p w14:paraId="12CDA104" w14:textId="77777777" w:rsidR="00596354" w:rsidRPr="00312725" w:rsidRDefault="00596354" w:rsidP="000D3688">
            <w:pPr>
              <w:jc w:val="center"/>
              <w:rPr>
                <w:color w:val="002060"/>
                <w:sz w:val="18"/>
                <w:lang w:val="sr-Cyrl-CS"/>
              </w:rPr>
            </w:pPr>
            <w:r w:rsidRPr="00312725">
              <w:rPr>
                <w:color w:val="002060"/>
                <w:sz w:val="18"/>
                <w:lang w:val="sr-Cyrl-CS"/>
              </w:rPr>
              <w:t>0,0</w:t>
            </w:r>
          </w:p>
        </w:tc>
      </w:tr>
      <w:tr w:rsidR="00596354" w:rsidRPr="0007074F" w14:paraId="1A03B4A9" w14:textId="77777777" w:rsidTr="000D3688">
        <w:trPr>
          <w:trHeight w:val="281"/>
          <w:jc w:val="center"/>
        </w:trPr>
        <w:tc>
          <w:tcPr>
            <w:tcW w:w="2590" w:type="pct"/>
            <w:noWrap/>
            <w:vAlign w:val="center"/>
            <w:hideMark/>
          </w:tcPr>
          <w:p w14:paraId="1B04FC7B"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Индустрија</w:t>
            </w:r>
          </w:p>
        </w:tc>
        <w:tc>
          <w:tcPr>
            <w:tcW w:w="603" w:type="pct"/>
            <w:tcBorders>
              <w:top w:val="nil"/>
              <w:left w:val="nil"/>
              <w:bottom w:val="nil"/>
            </w:tcBorders>
            <w:shd w:val="clear" w:color="auto" w:fill="auto"/>
            <w:noWrap/>
            <w:vAlign w:val="center"/>
          </w:tcPr>
          <w:p w14:paraId="2956B2F5" w14:textId="77777777" w:rsidR="00596354" w:rsidRPr="00312725" w:rsidRDefault="00596354" w:rsidP="000D3688">
            <w:pPr>
              <w:jc w:val="center"/>
              <w:rPr>
                <w:color w:val="002060"/>
                <w:sz w:val="18"/>
                <w:lang w:val="sr-Cyrl-CS"/>
              </w:rPr>
            </w:pPr>
            <w:r w:rsidRPr="00312725">
              <w:rPr>
                <w:color w:val="002060"/>
                <w:sz w:val="18"/>
                <w:lang w:val="sr-Cyrl-CS"/>
              </w:rPr>
              <w:t>2,0</w:t>
            </w:r>
          </w:p>
        </w:tc>
        <w:tc>
          <w:tcPr>
            <w:tcW w:w="604" w:type="pct"/>
            <w:tcBorders>
              <w:top w:val="nil"/>
              <w:bottom w:val="nil"/>
            </w:tcBorders>
            <w:shd w:val="clear" w:color="auto" w:fill="auto"/>
            <w:noWrap/>
            <w:vAlign w:val="center"/>
          </w:tcPr>
          <w:p w14:paraId="7E1C2449" w14:textId="77777777" w:rsidR="00596354" w:rsidRPr="00312725" w:rsidRDefault="00596354" w:rsidP="000D3688">
            <w:pPr>
              <w:jc w:val="center"/>
              <w:rPr>
                <w:color w:val="002060"/>
                <w:sz w:val="18"/>
                <w:lang w:val="sr-Cyrl-CS"/>
              </w:rPr>
            </w:pPr>
            <w:r w:rsidRPr="00312725">
              <w:rPr>
                <w:color w:val="002060"/>
                <w:sz w:val="18"/>
                <w:lang w:val="sr-Cyrl-CS"/>
              </w:rPr>
              <w:t>3,3</w:t>
            </w:r>
          </w:p>
        </w:tc>
        <w:tc>
          <w:tcPr>
            <w:tcW w:w="603" w:type="pct"/>
            <w:tcBorders>
              <w:top w:val="nil"/>
              <w:bottom w:val="nil"/>
            </w:tcBorders>
            <w:shd w:val="clear" w:color="auto" w:fill="auto"/>
            <w:noWrap/>
            <w:vAlign w:val="center"/>
          </w:tcPr>
          <w:p w14:paraId="18A90912" w14:textId="77777777" w:rsidR="00596354" w:rsidRPr="00312725" w:rsidRDefault="00596354" w:rsidP="000D3688">
            <w:pPr>
              <w:jc w:val="center"/>
              <w:rPr>
                <w:color w:val="002060"/>
                <w:sz w:val="18"/>
                <w:lang w:val="sr-Cyrl-CS"/>
              </w:rPr>
            </w:pPr>
            <w:r w:rsidRPr="00312725">
              <w:rPr>
                <w:color w:val="002060"/>
                <w:sz w:val="18"/>
                <w:lang w:val="sr-Cyrl-CS"/>
              </w:rPr>
              <w:t>4,5</w:t>
            </w:r>
          </w:p>
        </w:tc>
        <w:tc>
          <w:tcPr>
            <w:tcW w:w="600" w:type="pct"/>
            <w:tcBorders>
              <w:top w:val="nil"/>
              <w:bottom w:val="nil"/>
              <w:right w:val="nil"/>
            </w:tcBorders>
            <w:shd w:val="clear" w:color="auto" w:fill="auto"/>
            <w:noWrap/>
            <w:vAlign w:val="center"/>
          </w:tcPr>
          <w:p w14:paraId="27CDB774" w14:textId="77777777" w:rsidR="00596354" w:rsidRPr="00312725" w:rsidRDefault="00596354" w:rsidP="000D3688">
            <w:pPr>
              <w:jc w:val="center"/>
              <w:rPr>
                <w:color w:val="002060"/>
                <w:sz w:val="18"/>
                <w:lang w:val="sr-Cyrl-CS"/>
              </w:rPr>
            </w:pPr>
            <w:r w:rsidRPr="00312725">
              <w:rPr>
                <w:color w:val="002060"/>
                <w:sz w:val="18"/>
                <w:lang w:val="sr-Cyrl-CS"/>
              </w:rPr>
              <w:t>4,9</w:t>
            </w:r>
          </w:p>
        </w:tc>
      </w:tr>
      <w:tr w:rsidR="00596354" w:rsidRPr="0007074F" w14:paraId="67BF920B" w14:textId="77777777" w:rsidTr="000D3688">
        <w:trPr>
          <w:trHeight w:val="281"/>
          <w:jc w:val="center"/>
        </w:trPr>
        <w:tc>
          <w:tcPr>
            <w:tcW w:w="2590" w:type="pct"/>
            <w:noWrap/>
            <w:vAlign w:val="center"/>
            <w:hideMark/>
          </w:tcPr>
          <w:p w14:paraId="1B3670DE"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Грађевинарство</w:t>
            </w:r>
          </w:p>
        </w:tc>
        <w:tc>
          <w:tcPr>
            <w:tcW w:w="603" w:type="pct"/>
            <w:tcBorders>
              <w:top w:val="nil"/>
              <w:left w:val="nil"/>
              <w:bottom w:val="nil"/>
            </w:tcBorders>
            <w:shd w:val="clear" w:color="auto" w:fill="auto"/>
            <w:noWrap/>
            <w:vAlign w:val="center"/>
          </w:tcPr>
          <w:p w14:paraId="1294B457" w14:textId="77777777" w:rsidR="00596354" w:rsidRPr="00312725" w:rsidRDefault="00596354" w:rsidP="000D3688">
            <w:pPr>
              <w:jc w:val="center"/>
              <w:rPr>
                <w:color w:val="002060"/>
                <w:sz w:val="18"/>
                <w:lang w:val="sr-Cyrl-CS"/>
              </w:rPr>
            </w:pPr>
            <w:r w:rsidRPr="00312725">
              <w:rPr>
                <w:color w:val="002060"/>
                <w:sz w:val="18"/>
                <w:lang w:val="sr-Cyrl-CS"/>
              </w:rPr>
              <w:t>8,6</w:t>
            </w:r>
          </w:p>
        </w:tc>
        <w:tc>
          <w:tcPr>
            <w:tcW w:w="604" w:type="pct"/>
            <w:tcBorders>
              <w:top w:val="nil"/>
              <w:bottom w:val="nil"/>
            </w:tcBorders>
            <w:shd w:val="clear" w:color="auto" w:fill="auto"/>
            <w:noWrap/>
            <w:vAlign w:val="center"/>
          </w:tcPr>
          <w:p w14:paraId="6DD73037" w14:textId="77777777" w:rsidR="00596354" w:rsidRPr="00312725" w:rsidRDefault="00596354" w:rsidP="000D3688">
            <w:pPr>
              <w:jc w:val="center"/>
              <w:rPr>
                <w:color w:val="002060"/>
                <w:sz w:val="18"/>
                <w:lang w:val="sr-Cyrl-CS"/>
              </w:rPr>
            </w:pPr>
            <w:r w:rsidRPr="00312725">
              <w:rPr>
                <w:color w:val="002060"/>
                <w:sz w:val="18"/>
                <w:lang w:val="sr-Cyrl-CS"/>
              </w:rPr>
              <w:t>5,5</w:t>
            </w:r>
          </w:p>
        </w:tc>
        <w:tc>
          <w:tcPr>
            <w:tcW w:w="603" w:type="pct"/>
            <w:tcBorders>
              <w:top w:val="nil"/>
              <w:bottom w:val="nil"/>
            </w:tcBorders>
            <w:shd w:val="clear" w:color="auto" w:fill="auto"/>
            <w:noWrap/>
            <w:vAlign w:val="center"/>
          </w:tcPr>
          <w:p w14:paraId="73619A2D" w14:textId="77777777" w:rsidR="00596354" w:rsidRPr="00312725" w:rsidRDefault="00596354" w:rsidP="000D3688">
            <w:pPr>
              <w:jc w:val="center"/>
              <w:rPr>
                <w:color w:val="002060"/>
                <w:sz w:val="18"/>
                <w:lang w:val="sr-Cyrl-CS"/>
              </w:rPr>
            </w:pPr>
            <w:r w:rsidRPr="00312725">
              <w:rPr>
                <w:color w:val="002060"/>
                <w:sz w:val="18"/>
                <w:lang w:val="sr-Cyrl-CS"/>
              </w:rPr>
              <w:t>6,0</w:t>
            </w:r>
          </w:p>
        </w:tc>
        <w:tc>
          <w:tcPr>
            <w:tcW w:w="600" w:type="pct"/>
            <w:tcBorders>
              <w:top w:val="nil"/>
              <w:bottom w:val="nil"/>
              <w:right w:val="nil"/>
            </w:tcBorders>
            <w:shd w:val="clear" w:color="auto" w:fill="auto"/>
            <w:noWrap/>
            <w:vAlign w:val="center"/>
          </w:tcPr>
          <w:p w14:paraId="02649548" w14:textId="77777777" w:rsidR="00596354" w:rsidRPr="00312725" w:rsidRDefault="00596354" w:rsidP="000D3688">
            <w:pPr>
              <w:jc w:val="center"/>
              <w:rPr>
                <w:color w:val="002060"/>
                <w:sz w:val="18"/>
                <w:lang w:val="sr-Cyrl-CS"/>
              </w:rPr>
            </w:pPr>
            <w:r w:rsidRPr="00312725">
              <w:rPr>
                <w:color w:val="002060"/>
                <w:sz w:val="18"/>
                <w:lang w:val="sr-Cyrl-CS"/>
              </w:rPr>
              <w:t>7,4</w:t>
            </w:r>
          </w:p>
        </w:tc>
      </w:tr>
      <w:tr w:rsidR="00596354" w:rsidRPr="0007074F" w14:paraId="2DDB5266" w14:textId="77777777" w:rsidTr="000D3688">
        <w:trPr>
          <w:trHeight w:val="281"/>
          <w:jc w:val="center"/>
        </w:trPr>
        <w:tc>
          <w:tcPr>
            <w:tcW w:w="2590" w:type="pct"/>
            <w:noWrap/>
            <w:vAlign w:val="center"/>
            <w:hideMark/>
          </w:tcPr>
          <w:p w14:paraId="3B529441"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Услуге</w:t>
            </w:r>
          </w:p>
        </w:tc>
        <w:tc>
          <w:tcPr>
            <w:tcW w:w="603" w:type="pct"/>
            <w:tcBorders>
              <w:top w:val="nil"/>
              <w:left w:val="nil"/>
              <w:bottom w:val="nil"/>
            </w:tcBorders>
            <w:shd w:val="clear" w:color="auto" w:fill="auto"/>
            <w:noWrap/>
            <w:vAlign w:val="center"/>
          </w:tcPr>
          <w:p w14:paraId="6A0E4D70" w14:textId="77777777" w:rsidR="00596354" w:rsidRPr="00312725" w:rsidRDefault="00596354" w:rsidP="000D3688">
            <w:pPr>
              <w:jc w:val="center"/>
              <w:rPr>
                <w:color w:val="002060"/>
                <w:sz w:val="18"/>
                <w:lang w:val="sr-Cyrl-CS"/>
              </w:rPr>
            </w:pPr>
            <w:r w:rsidRPr="00312725">
              <w:rPr>
                <w:color w:val="002060"/>
                <w:sz w:val="18"/>
                <w:lang w:val="sr-Cyrl-CS"/>
              </w:rPr>
              <w:t>2,0</w:t>
            </w:r>
          </w:p>
        </w:tc>
        <w:tc>
          <w:tcPr>
            <w:tcW w:w="604" w:type="pct"/>
            <w:tcBorders>
              <w:top w:val="nil"/>
              <w:bottom w:val="nil"/>
            </w:tcBorders>
            <w:shd w:val="clear" w:color="auto" w:fill="auto"/>
            <w:noWrap/>
            <w:vAlign w:val="center"/>
          </w:tcPr>
          <w:p w14:paraId="41BDBAFF" w14:textId="77777777" w:rsidR="00596354" w:rsidRPr="00312725" w:rsidRDefault="00596354" w:rsidP="000D3688">
            <w:pPr>
              <w:jc w:val="center"/>
              <w:rPr>
                <w:color w:val="002060"/>
                <w:sz w:val="18"/>
                <w:lang w:val="sr-Cyrl-CS"/>
              </w:rPr>
            </w:pPr>
            <w:r w:rsidRPr="00312725">
              <w:rPr>
                <w:color w:val="002060"/>
                <w:sz w:val="18"/>
                <w:lang w:val="sr-Cyrl-CS"/>
              </w:rPr>
              <w:t>4,0</w:t>
            </w:r>
          </w:p>
        </w:tc>
        <w:tc>
          <w:tcPr>
            <w:tcW w:w="603" w:type="pct"/>
            <w:tcBorders>
              <w:top w:val="nil"/>
              <w:bottom w:val="nil"/>
            </w:tcBorders>
            <w:shd w:val="clear" w:color="auto" w:fill="auto"/>
            <w:noWrap/>
            <w:vAlign w:val="center"/>
          </w:tcPr>
          <w:p w14:paraId="26BBA566" w14:textId="77777777" w:rsidR="00596354" w:rsidRPr="00312725" w:rsidRDefault="00596354" w:rsidP="000D3688">
            <w:pPr>
              <w:jc w:val="center"/>
              <w:rPr>
                <w:color w:val="002060"/>
                <w:sz w:val="18"/>
                <w:lang w:val="sr-Cyrl-CS"/>
              </w:rPr>
            </w:pPr>
            <w:r w:rsidRPr="00312725">
              <w:rPr>
                <w:color w:val="002060"/>
                <w:sz w:val="18"/>
                <w:lang w:val="sr-Cyrl-CS"/>
              </w:rPr>
              <w:t>4,0</w:t>
            </w:r>
          </w:p>
        </w:tc>
        <w:tc>
          <w:tcPr>
            <w:tcW w:w="600" w:type="pct"/>
            <w:tcBorders>
              <w:top w:val="nil"/>
              <w:bottom w:val="nil"/>
              <w:right w:val="nil"/>
            </w:tcBorders>
            <w:shd w:val="clear" w:color="auto" w:fill="auto"/>
            <w:noWrap/>
            <w:vAlign w:val="center"/>
          </w:tcPr>
          <w:p w14:paraId="07C50EF4" w14:textId="77777777" w:rsidR="00596354" w:rsidRPr="00312725" w:rsidRDefault="00596354" w:rsidP="000D3688">
            <w:pPr>
              <w:jc w:val="center"/>
              <w:rPr>
                <w:color w:val="002060"/>
                <w:sz w:val="18"/>
                <w:lang w:val="sr-Cyrl-CS"/>
              </w:rPr>
            </w:pPr>
            <w:r w:rsidRPr="00312725">
              <w:rPr>
                <w:color w:val="002060"/>
                <w:sz w:val="18"/>
                <w:lang w:val="sr-Cyrl-CS"/>
              </w:rPr>
              <w:t>4,2</w:t>
            </w:r>
          </w:p>
        </w:tc>
      </w:tr>
      <w:tr w:rsidR="00596354" w:rsidRPr="0007074F" w14:paraId="13B3E545" w14:textId="77777777" w:rsidTr="000D3688">
        <w:trPr>
          <w:trHeight w:val="281"/>
          <w:jc w:val="center"/>
        </w:trPr>
        <w:tc>
          <w:tcPr>
            <w:tcW w:w="2590" w:type="pct"/>
            <w:noWrap/>
            <w:vAlign w:val="center"/>
          </w:tcPr>
          <w:p w14:paraId="51F4EFE4"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Нето порези</w:t>
            </w:r>
          </w:p>
        </w:tc>
        <w:tc>
          <w:tcPr>
            <w:tcW w:w="603" w:type="pct"/>
            <w:tcBorders>
              <w:top w:val="nil"/>
              <w:left w:val="nil"/>
              <w:bottom w:val="nil"/>
            </w:tcBorders>
            <w:shd w:val="clear" w:color="auto" w:fill="auto"/>
            <w:noWrap/>
            <w:vAlign w:val="center"/>
          </w:tcPr>
          <w:p w14:paraId="3CA3D9B1" w14:textId="77777777" w:rsidR="00596354" w:rsidRPr="00312725" w:rsidRDefault="00596354" w:rsidP="000D3688">
            <w:pPr>
              <w:jc w:val="center"/>
              <w:rPr>
                <w:color w:val="002060"/>
                <w:sz w:val="18"/>
                <w:lang w:val="sr-Cyrl-CS"/>
              </w:rPr>
            </w:pPr>
            <w:r w:rsidRPr="00312725">
              <w:rPr>
                <w:color w:val="002060"/>
                <w:sz w:val="18"/>
                <w:lang w:val="sr-Cyrl-CS"/>
              </w:rPr>
              <w:t>0,4</w:t>
            </w:r>
          </w:p>
        </w:tc>
        <w:tc>
          <w:tcPr>
            <w:tcW w:w="604" w:type="pct"/>
            <w:tcBorders>
              <w:top w:val="nil"/>
              <w:bottom w:val="nil"/>
            </w:tcBorders>
            <w:shd w:val="clear" w:color="auto" w:fill="auto"/>
            <w:noWrap/>
            <w:vAlign w:val="center"/>
          </w:tcPr>
          <w:p w14:paraId="74E3294C" w14:textId="77777777" w:rsidR="00596354" w:rsidRPr="00312725" w:rsidRDefault="00596354" w:rsidP="000D3688">
            <w:pPr>
              <w:jc w:val="center"/>
              <w:rPr>
                <w:color w:val="002060"/>
                <w:sz w:val="18"/>
                <w:lang w:val="sr-Cyrl-CS"/>
              </w:rPr>
            </w:pPr>
            <w:r w:rsidRPr="00312725">
              <w:rPr>
                <w:color w:val="002060"/>
                <w:sz w:val="18"/>
                <w:lang w:val="sr-Cyrl-CS"/>
              </w:rPr>
              <w:t>3,5</w:t>
            </w:r>
          </w:p>
        </w:tc>
        <w:tc>
          <w:tcPr>
            <w:tcW w:w="603" w:type="pct"/>
            <w:tcBorders>
              <w:top w:val="nil"/>
              <w:bottom w:val="nil"/>
            </w:tcBorders>
            <w:shd w:val="clear" w:color="auto" w:fill="auto"/>
            <w:noWrap/>
            <w:vAlign w:val="center"/>
          </w:tcPr>
          <w:p w14:paraId="49B44C2F" w14:textId="77777777" w:rsidR="00596354" w:rsidRPr="00312725" w:rsidRDefault="00596354" w:rsidP="000D3688">
            <w:pPr>
              <w:jc w:val="center"/>
              <w:rPr>
                <w:color w:val="002060"/>
                <w:sz w:val="18"/>
                <w:lang w:val="sr-Cyrl-CS"/>
              </w:rPr>
            </w:pPr>
            <w:r w:rsidRPr="00312725">
              <w:rPr>
                <w:color w:val="002060"/>
                <w:sz w:val="18"/>
                <w:lang w:val="sr-Cyrl-CS"/>
              </w:rPr>
              <w:t>3,6</w:t>
            </w:r>
          </w:p>
        </w:tc>
        <w:tc>
          <w:tcPr>
            <w:tcW w:w="600" w:type="pct"/>
            <w:tcBorders>
              <w:top w:val="nil"/>
              <w:bottom w:val="nil"/>
              <w:right w:val="nil"/>
            </w:tcBorders>
            <w:shd w:val="clear" w:color="auto" w:fill="auto"/>
            <w:noWrap/>
            <w:vAlign w:val="center"/>
          </w:tcPr>
          <w:p w14:paraId="24DB7F6B" w14:textId="77777777" w:rsidR="00596354" w:rsidRPr="00312725" w:rsidRDefault="00596354" w:rsidP="000D3688">
            <w:pPr>
              <w:jc w:val="center"/>
              <w:rPr>
                <w:color w:val="002060"/>
                <w:sz w:val="18"/>
                <w:lang w:val="sr-Cyrl-CS"/>
              </w:rPr>
            </w:pPr>
            <w:r w:rsidRPr="00312725">
              <w:rPr>
                <w:color w:val="002060"/>
                <w:sz w:val="18"/>
                <w:lang w:val="sr-Cyrl-CS"/>
              </w:rPr>
              <w:t>3,7</w:t>
            </w:r>
          </w:p>
        </w:tc>
      </w:tr>
      <w:tr w:rsidR="00596354" w:rsidRPr="0007074F" w14:paraId="31F29076" w14:textId="77777777" w:rsidTr="000D3688">
        <w:trPr>
          <w:trHeight w:val="281"/>
          <w:jc w:val="center"/>
        </w:trPr>
        <w:tc>
          <w:tcPr>
            <w:tcW w:w="2590" w:type="pct"/>
            <w:shd w:val="clear" w:color="auto" w:fill="E7E6E6" w:themeFill="background2"/>
            <w:noWrap/>
            <w:vAlign w:val="center"/>
            <w:hideMark/>
          </w:tcPr>
          <w:p w14:paraId="776F40C9" w14:textId="77777777" w:rsidR="00596354" w:rsidRPr="0007074F" w:rsidRDefault="00596354" w:rsidP="00953528">
            <w:pPr>
              <w:jc w:val="left"/>
              <w:rPr>
                <w:rFonts w:eastAsia="Calibri" w:cstheme="minorHAnsi"/>
                <w:bCs/>
                <w:color w:val="002060"/>
                <w:sz w:val="18"/>
                <w:szCs w:val="18"/>
                <w:lang w:val="sr-Cyrl-CS"/>
              </w:rPr>
            </w:pPr>
            <w:r w:rsidRPr="0007074F">
              <w:rPr>
                <w:rFonts w:eastAsia="Calibri" w:cstheme="minorHAnsi"/>
                <w:iCs/>
                <w:color w:val="002060"/>
                <w:sz w:val="18"/>
                <w:szCs w:val="18"/>
                <w:lang w:val="sr-Cyrl-CS"/>
              </w:rPr>
              <w:t>Допринос расту БДП, процентни поени</w:t>
            </w:r>
          </w:p>
        </w:tc>
        <w:tc>
          <w:tcPr>
            <w:tcW w:w="603" w:type="pct"/>
            <w:shd w:val="clear" w:color="auto" w:fill="E7E6E6" w:themeFill="background2"/>
            <w:vAlign w:val="center"/>
          </w:tcPr>
          <w:p w14:paraId="02154C1F" w14:textId="77777777" w:rsidR="00596354" w:rsidRPr="00312725" w:rsidRDefault="00596354" w:rsidP="000D3688">
            <w:pPr>
              <w:jc w:val="center"/>
              <w:rPr>
                <w:rFonts w:eastAsia="Calibri" w:cstheme="minorHAnsi"/>
                <w:bCs/>
                <w:color w:val="002060"/>
                <w:sz w:val="18"/>
                <w:szCs w:val="18"/>
                <w:lang w:val="sr-Cyrl-CS"/>
              </w:rPr>
            </w:pPr>
          </w:p>
        </w:tc>
        <w:tc>
          <w:tcPr>
            <w:tcW w:w="604" w:type="pct"/>
            <w:shd w:val="clear" w:color="auto" w:fill="E7E6E6" w:themeFill="background2"/>
            <w:vAlign w:val="center"/>
          </w:tcPr>
          <w:p w14:paraId="0615E05C" w14:textId="77777777" w:rsidR="00596354" w:rsidRPr="00312725" w:rsidRDefault="00596354" w:rsidP="000D3688">
            <w:pPr>
              <w:jc w:val="center"/>
              <w:rPr>
                <w:rFonts w:eastAsia="Calibri" w:cstheme="minorHAnsi"/>
                <w:bCs/>
                <w:color w:val="002060"/>
                <w:sz w:val="18"/>
                <w:szCs w:val="18"/>
                <w:lang w:val="sr-Cyrl-CS"/>
              </w:rPr>
            </w:pPr>
          </w:p>
        </w:tc>
        <w:tc>
          <w:tcPr>
            <w:tcW w:w="603" w:type="pct"/>
            <w:shd w:val="clear" w:color="auto" w:fill="E7E6E6" w:themeFill="background2"/>
            <w:vAlign w:val="center"/>
          </w:tcPr>
          <w:p w14:paraId="104CEB84" w14:textId="77777777" w:rsidR="00596354" w:rsidRPr="00312725" w:rsidRDefault="00596354" w:rsidP="000D3688">
            <w:pPr>
              <w:jc w:val="center"/>
              <w:rPr>
                <w:rFonts w:eastAsia="Calibri" w:cstheme="minorHAnsi"/>
                <w:bCs/>
                <w:color w:val="002060"/>
                <w:sz w:val="18"/>
                <w:szCs w:val="18"/>
                <w:lang w:val="sr-Cyrl-CS"/>
              </w:rPr>
            </w:pPr>
          </w:p>
        </w:tc>
        <w:tc>
          <w:tcPr>
            <w:tcW w:w="600" w:type="pct"/>
            <w:shd w:val="clear" w:color="auto" w:fill="E7E6E6" w:themeFill="background2"/>
            <w:vAlign w:val="center"/>
          </w:tcPr>
          <w:p w14:paraId="71F3D300" w14:textId="77777777" w:rsidR="00596354" w:rsidRPr="00312725" w:rsidRDefault="00596354" w:rsidP="000D3688">
            <w:pPr>
              <w:jc w:val="center"/>
              <w:rPr>
                <w:rFonts w:eastAsia="Calibri" w:cstheme="minorHAnsi"/>
                <w:bCs/>
                <w:color w:val="002060"/>
                <w:sz w:val="18"/>
                <w:szCs w:val="18"/>
                <w:lang w:val="sr-Cyrl-CS"/>
              </w:rPr>
            </w:pPr>
          </w:p>
        </w:tc>
      </w:tr>
      <w:tr w:rsidR="00596354" w:rsidRPr="0007074F" w14:paraId="3B7CEEE6" w14:textId="77777777" w:rsidTr="000D3688">
        <w:trPr>
          <w:trHeight w:val="281"/>
          <w:jc w:val="center"/>
        </w:trPr>
        <w:tc>
          <w:tcPr>
            <w:tcW w:w="2590" w:type="pct"/>
            <w:noWrap/>
            <w:vAlign w:val="center"/>
            <w:hideMark/>
          </w:tcPr>
          <w:p w14:paraId="419CDEDA"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Пољопривреда</w:t>
            </w:r>
          </w:p>
        </w:tc>
        <w:tc>
          <w:tcPr>
            <w:tcW w:w="603" w:type="pct"/>
            <w:tcBorders>
              <w:top w:val="nil"/>
              <w:left w:val="nil"/>
              <w:bottom w:val="nil"/>
            </w:tcBorders>
            <w:shd w:val="clear" w:color="auto" w:fill="auto"/>
            <w:noWrap/>
            <w:vAlign w:val="center"/>
          </w:tcPr>
          <w:p w14:paraId="3A1E1ED2" w14:textId="77777777" w:rsidR="00596354" w:rsidRPr="00312725" w:rsidRDefault="00596354" w:rsidP="000D3688">
            <w:pPr>
              <w:jc w:val="center"/>
              <w:rPr>
                <w:color w:val="002060"/>
                <w:sz w:val="18"/>
                <w:lang w:val="sr-Cyrl-CS"/>
              </w:rPr>
            </w:pPr>
            <w:r w:rsidRPr="00312725">
              <w:rPr>
                <w:color w:val="002060"/>
                <w:sz w:val="18"/>
                <w:lang w:val="sr-Cyrl-CS"/>
              </w:rPr>
              <w:t>0,6</w:t>
            </w:r>
          </w:p>
        </w:tc>
        <w:tc>
          <w:tcPr>
            <w:tcW w:w="604" w:type="pct"/>
            <w:tcBorders>
              <w:top w:val="nil"/>
              <w:bottom w:val="nil"/>
            </w:tcBorders>
            <w:shd w:val="clear" w:color="auto" w:fill="auto"/>
            <w:noWrap/>
            <w:vAlign w:val="center"/>
          </w:tcPr>
          <w:p w14:paraId="30913F06" w14:textId="77777777" w:rsidR="00596354" w:rsidRPr="00312725" w:rsidRDefault="00596354" w:rsidP="000D3688">
            <w:pPr>
              <w:jc w:val="center"/>
              <w:rPr>
                <w:color w:val="002060"/>
                <w:sz w:val="18"/>
                <w:lang w:val="sr-Cyrl-CS"/>
              </w:rPr>
            </w:pPr>
            <w:r w:rsidRPr="00312725">
              <w:rPr>
                <w:color w:val="002060"/>
                <w:sz w:val="18"/>
                <w:lang w:val="sr-Cyrl-CS"/>
              </w:rPr>
              <w:t>-0,2</w:t>
            </w:r>
          </w:p>
        </w:tc>
        <w:tc>
          <w:tcPr>
            <w:tcW w:w="603" w:type="pct"/>
            <w:tcBorders>
              <w:top w:val="nil"/>
              <w:bottom w:val="nil"/>
            </w:tcBorders>
            <w:shd w:val="clear" w:color="auto" w:fill="auto"/>
            <w:noWrap/>
            <w:vAlign w:val="center"/>
          </w:tcPr>
          <w:p w14:paraId="4F2B8FC3" w14:textId="77777777" w:rsidR="00596354" w:rsidRPr="00312725" w:rsidRDefault="00596354" w:rsidP="000D3688">
            <w:pPr>
              <w:jc w:val="center"/>
              <w:rPr>
                <w:color w:val="002060"/>
                <w:sz w:val="18"/>
                <w:lang w:val="sr-Cyrl-CS"/>
              </w:rPr>
            </w:pPr>
            <w:r w:rsidRPr="00312725">
              <w:rPr>
                <w:color w:val="002060"/>
                <w:sz w:val="18"/>
                <w:lang w:val="sr-Cyrl-CS"/>
              </w:rPr>
              <w:t>0,0</w:t>
            </w:r>
          </w:p>
        </w:tc>
        <w:tc>
          <w:tcPr>
            <w:tcW w:w="600" w:type="pct"/>
            <w:tcBorders>
              <w:top w:val="nil"/>
              <w:bottom w:val="nil"/>
            </w:tcBorders>
            <w:shd w:val="clear" w:color="auto" w:fill="auto"/>
            <w:noWrap/>
            <w:vAlign w:val="center"/>
          </w:tcPr>
          <w:p w14:paraId="553709B9" w14:textId="77777777" w:rsidR="00596354" w:rsidRPr="00312725" w:rsidRDefault="00596354" w:rsidP="000D3688">
            <w:pPr>
              <w:jc w:val="center"/>
              <w:rPr>
                <w:color w:val="002060"/>
                <w:sz w:val="18"/>
                <w:lang w:val="sr-Cyrl-CS"/>
              </w:rPr>
            </w:pPr>
            <w:r w:rsidRPr="00312725">
              <w:rPr>
                <w:color w:val="002060"/>
                <w:sz w:val="18"/>
                <w:lang w:val="sr-Cyrl-CS"/>
              </w:rPr>
              <w:t>0,0</w:t>
            </w:r>
          </w:p>
        </w:tc>
      </w:tr>
      <w:tr w:rsidR="00596354" w:rsidRPr="0007074F" w14:paraId="5C82D09A" w14:textId="77777777" w:rsidTr="000D3688">
        <w:trPr>
          <w:trHeight w:val="281"/>
          <w:jc w:val="center"/>
        </w:trPr>
        <w:tc>
          <w:tcPr>
            <w:tcW w:w="2590" w:type="pct"/>
            <w:noWrap/>
            <w:vAlign w:val="center"/>
            <w:hideMark/>
          </w:tcPr>
          <w:p w14:paraId="42E5CE96"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Индустрија</w:t>
            </w:r>
          </w:p>
        </w:tc>
        <w:tc>
          <w:tcPr>
            <w:tcW w:w="603" w:type="pct"/>
            <w:tcBorders>
              <w:top w:val="nil"/>
              <w:left w:val="nil"/>
              <w:bottom w:val="nil"/>
            </w:tcBorders>
            <w:shd w:val="clear" w:color="auto" w:fill="auto"/>
            <w:noWrap/>
            <w:vAlign w:val="center"/>
          </w:tcPr>
          <w:p w14:paraId="053332F4" w14:textId="77777777" w:rsidR="00596354" w:rsidRPr="00312725" w:rsidRDefault="00596354" w:rsidP="000D3688">
            <w:pPr>
              <w:jc w:val="center"/>
              <w:rPr>
                <w:color w:val="002060"/>
                <w:sz w:val="18"/>
                <w:lang w:val="sr-Cyrl-CS"/>
              </w:rPr>
            </w:pPr>
            <w:r w:rsidRPr="00312725">
              <w:rPr>
                <w:color w:val="002060"/>
                <w:sz w:val="18"/>
                <w:lang w:val="sr-Cyrl-CS"/>
              </w:rPr>
              <w:t>0,4</w:t>
            </w:r>
          </w:p>
        </w:tc>
        <w:tc>
          <w:tcPr>
            <w:tcW w:w="604" w:type="pct"/>
            <w:tcBorders>
              <w:top w:val="nil"/>
              <w:bottom w:val="nil"/>
            </w:tcBorders>
            <w:shd w:val="clear" w:color="auto" w:fill="auto"/>
            <w:noWrap/>
            <w:vAlign w:val="center"/>
          </w:tcPr>
          <w:p w14:paraId="183661AE" w14:textId="77777777" w:rsidR="00596354" w:rsidRPr="00312725" w:rsidRDefault="00596354" w:rsidP="000D3688">
            <w:pPr>
              <w:jc w:val="center"/>
              <w:rPr>
                <w:color w:val="002060"/>
                <w:sz w:val="18"/>
                <w:lang w:val="sr-Cyrl-CS"/>
              </w:rPr>
            </w:pPr>
            <w:r w:rsidRPr="00312725">
              <w:rPr>
                <w:color w:val="002060"/>
                <w:sz w:val="18"/>
                <w:lang w:val="sr-Cyrl-CS"/>
              </w:rPr>
              <w:t>0,7</w:t>
            </w:r>
          </w:p>
        </w:tc>
        <w:tc>
          <w:tcPr>
            <w:tcW w:w="603" w:type="pct"/>
            <w:tcBorders>
              <w:top w:val="nil"/>
              <w:bottom w:val="nil"/>
            </w:tcBorders>
            <w:shd w:val="clear" w:color="auto" w:fill="auto"/>
            <w:noWrap/>
            <w:vAlign w:val="center"/>
          </w:tcPr>
          <w:p w14:paraId="794E1C09" w14:textId="77777777" w:rsidR="00596354" w:rsidRPr="00312725" w:rsidRDefault="00596354" w:rsidP="000D3688">
            <w:pPr>
              <w:jc w:val="center"/>
              <w:rPr>
                <w:color w:val="002060"/>
                <w:sz w:val="18"/>
                <w:lang w:val="sr-Cyrl-CS"/>
              </w:rPr>
            </w:pPr>
            <w:r w:rsidRPr="00312725">
              <w:rPr>
                <w:color w:val="002060"/>
                <w:sz w:val="18"/>
                <w:lang w:val="sr-Cyrl-CS"/>
              </w:rPr>
              <w:t>0,9</w:t>
            </w:r>
          </w:p>
        </w:tc>
        <w:tc>
          <w:tcPr>
            <w:tcW w:w="600" w:type="pct"/>
            <w:tcBorders>
              <w:top w:val="nil"/>
              <w:bottom w:val="nil"/>
            </w:tcBorders>
            <w:shd w:val="clear" w:color="auto" w:fill="auto"/>
            <w:noWrap/>
            <w:vAlign w:val="center"/>
          </w:tcPr>
          <w:p w14:paraId="44967E94" w14:textId="77777777" w:rsidR="00596354" w:rsidRPr="00312725" w:rsidRDefault="00596354" w:rsidP="000D3688">
            <w:pPr>
              <w:jc w:val="center"/>
              <w:rPr>
                <w:color w:val="002060"/>
                <w:sz w:val="18"/>
                <w:lang w:val="sr-Cyrl-CS"/>
              </w:rPr>
            </w:pPr>
            <w:r w:rsidRPr="00312725">
              <w:rPr>
                <w:color w:val="002060"/>
                <w:sz w:val="18"/>
                <w:lang w:val="sr-Cyrl-CS"/>
              </w:rPr>
              <w:t>1,0</w:t>
            </w:r>
          </w:p>
        </w:tc>
      </w:tr>
      <w:tr w:rsidR="00596354" w:rsidRPr="0007074F" w14:paraId="0C6C1290" w14:textId="77777777" w:rsidTr="000D3688">
        <w:trPr>
          <w:trHeight w:val="281"/>
          <w:jc w:val="center"/>
        </w:trPr>
        <w:tc>
          <w:tcPr>
            <w:tcW w:w="2590" w:type="pct"/>
            <w:noWrap/>
            <w:vAlign w:val="center"/>
            <w:hideMark/>
          </w:tcPr>
          <w:p w14:paraId="21897FCF"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Грађевинарство</w:t>
            </w:r>
          </w:p>
        </w:tc>
        <w:tc>
          <w:tcPr>
            <w:tcW w:w="603" w:type="pct"/>
            <w:tcBorders>
              <w:top w:val="nil"/>
              <w:left w:val="nil"/>
              <w:bottom w:val="nil"/>
            </w:tcBorders>
            <w:shd w:val="clear" w:color="auto" w:fill="auto"/>
            <w:noWrap/>
            <w:vAlign w:val="center"/>
          </w:tcPr>
          <w:p w14:paraId="32F8F633" w14:textId="77777777" w:rsidR="00596354" w:rsidRPr="00312725" w:rsidRDefault="00596354" w:rsidP="000D3688">
            <w:pPr>
              <w:jc w:val="center"/>
              <w:rPr>
                <w:color w:val="002060"/>
                <w:sz w:val="18"/>
                <w:lang w:val="sr-Cyrl-CS"/>
              </w:rPr>
            </w:pPr>
            <w:r w:rsidRPr="00312725">
              <w:rPr>
                <w:color w:val="002060"/>
                <w:sz w:val="18"/>
                <w:lang w:val="sr-Cyrl-CS"/>
              </w:rPr>
              <w:t>0,5</w:t>
            </w:r>
          </w:p>
        </w:tc>
        <w:tc>
          <w:tcPr>
            <w:tcW w:w="604" w:type="pct"/>
            <w:tcBorders>
              <w:top w:val="nil"/>
              <w:bottom w:val="nil"/>
            </w:tcBorders>
            <w:shd w:val="clear" w:color="auto" w:fill="auto"/>
            <w:noWrap/>
            <w:vAlign w:val="center"/>
          </w:tcPr>
          <w:p w14:paraId="1409DFBE" w14:textId="77777777" w:rsidR="00596354" w:rsidRPr="00312725" w:rsidRDefault="00596354" w:rsidP="000D3688">
            <w:pPr>
              <w:jc w:val="center"/>
              <w:rPr>
                <w:color w:val="002060"/>
                <w:sz w:val="18"/>
                <w:lang w:val="sr-Cyrl-CS"/>
              </w:rPr>
            </w:pPr>
            <w:r w:rsidRPr="00312725">
              <w:rPr>
                <w:color w:val="002060"/>
                <w:sz w:val="18"/>
                <w:lang w:val="sr-Cyrl-CS"/>
              </w:rPr>
              <w:t>0,3</w:t>
            </w:r>
          </w:p>
        </w:tc>
        <w:tc>
          <w:tcPr>
            <w:tcW w:w="603" w:type="pct"/>
            <w:tcBorders>
              <w:top w:val="nil"/>
              <w:bottom w:val="nil"/>
            </w:tcBorders>
            <w:shd w:val="clear" w:color="auto" w:fill="auto"/>
            <w:noWrap/>
            <w:vAlign w:val="center"/>
          </w:tcPr>
          <w:p w14:paraId="59D92E00" w14:textId="77777777" w:rsidR="00596354" w:rsidRPr="00312725" w:rsidRDefault="00596354" w:rsidP="000D3688">
            <w:pPr>
              <w:jc w:val="center"/>
              <w:rPr>
                <w:color w:val="002060"/>
                <w:sz w:val="18"/>
                <w:lang w:val="sr-Cyrl-CS"/>
              </w:rPr>
            </w:pPr>
            <w:r w:rsidRPr="00312725">
              <w:rPr>
                <w:color w:val="002060"/>
                <w:sz w:val="18"/>
                <w:lang w:val="sr-Cyrl-CS"/>
              </w:rPr>
              <w:t>0,3</w:t>
            </w:r>
          </w:p>
        </w:tc>
        <w:tc>
          <w:tcPr>
            <w:tcW w:w="600" w:type="pct"/>
            <w:tcBorders>
              <w:top w:val="nil"/>
              <w:bottom w:val="nil"/>
            </w:tcBorders>
            <w:shd w:val="clear" w:color="auto" w:fill="auto"/>
            <w:noWrap/>
            <w:vAlign w:val="center"/>
          </w:tcPr>
          <w:p w14:paraId="7BC695C1" w14:textId="77777777" w:rsidR="00596354" w:rsidRPr="00312725" w:rsidRDefault="00596354" w:rsidP="000D3688">
            <w:pPr>
              <w:jc w:val="center"/>
              <w:rPr>
                <w:color w:val="002060"/>
                <w:sz w:val="18"/>
                <w:lang w:val="sr-Cyrl-CS"/>
              </w:rPr>
            </w:pPr>
            <w:r w:rsidRPr="00312725">
              <w:rPr>
                <w:color w:val="002060"/>
                <w:sz w:val="18"/>
                <w:lang w:val="sr-Cyrl-CS"/>
              </w:rPr>
              <w:t>0,4</w:t>
            </w:r>
          </w:p>
        </w:tc>
      </w:tr>
      <w:tr w:rsidR="00596354" w:rsidRPr="0007074F" w14:paraId="1459F2F4" w14:textId="77777777" w:rsidTr="000D3688">
        <w:trPr>
          <w:trHeight w:val="281"/>
          <w:jc w:val="center"/>
        </w:trPr>
        <w:tc>
          <w:tcPr>
            <w:tcW w:w="2590" w:type="pct"/>
            <w:noWrap/>
            <w:vAlign w:val="center"/>
            <w:hideMark/>
          </w:tcPr>
          <w:p w14:paraId="2910E51F"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Услуге</w:t>
            </w:r>
          </w:p>
        </w:tc>
        <w:tc>
          <w:tcPr>
            <w:tcW w:w="603" w:type="pct"/>
            <w:tcBorders>
              <w:top w:val="nil"/>
              <w:left w:val="nil"/>
              <w:bottom w:val="nil"/>
            </w:tcBorders>
            <w:shd w:val="clear" w:color="auto" w:fill="auto"/>
            <w:noWrap/>
            <w:vAlign w:val="center"/>
          </w:tcPr>
          <w:p w14:paraId="0832A2B1" w14:textId="77777777" w:rsidR="00596354" w:rsidRPr="00312725" w:rsidRDefault="00596354" w:rsidP="000D3688">
            <w:pPr>
              <w:jc w:val="center"/>
              <w:rPr>
                <w:color w:val="002060"/>
                <w:sz w:val="18"/>
                <w:lang w:val="sr-Cyrl-CS"/>
              </w:rPr>
            </w:pPr>
            <w:r w:rsidRPr="00312725">
              <w:rPr>
                <w:color w:val="002060"/>
                <w:sz w:val="18"/>
                <w:lang w:val="sr-Cyrl-CS"/>
              </w:rPr>
              <w:t>1,0</w:t>
            </w:r>
          </w:p>
        </w:tc>
        <w:tc>
          <w:tcPr>
            <w:tcW w:w="604" w:type="pct"/>
            <w:tcBorders>
              <w:top w:val="nil"/>
              <w:bottom w:val="nil"/>
            </w:tcBorders>
            <w:shd w:val="clear" w:color="auto" w:fill="auto"/>
            <w:noWrap/>
            <w:vAlign w:val="center"/>
          </w:tcPr>
          <w:p w14:paraId="19981E45" w14:textId="77777777" w:rsidR="00596354" w:rsidRPr="00312725" w:rsidRDefault="00596354" w:rsidP="000D3688">
            <w:pPr>
              <w:jc w:val="center"/>
              <w:rPr>
                <w:color w:val="002060"/>
                <w:sz w:val="18"/>
                <w:lang w:val="sr-Cyrl-CS"/>
              </w:rPr>
            </w:pPr>
            <w:r w:rsidRPr="00312725">
              <w:rPr>
                <w:color w:val="002060"/>
                <w:sz w:val="18"/>
                <w:lang w:val="sr-Cyrl-CS"/>
              </w:rPr>
              <w:t>2,1</w:t>
            </w:r>
          </w:p>
        </w:tc>
        <w:tc>
          <w:tcPr>
            <w:tcW w:w="603" w:type="pct"/>
            <w:tcBorders>
              <w:top w:val="nil"/>
              <w:bottom w:val="nil"/>
            </w:tcBorders>
            <w:shd w:val="clear" w:color="auto" w:fill="auto"/>
            <w:noWrap/>
            <w:vAlign w:val="center"/>
          </w:tcPr>
          <w:p w14:paraId="7BCDF8DB" w14:textId="77777777" w:rsidR="00596354" w:rsidRPr="00312725" w:rsidRDefault="00596354" w:rsidP="000D3688">
            <w:pPr>
              <w:jc w:val="center"/>
              <w:rPr>
                <w:color w:val="002060"/>
                <w:sz w:val="18"/>
                <w:lang w:val="sr-Cyrl-CS"/>
              </w:rPr>
            </w:pPr>
            <w:r w:rsidRPr="00312725">
              <w:rPr>
                <w:color w:val="002060"/>
                <w:sz w:val="18"/>
                <w:lang w:val="sr-Cyrl-CS"/>
              </w:rPr>
              <w:t>2,1</w:t>
            </w:r>
          </w:p>
        </w:tc>
        <w:tc>
          <w:tcPr>
            <w:tcW w:w="600" w:type="pct"/>
            <w:tcBorders>
              <w:top w:val="nil"/>
              <w:bottom w:val="nil"/>
            </w:tcBorders>
            <w:shd w:val="clear" w:color="auto" w:fill="auto"/>
            <w:noWrap/>
            <w:vAlign w:val="center"/>
          </w:tcPr>
          <w:p w14:paraId="27D0E7D1" w14:textId="77777777" w:rsidR="00596354" w:rsidRPr="00312725" w:rsidRDefault="00596354" w:rsidP="000D3688">
            <w:pPr>
              <w:jc w:val="center"/>
              <w:rPr>
                <w:color w:val="002060"/>
                <w:sz w:val="18"/>
                <w:lang w:val="sr-Cyrl-CS"/>
              </w:rPr>
            </w:pPr>
            <w:r w:rsidRPr="00312725">
              <w:rPr>
                <w:color w:val="002060"/>
                <w:sz w:val="18"/>
                <w:lang w:val="sr-Cyrl-CS"/>
              </w:rPr>
              <w:t>2,2</w:t>
            </w:r>
          </w:p>
        </w:tc>
      </w:tr>
      <w:tr w:rsidR="00596354" w:rsidRPr="0007074F" w14:paraId="0E33B78F" w14:textId="77777777" w:rsidTr="000D3688">
        <w:trPr>
          <w:trHeight w:val="281"/>
          <w:jc w:val="center"/>
        </w:trPr>
        <w:tc>
          <w:tcPr>
            <w:tcW w:w="2590" w:type="pct"/>
            <w:noWrap/>
            <w:vAlign w:val="center"/>
          </w:tcPr>
          <w:p w14:paraId="59CA2CB1"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Нето порези</w:t>
            </w:r>
          </w:p>
        </w:tc>
        <w:tc>
          <w:tcPr>
            <w:tcW w:w="603" w:type="pct"/>
            <w:tcBorders>
              <w:top w:val="nil"/>
              <w:left w:val="nil"/>
              <w:bottom w:val="nil"/>
            </w:tcBorders>
            <w:shd w:val="clear" w:color="auto" w:fill="auto"/>
            <w:noWrap/>
            <w:vAlign w:val="center"/>
          </w:tcPr>
          <w:p w14:paraId="3C216907" w14:textId="77777777" w:rsidR="00596354" w:rsidRPr="00312725" w:rsidRDefault="00596354" w:rsidP="000D3688">
            <w:pPr>
              <w:jc w:val="center"/>
              <w:rPr>
                <w:color w:val="002060"/>
                <w:sz w:val="18"/>
                <w:lang w:val="sr-Cyrl-CS"/>
              </w:rPr>
            </w:pPr>
            <w:r w:rsidRPr="00312725">
              <w:rPr>
                <w:color w:val="002060"/>
                <w:sz w:val="18"/>
                <w:lang w:val="sr-Cyrl-CS"/>
              </w:rPr>
              <w:t>0,1</w:t>
            </w:r>
          </w:p>
        </w:tc>
        <w:tc>
          <w:tcPr>
            <w:tcW w:w="604" w:type="pct"/>
            <w:tcBorders>
              <w:top w:val="nil"/>
              <w:bottom w:val="nil"/>
            </w:tcBorders>
            <w:shd w:val="clear" w:color="auto" w:fill="auto"/>
            <w:noWrap/>
            <w:vAlign w:val="center"/>
          </w:tcPr>
          <w:p w14:paraId="68C70C81" w14:textId="77777777" w:rsidR="00596354" w:rsidRPr="00312725" w:rsidRDefault="00596354" w:rsidP="000D3688">
            <w:pPr>
              <w:jc w:val="center"/>
              <w:rPr>
                <w:color w:val="002060"/>
                <w:sz w:val="18"/>
                <w:lang w:val="sr-Cyrl-CS"/>
              </w:rPr>
            </w:pPr>
            <w:r w:rsidRPr="00312725">
              <w:rPr>
                <w:color w:val="002060"/>
                <w:sz w:val="18"/>
                <w:lang w:val="sr-Cyrl-CS"/>
              </w:rPr>
              <w:t>0,6</w:t>
            </w:r>
          </w:p>
        </w:tc>
        <w:tc>
          <w:tcPr>
            <w:tcW w:w="603" w:type="pct"/>
            <w:tcBorders>
              <w:top w:val="nil"/>
              <w:bottom w:val="nil"/>
            </w:tcBorders>
            <w:shd w:val="clear" w:color="auto" w:fill="auto"/>
            <w:noWrap/>
            <w:vAlign w:val="center"/>
          </w:tcPr>
          <w:p w14:paraId="37379E56" w14:textId="77777777" w:rsidR="00596354" w:rsidRPr="00312725" w:rsidRDefault="00596354" w:rsidP="000D3688">
            <w:pPr>
              <w:jc w:val="center"/>
              <w:rPr>
                <w:color w:val="002060"/>
                <w:sz w:val="18"/>
                <w:lang w:val="sr-Cyrl-CS"/>
              </w:rPr>
            </w:pPr>
            <w:r w:rsidRPr="00312725">
              <w:rPr>
                <w:color w:val="002060"/>
                <w:sz w:val="18"/>
                <w:lang w:val="sr-Cyrl-CS"/>
              </w:rPr>
              <w:t>0,6</w:t>
            </w:r>
          </w:p>
        </w:tc>
        <w:tc>
          <w:tcPr>
            <w:tcW w:w="600" w:type="pct"/>
            <w:tcBorders>
              <w:top w:val="nil"/>
              <w:bottom w:val="nil"/>
            </w:tcBorders>
            <w:shd w:val="clear" w:color="auto" w:fill="auto"/>
            <w:noWrap/>
            <w:vAlign w:val="center"/>
          </w:tcPr>
          <w:p w14:paraId="6BC20B2D" w14:textId="77777777" w:rsidR="00596354" w:rsidRPr="00312725" w:rsidRDefault="00596354" w:rsidP="000D3688">
            <w:pPr>
              <w:jc w:val="center"/>
              <w:rPr>
                <w:color w:val="002060"/>
                <w:sz w:val="18"/>
                <w:lang w:val="sr-Cyrl-CS"/>
              </w:rPr>
            </w:pPr>
            <w:r w:rsidRPr="00312725">
              <w:rPr>
                <w:color w:val="002060"/>
                <w:sz w:val="18"/>
                <w:lang w:val="sr-Cyrl-CS"/>
              </w:rPr>
              <w:t>0,6</w:t>
            </w:r>
          </w:p>
        </w:tc>
      </w:tr>
      <w:tr w:rsidR="00596354" w:rsidRPr="0007074F" w14:paraId="47A6F1F8" w14:textId="77777777" w:rsidTr="000D3688">
        <w:trPr>
          <w:trHeight w:val="281"/>
          <w:jc w:val="center"/>
        </w:trPr>
        <w:tc>
          <w:tcPr>
            <w:tcW w:w="2590" w:type="pct"/>
            <w:shd w:val="clear" w:color="auto" w:fill="E7E6E6" w:themeFill="background2"/>
            <w:noWrap/>
            <w:vAlign w:val="center"/>
            <w:hideMark/>
          </w:tcPr>
          <w:p w14:paraId="7115A650" w14:textId="77777777" w:rsidR="00596354" w:rsidRPr="0007074F" w:rsidRDefault="00596354" w:rsidP="00953528">
            <w:pPr>
              <w:jc w:val="left"/>
              <w:rPr>
                <w:rFonts w:eastAsia="Calibri" w:cstheme="minorHAnsi"/>
                <w:bCs/>
                <w:iCs/>
                <w:color w:val="002060"/>
                <w:sz w:val="18"/>
                <w:szCs w:val="18"/>
                <w:lang w:val="sr-Cyrl-CS"/>
              </w:rPr>
            </w:pPr>
            <w:r w:rsidRPr="0007074F">
              <w:rPr>
                <w:rFonts w:eastAsia="Calibri" w:cstheme="minorHAnsi"/>
                <w:iCs/>
                <w:color w:val="002060"/>
                <w:sz w:val="18"/>
                <w:szCs w:val="18"/>
                <w:lang w:val="sr-Cyrl-CS"/>
              </w:rPr>
              <w:t>Кретање цена, %</w:t>
            </w:r>
          </w:p>
        </w:tc>
        <w:tc>
          <w:tcPr>
            <w:tcW w:w="603" w:type="pct"/>
            <w:shd w:val="clear" w:color="auto" w:fill="E7E6E6" w:themeFill="background2"/>
            <w:noWrap/>
            <w:vAlign w:val="center"/>
          </w:tcPr>
          <w:p w14:paraId="669A4232" w14:textId="77777777" w:rsidR="00596354" w:rsidRPr="0007074F" w:rsidRDefault="00596354" w:rsidP="000D3688">
            <w:pPr>
              <w:jc w:val="center"/>
              <w:rPr>
                <w:rFonts w:eastAsia="Calibri" w:cstheme="minorHAnsi"/>
                <w:iCs/>
                <w:color w:val="002060"/>
                <w:sz w:val="18"/>
                <w:szCs w:val="18"/>
                <w:lang w:val="sr-Cyrl-CS"/>
              </w:rPr>
            </w:pPr>
          </w:p>
        </w:tc>
        <w:tc>
          <w:tcPr>
            <w:tcW w:w="604" w:type="pct"/>
            <w:shd w:val="clear" w:color="auto" w:fill="E7E6E6" w:themeFill="background2"/>
            <w:noWrap/>
            <w:vAlign w:val="center"/>
          </w:tcPr>
          <w:p w14:paraId="46EA712C" w14:textId="77777777" w:rsidR="00596354" w:rsidRPr="0007074F" w:rsidRDefault="00596354" w:rsidP="000D3688">
            <w:pPr>
              <w:jc w:val="center"/>
              <w:rPr>
                <w:rFonts w:eastAsia="Calibri" w:cstheme="minorHAnsi"/>
                <w:color w:val="002060"/>
                <w:sz w:val="18"/>
                <w:szCs w:val="18"/>
                <w:lang w:val="sr-Cyrl-CS"/>
              </w:rPr>
            </w:pPr>
          </w:p>
        </w:tc>
        <w:tc>
          <w:tcPr>
            <w:tcW w:w="603" w:type="pct"/>
            <w:shd w:val="clear" w:color="auto" w:fill="E7E6E6" w:themeFill="background2"/>
            <w:noWrap/>
            <w:vAlign w:val="center"/>
          </w:tcPr>
          <w:p w14:paraId="2B048C3D" w14:textId="77777777" w:rsidR="00596354" w:rsidRPr="0007074F" w:rsidRDefault="00596354" w:rsidP="000D3688">
            <w:pPr>
              <w:jc w:val="center"/>
              <w:rPr>
                <w:rFonts w:eastAsia="Calibri" w:cstheme="minorHAnsi"/>
                <w:color w:val="002060"/>
                <w:sz w:val="18"/>
                <w:szCs w:val="18"/>
                <w:lang w:val="sr-Cyrl-CS"/>
              </w:rPr>
            </w:pPr>
          </w:p>
        </w:tc>
        <w:tc>
          <w:tcPr>
            <w:tcW w:w="600" w:type="pct"/>
            <w:shd w:val="clear" w:color="auto" w:fill="E7E6E6" w:themeFill="background2"/>
            <w:noWrap/>
            <w:vAlign w:val="center"/>
          </w:tcPr>
          <w:p w14:paraId="6884BF2C" w14:textId="77777777" w:rsidR="00596354" w:rsidRPr="0007074F" w:rsidRDefault="00596354" w:rsidP="000D3688">
            <w:pPr>
              <w:jc w:val="center"/>
              <w:rPr>
                <w:rFonts w:eastAsia="Calibri" w:cstheme="minorHAnsi"/>
                <w:color w:val="002060"/>
                <w:sz w:val="18"/>
                <w:szCs w:val="18"/>
                <w:lang w:val="sr-Cyrl-CS"/>
              </w:rPr>
            </w:pPr>
          </w:p>
        </w:tc>
      </w:tr>
      <w:tr w:rsidR="00596354" w:rsidRPr="0007074F" w14:paraId="74303CEF" w14:textId="77777777" w:rsidTr="000D3688">
        <w:trPr>
          <w:trHeight w:val="281"/>
          <w:jc w:val="center"/>
        </w:trPr>
        <w:tc>
          <w:tcPr>
            <w:tcW w:w="2590" w:type="pct"/>
            <w:noWrap/>
            <w:vAlign w:val="center"/>
            <w:hideMark/>
          </w:tcPr>
          <w:p w14:paraId="6A9DA204"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БДП дефлатор</w:t>
            </w:r>
          </w:p>
        </w:tc>
        <w:tc>
          <w:tcPr>
            <w:tcW w:w="603" w:type="pct"/>
            <w:tcBorders>
              <w:top w:val="nil"/>
              <w:left w:val="nil"/>
              <w:bottom w:val="nil"/>
              <w:right w:val="nil"/>
            </w:tcBorders>
            <w:shd w:val="clear" w:color="auto" w:fill="auto"/>
            <w:noWrap/>
            <w:vAlign w:val="center"/>
          </w:tcPr>
          <w:p w14:paraId="3C5D5503" w14:textId="77777777" w:rsidR="00596354" w:rsidRPr="0007074F" w:rsidRDefault="00596354" w:rsidP="000D3688">
            <w:pPr>
              <w:jc w:val="center"/>
              <w:rPr>
                <w:color w:val="002060"/>
                <w:sz w:val="18"/>
                <w:lang w:val="sr-Cyrl-CS"/>
              </w:rPr>
            </w:pPr>
            <w:r w:rsidRPr="0007074F">
              <w:rPr>
                <w:color w:val="002060"/>
                <w:sz w:val="18"/>
                <w:lang w:val="sr-Cyrl-CS"/>
              </w:rPr>
              <w:t>11,5</w:t>
            </w:r>
          </w:p>
        </w:tc>
        <w:tc>
          <w:tcPr>
            <w:tcW w:w="604" w:type="pct"/>
            <w:tcBorders>
              <w:top w:val="nil"/>
              <w:left w:val="nil"/>
              <w:bottom w:val="nil"/>
              <w:right w:val="nil"/>
            </w:tcBorders>
            <w:shd w:val="clear" w:color="auto" w:fill="auto"/>
            <w:noWrap/>
            <w:vAlign w:val="center"/>
          </w:tcPr>
          <w:p w14:paraId="63931A98" w14:textId="77777777" w:rsidR="00596354" w:rsidRPr="0007074F" w:rsidRDefault="00596354" w:rsidP="000D3688">
            <w:pPr>
              <w:jc w:val="center"/>
              <w:rPr>
                <w:color w:val="002060"/>
                <w:sz w:val="18"/>
                <w:lang w:val="sr-Cyrl-CS"/>
              </w:rPr>
            </w:pPr>
            <w:r w:rsidRPr="0007074F">
              <w:rPr>
                <w:color w:val="002060"/>
                <w:sz w:val="18"/>
                <w:lang w:val="sr-Cyrl-CS"/>
              </w:rPr>
              <w:t>4,6</w:t>
            </w:r>
          </w:p>
        </w:tc>
        <w:tc>
          <w:tcPr>
            <w:tcW w:w="603" w:type="pct"/>
            <w:tcBorders>
              <w:top w:val="nil"/>
              <w:left w:val="nil"/>
              <w:bottom w:val="nil"/>
              <w:right w:val="nil"/>
            </w:tcBorders>
            <w:shd w:val="clear" w:color="auto" w:fill="auto"/>
            <w:noWrap/>
            <w:vAlign w:val="center"/>
          </w:tcPr>
          <w:p w14:paraId="1D703680" w14:textId="77777777" w:rsidR="00596354" w:rsidRPr="0007074F" w:rsidRDefault="00596354" w:rsidP="000D3688">
            <w:pPr>
              <w:jc w:val="center"/>
              <w:rPr>
                <w:color w:val="002060"/>
                <w:sz w:val="18"/>
                <w:lang w:val="sr-Cyrl-CS"/>
              </w:rPr>
            </w:pPr>
            <w:r w:rsidRPr="0007074F">
              <w:rPr>
                <w:color w:val="002060"/>
                <w:sz w:val="18"/>
                <w:lang w:val="sr-Cyrl-CS"/>
              </w:rPr>
              <w:t>3,6</w:t>
            </w:r>
          </w:p>
        </w:tc>
        <w:tc>
          <w:tcPr>
            <w:tcW w:w="600" w:type="pct"/>
            <w:tcBorders>
              <w:top w:val="nil"/>
              <w:left w:val="nil"/>
              <w:bottom w:val="nil"/>
              <w:right w:val="nil"/>
            </w:tcBorders>
            <w:shd w:val="clear" w:color="auto" w:fill="auto"/>
            <w:noWrap/>
            <w:vAlign w:val="center"/>
          </w:tcPr>
          <w:p w14:paraId="74E79AF2" w14:textId="77777777" w:rsidR="00596354" w:rsidRPr="0007074F" w:rsidRDefault="00596354" w:rsidP="000D3688">
            <w:pPr>
              <w:jc w:val="center"/>
              <w:rPr>
                <w:color w:val="002060"/>
                <w:sz w:val="18"/>
                <w:lang w:val="sr-Cyrl-CS"/>
              </w:rPr>
            </w:pPr>
            <w:r w:rsidRPr="0007074F">
              <w:rPr>
                <w:color w:val="002060"/>
                <w:sz w:val="18"/>
                <w:lang w:val="sr-Cyrl-CS"/>
              </w:rPr>
              <w:t>2,9</w:t>
            </w:r>
          </w:p>
        </w:tc>
      </w:tr>
      <w:tr w:rsidR="00596354" w:rsidRPr="0007074F" w14:paraId="1130AC9E" w14:textId="77777777" w:rsidTr="000D3688">
        <w:trPr>
          <w:trHeight w:val="281"/>
          <w:jc w:val="center"/>
        </w:trPr>
        <w:tc>
          <w:tcPr>
            <w:tcW w:w="2590" w:type="pct"/>
            <w:noWrap/>
            <w:vAlign w:val="center"/>
            <w:hideMark/>
          </w:tcPr>
          <w:p w14:paraId="799E82F3"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Потрошачке цене (годишњи просек)</w:t>
            </w:r>
          </w:p>
        </w:tc>
        <w:tc>
          <w:tcPr>
            <w:tcW w:w="603" w:type="pct"/>
            <w:tcBorders>
              <w:top w:val="nil"/>
              <w:left w:val="nil"/>
              <w:bottom w:val="nil"/>
              <w:right w:val="nil"/>
            </w:tcBorders>
            <w:shd w:val="clear" w:color="auto" w:fill="auto"/>
            <w:noWrap/>
            <w:vAlign w:val="center"/>
          </w:tcPr>
          <w:p w14:paraId="5112944B" w14:textId="77777777" w:rsidR="00596354" w:rsidRPr="0007074F" w:rsidRDefault="00596354" w:rsidP="000D3688">
            <w:pPr>
              <w:jc w:val="center"/>
              <w:rPr>
                <w:color w:val="002060"/>
                <w:sz w:val="18"/>
                <w:lang w:val="sr-Cyrl-CS"/>
              </w:rPr>
            </w:pPr>
            <w:r w:rsidRPr="0007074F">
              <w:rPr>
                <w:color w:val="002060"/>
                <w:sz w:val="18"/>
                <w:lang w:val="sr-Cyrl-CS"/>
              </w:rPr>
              <w:t>12,5</w:t>
            </w:r>
          </w:p>
        </w:tc>
        <w:tc>
          <w:tcPr>
            <w:tcW w:w="604" w:type="pct"/>
            <w:tcBorders>
              <w:top w:val="nil"/>
              <w:left w:val="nil"/>
              <w:bottom w:val="nil"/>
              <w:right w:val="nil"/>
            </w:tcBorders>
            <w:shd w:val="clear" w:color="auto" w:fill="auto"/>
            <w:noWrap/>
            <w:vAlign w:val="center"/>
          </w:tcPr>
          <w:p w14:paraId="50CFF05D" w14:textId="77777777" w:rsidR="00596354" w:rsidRPr="0007074F" w:rsidRDefault="00596354" w:rsidP="000D3688">
            <w:pPr>
              <w:jc w:val="center"/>
              <w:rPr>
                <w:color w:val="002060"/>
                <w:sz w:val="18"/>
                <w:lang w:val="sr-Cyrl-CS"/>
              </w:rPr>
            </w:pPr>
            <w:r w:rsidRPr="0007074F">
              <w:rPr>
                <w:color w:val="002060"/>
                <w:sz w:val="18"/>
                <w:lang w:val="sr-Cyrl-CS"/>
              </w:rPr>
              <w:t>4,9</w:t>
            </w:r>
          </w:p>
        </w:tc>
        <w:tc>
          <w:tcPr>
            <w:tcW w:w="603" w:type="pct"/>
            <w:tcBorders>
              <w:top w:val="nil"/>
              <w:left w:val="nil"/>
              <w:bottom w:val="nil"/>
              <w:right w:val="nil"/>
            </w:tcBorders>
            <w:shd w:val="clear" w:color="auto" w:fill="auto"/>
            <w:noWrap/>
            <w:vAlign w:val="center"/>
          </w:tcPr>
          <w:p w14:paraId="544507EF" w14:textId="77777777" w:rsidR="00596354" w:rsidRPr="0007074F" w:rsidRDefault="00596354" w:rsidP="000D3688">
            <w:pPr>
              <w:jc w:val="center"/>
              <w:rPr>
                <w:color w:val="002060"/>
                <w:sz w:val="18"/>
                <w:lang w:val="sr-Cyrl-CS"/>
              </w:rPr>
            </w:pPr>
            <w:r w:rsidRPr="0007074F">
              <w:rPr>
                <w:color w:val="002060"/>
                <w:sz w:val="18"/>
                <w:lang w:val="sr-Cyrl-CS"/>
              </w:rPr>
              <w:t>3,5</w:t>
            </w:r>
          </w:p>
        </w:tc>
        <w:tc>
          <w:tcPr>
            <w:tcW w:w="600" w:type="pct"/>
            <w:tcBorders>
              <w:top w:val="nil"/>
              <w:left w:val="nil"/>
              <w:bottom w:val="nil"/>
              <w:right w:val="nil"/>
            </w:tcBorders>
            <w:shd w:val="clear" w:color="auto" w:fill="auto"/>
            <w:noWrap/>
            <w:vAlign w:val="center"/>
          </w:tcPr>
          <w:p w14:paraId="774E4818" w14:textId="77777777" w:rsidR="00596354" w:rsidRPr="0007074F" w:rsidRDefault="00596354" w:rsidP="000D3688">
            <w:pPr>
              <w:jc w:val="center"/>
              <w:rPr>
                <w:color w:val="002060"/>
                <w:sz w:val="18"/>
                <w:lang w:val="sr-Cyrl-CS"/>
              </w:rPr>
            </w:pPr>
            <w:r w:rsidRPr="0007074F">
              <w:rPr>
                <w:color w:val="002060"/>
                <w:sz w:val="18"/>
                <w:lang w:val="sr-Cyrl-CS"/>
              </w:rPr>
              <w:t>3,0</w:t>
            </w:r>
          </w:p>
        </w:tc>
      </w:tr>
      <w:tr w:rsidR="00596354" w:rsidRPr="0007074F" w14:paraId="75FA3582" w14:textId="77777777" w:rsidTr="000D3688">
        <w:trPr>
          <w:trHeight w:val="281"/>
          <w:jc w:val="center"/>
        </w:trPr>
        <w:tc>
          <w:tcPr>
            <w:tcW w:w="2590" w:type="pct"/>
            <w:shd w:val="clear" w:color="auto" w:fill="E7E6E6" w:themeFill="background2"/>
            <w:noWrap/>
            <w:vAlign w:val="center"/>
            <w:hideMark/>
          </w:tcPr>
          <w:p w14:paraId="135AF275" w14:textId="77777777" w:rsidR="00596354" w:rsidRPr="0007074F" w:rsidRDefault="00596354" w:rsidP="00953528">
            <w:pPr>
              <w:jc w:val="left"/>
              <w:rPr>
                <w:rFonts w:eastAsia="Calibri" w:cstheme="minorHAnsi"/>
                <w:bCs/>
                <w:iCs/>
                <w:color w:val="002060"/>
                <w:sz w:val="18"/>
                <w:szCs w:val="18"/>
                <w:lang w:val="sr-Cyrl-CS"/>
              </w:rPr>
            </w:pPr>
            <w:r w:rsidRPr="0007074F">
              <w:rPr>
                <w:rFonts w:eastAsia="Calibri" w:cstheme="minorHAnsi"/>
                <w:iCs/>
                <w:color w:val="002060"/>
                <w:sz w:val="18"/>
                <w:szCs w:val="18"/>
                <w:lang w:val="sr-Cyrl-CS"/>
              </w:rPr>
              <w:t>Кретања у спољном сектору, % БДП</w:t>
            </w:r>
          </w:p>
        </w:tc>
        <w:tc>
          <w:tcPr>
            <w:tcW w:w="603" w:type="pct"/>
            <w:shd w:val="clear" w:color="auto" w:fill="E7E6E6" w:themeFill="background2"/>
            <w:noWrap/>
            <w:vAlign w:val="center"/>
          </w:tcPr>
          <w:p w14:paraId="231429CE" w14:textId="77777777" w:rsidR="00596354" w:rsidRPr="0007074F" w:rsidRDefault="00596354" w:rsidP="000D3688">
            <w:pPr>
              <w:jc w:val="center"/>
              <w:rPr>
                <w:rFonts w:eastAsia="Calibri" w:cstheme="minorHAnsi"/>
                <w:color w:val="002060"/>
                <w:sz w:val="18"/>
                <w:szCs w:val="18"/>
                <w:lang w:val="sr-Cyrl-CS"/>
              </w:rPr>
            </w:pPr>
          </w:p>
        </w:tc>
        <w:tc>
          <w:tcPr>
            <w:tcW w:w="604" w:type="pct"/>
            <w:shd w:val="clear" w:color="auto" w:fill="E7E6E6" w:themeFill="background2"/>
            <w:noWrap/>
            <w:vAlign w:val="center"/>
          </w:tcPr>
          <w:p w14:paraId="57947942" w14:textId="77777777" w:rsidR="00596354" w:rsidRPr="0007074F" w:rsidRDefault="00596354" w:rsidP="000D3688">
            <w:pPr>
              <w:jc w:val="center"/>
              <w:rPr>
                <w:rFonts w:eastAsia="Calibri" w:cstheme="minorHAnsi"/>
                <w:color w:val="002060"/>
                <w:sz w:val="18"/>
                <w:szCs w:val="18"/>
                <w:lang w:val="sr-Cyrl-CS"/>
              </w:rPr>
            </w:pPr>
          </w:p>
        </w:tc>
        <w:tc>
          <w:tcPr>
            <w:tcW w:w="603" w:type="pct"/>
            <w:shd w:val="clear" w:color="auto" w:fill="E7E6E6" w:themeFill="background2"/>
            <w:noWrap/>
            <w:vAlign w:val="center"/>
          </w:tcPr>
          <w:p w14:paraId="75FCC65E" w14:textId="77777777" w:rsidR="00596354" w:rsidRPr="0007074F" w:rsidRDefault="00596354" w:rsidP="000D3688">
            <w:pPr>
              <w:jc w:val="center"/>
              <w:rPr>
                <w:rFonts w:eastAsia="Calibri" w:cstheme="minorHAnsi"/>
                <w:color w:val="002060"/>
                <w:sz w:val="18"/>
                <w:szCs w:val="18"/>
                <w:lang w:val="sr-Cyrl-CS"/>
              </w:rPr>
            </w:pPr>
          </w:p>
        </w:tc>
        <w:tc>
          <w:tcPr>
            <w:tcW w:w="600" w:type="pct"/>
            <w:shd w:val="clear" w:color="auto" w:fill="E7E6E6" w:themeFill="background2"/>
            <w:noWrap/>
            <w:vAlign w:val="center"/>
          </w:tcPr>
          <w:p w14:paraId="7D530BD7" w14:textId="77777777" w:rsidR="00596354" w:rsidRPr="0007074F" w:rsidRDefault="00596354" w:rsidP="000D3688">
            <w:pPr>
              <w:jc w:val="center"/>
              <w:rPr>
                <w:rFonts w:eastAsia="Calibri" w:cstheme="minorHAnsi"/>
                <w:color w:val="002060"/>
                <w:sz w:val="18"/>
                <w:szCs w:val="18"/>
                <w:lang w:val="sr-Cyrl-CS"/>
              </w:rPr>
            </w:pPr>
          </w:p>
        </w:tc>
      </w:tr>
      <w:tr w:rsidR="00596354" w:rsidRPr="0007074F" w14:paraId="7352B587" w14:textId="77777777" w:rsidTr="000D3688">
        <w:trPr>
          <w:trHeight w:val="281"/>
          <w:jc w:val="center"/>
        </w:trPr>
        <w:tc>
          <w:tcPr>
            <w:tcW w:w="2590" w:type="pct"/>
            <w:noWrap/>
            <w:vAlign w:val="center"/>
            <w:hideMark/>
          </w:tcPr>
          <w:p w14:paraId="1AE3A68D"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Салдо роба и услуга</w:t>
            </w:r>
          </w:p>
        </w:tc>
        <w:tc>
          <w:tcPr>
            <w:tcW w:w="603" w:type="pct"/>
            <w:tcBorders>
              <w:top w:val="nil"/>
              <w:left w:val="nil"/>
              <w:bottom w:val="nil"/>
              <w:right w:val="nil"/>
            </w:tcBorders>
            <w:shd w:val="clear" w:color="auto" w:fill="auto"/>
            <w:noWrap/>
            <w:vAlign w:val="center"/>
          </w:tcPr>
          <w:p w14:paraId="2A793F79" w14:textId="77777777" w:rsidR="00596354" w:rsidRPr="0007074F" w:rsidRDefault="00596354" w:rsidP="000D3688">
            <w:pPr>
              <w:jc w:val="center"/>
              <w:rPr>
                <w:color w:val="002060"/>
                <w:sz w:val="18"/>
                <w:lang w:val="sr-Cyrl-CS"/>
              </w:rPr>
            </w:pPr>
            <w:r>
              <w:rPr>
                <w:color w:val="002060"/>
                <w:sz w:val="18"/>
                <w:lang w:val="sr-Cyrl-CS"/>
              </w:rPr>
              <w:t>-6,3</w:t>
            </w:r>
          </w:p>
        </w:tc>
        <w:tc>
          <w:tcPr>
            <w:tcW w:w="604" w:type="pct"/>
            <w:tcBorders>
              <w:top w:val="nil"/>
              <w:left w:val="nil"/>
              <w:bottom w:val="nil"/>
              <w:right w:val="nil"/>
            </w:tcBorders>
            <w:shd w:val="clear" w:color="auto" w:fill="auto"/>
            <w:noWrap/>
            <w:vAlign w:val="center"/>
          </w:tcPr>
          <w:p w14:paraId="0884CD0B" w14:textId="77777777" w:rsidR="00596354" w:rsidRPr="0007074F" w:rsidRDefault="00596354" w:rsidP="000D3688">
            <w:pPr>
              <w:jc w:val="center"/>
              <w:rPr>
                <w:color w:val="002060"/>
                <w:sz w:val="18"/>
                <w:lang w:val="sr-Cyrl-CS"/>
              </w:rPr>
            </w:pPr>
            <w:r>
              <w:rPr>
                <w:color w:val="002060"/>
                <w:sz w:val="18"/>
                <w:lang w:val="sr-Cyrl-CS"/>
              </w:rPr>
              <w:t>-6,6</w:t>
            </w:r>
          </w:p>
        </w:tc>
        <w:tc>
          <w:tcPr>
            <w:tcW w:w="603" w:type="pct"/>
            <w:tcBorders>
              <w:top w:val="nil"/>
              <w:left w:val="nil"/>
              <w:bottom w:val="nil"/>
              <w:right w:val="nil"/>
            </w:tcBorders>
            <w:shd w:val="clear" w:color="auto" w:fill="auto"/>
            <w:noWrap/>
            <w:vAlign w:val="center"/>
          </w:tcPr>
          <w:p w14:paraId="69BAC86E" w14:textId="77777777" w:rsidR="00596354" w:rsidRPr="0007074F" w:rsidRDefault="00596354" w:rsidP="000D3688">
            <w:pPr>
              <w:jc w:val="center"/>
              <w:rPr>
                <w:color w:val="002060"/>
                <w:sz w:val="18"/>
                <w:lang w:val="sr-Cyrl-CS"/>
              </w:rPr>
            </w:pPr>
            <w:r>
              <w:rPr>
                <w:color w:val="002060"/>
                <w:sz w:val="18"/>
                <w:lang w:val="sr-Cyrl-CS"/>
              </w:rPr>
              <w:t>-6,1</w:t>
            </w:r>
          </w:p>
        </w:tc>
        <w:tc>
          <w:tcPr>
            <w:tcW w:w="600" w:type="pct"/>
            <w:tcBorders>
              <w:top w:val="nil"/>
              <w:left w:val="nil"/>
              <w:bottom w:val="nil"/>
              <w:right w:val="nil"/>
            </w:tcBorders>
            <w:shd w:val="clear" w:color="auto" w:fill="auto"/>
            <w:noWrap/>
            <w:vAlign w:val="center"/>
          </w:tcPr>
          <w:p w14:paraId="3DA80EF6" w14:textId="77777777" w:rsidR="00596354" w:rsidRPr="0007074F" w:rsidRDefault="00596354" w:rsidP="000D3688">
            <w:pPr>
              <w:jc w:val="center"/>
              <w:rPr>
                <w:color w:val="002060"/>
                <w:sz w:val="18"/>
                <w:lang w:val="sr-Cyrl-CS"/>
              </w:rPr>
            </w:pPr>
            <w:r>
              <w:rPr>
                <w:color w:val="002060"/>
                <w:sz w:val="18"/>
                <w:lang w:val="sr-Cyrl-CS"/>
              </w:rPr>
              <w:t>-5,6</w:t>
            </w:r>
          </w:p>
        </w:tc>
      </w:tr>
      <w:tr w:rsidR="00596354" w:rsidRPr="0007074F" w14:paraId="2DD1A05A" w14:textId="77777777" w:rsidTr="000D3688">
        <w:trPr>
          <w:trHeight w:val="281"/>
          <w:jc w:val="center"/>
        </w:trPr>
        <w:tc>
          <w:tcPr>
            <w:tcW w:w="2590" w:type="pct"/>
            <w:noWrap/>
            <w:vAlign w:val="center"/>
            <w:hideMark/>
          </w:tcPr>
          <w:p w14:paraId="470AE4CB" w14:textId="77777777" w:rsidR="00596354" w:rsidRPr="0007074F" w:rsidRDefault="00596354"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Салдо текућег рачуна</w:t>
            </w:r>
          </w:p>
        </w:tc>
        <w:tc>
          <w:tcPr>
            <w:tcW w:w="603" w:type="pct"/>
            <w:tcBorders>
              <w:top w:val="nil"/>
              <w:left w:val="nil"/>
              <w:bottom w:val="nil"/>
              <w:right w:val="nil"/>
            </w:tcBorders>
            <w:shd w:val="clear" w:color="auto" w:fill="auto"/>
            <w:noWrap/>
            <w:vAlign w:val="center"/>
          </w:tcPr>
          <w:p w14:paraId="07F81731" w14:textId="77777777" w:rsidR="00596354" w:rsidRPr="0007074F" w:rsidRDefault="00596354" w:rsidP="000D3688">
            <w:pPr>
              <w:jc w:val="center"/>
              <w:rPr>
                <w:color w:val="002060"/>
                <w:sz w:val="18"/>
                <w:lang w:val="sr-Cyrl-CS"/>
              </w:rPr>
            </w:pPr>
            <w:r>
              <w:rPr>
                <w:color w:val="002060"/>
                <w:sz w:val="18"/>
                <w:lang w:val="sr-Cyrl-CS"/>
              </w:rPr>
              <w:t>-2,9</w:t>
            </w:r>
          </w:p>
        </w:tc>
        <w:tc>
          <w:tcPr>
            <w:tcW w:w="604" w:type="pct"/>
            <w:tcBorders>
              <w:top w:val="nil"/>
              <w:left w:val="nil"/>
              <w:bottom w:val="nil"/>
              <w:right w:val="nil"/>
            </w:tcBorders>
            <w:shd w:val="clear" w:color="auto" w:fill="auto"/>
            <w:noWrap/>
            <w:vAlign w:val="center"/>
          </w:tcPr>
          <w:p w14:paraId="539E654D" w14:textId="77777777" w:rsidR="00596354" w:rsidRPr="0007074F" w:rsidRDefault="00596354" w:rsidP="000D3688">
            <w:pPr>
              <w:jc w:val="center"/>
              <w:rPr>
                <w:color w:val="002060"/>
                <w:sz w:val="18"/>
                <w:lang w:val="sr-Cyrl-CS"/>
              </w:rPr>
            </w:pPr>
            <w:r>
              <w:rPr>
                <w:color w:val="002060"/>
                <w:sz w:val="18"/>
                <w:lang w:val="sr-Cyrl-CS"/>
              </w:rPr>
              <w:t>-4,0</w:t>
            </w:r>
          </w:p>
        </w:tc>
        <w:tc>
          <w:tcPr>
            <w:tcW w:w="603" w:type="pct"/>
            <w:tcBorders>
              <w:top w:val="nil"/>
              <w:left w:val="nil"/>
              <w:bottom w:val="nil"/>
              <w:right w:val="nil"/>
            </w:tcBorders>
            <w:shd w:val="clear" w:color="auto" w:fill="auto"/>
            <w:noWrap/>
            <w:vAlign w:val="center"/>
          </w:tcPr>
          <w:p w14:paraId="7EA12524" w14:textId="77777777" w:rsidR="00596354" w:rsidRPr="0007074F" w:rsidRDefault="00596354" w:rsidP="000D3688">
            <w:pPr>
              <w:jc w:val="center"/>
              <w:rPr>
                <w:color w:val="002060"/>
                <w:sz w:val="18"/>
                <w:lang w:val="sr-Cyrl-CS"/>
              </w:rPr>
            </w:pPr>
            <w:r>
              <w:rPr>
                <w:color w:val="002060"/>
                <w:sz w:val="18"/>
                <w:lang w:val="sr-Cyrl-CS"/>
              </w:rPr>
              <w:t>-4</w:t>
            </w:r>
            <w:r w:rsidRPr="0007074F">
              <w:rPr>
                <w:color w:val="002060"/>
                <w:sz w:val="18"/>
                <w:lang w:val="sr-Cyrl-CS"/>
              </w:rPr>
              <w:t>,1</w:t>
            </w:r>
          </w:p>
        </w:tc>
        <w:tc>
          <w:tcPr>
            <w:tcW w:w="600" w:type="pct"/>
            <w:tcBorders>
              <w:top w:val="nil"/>
              <w:left w:val="nil"/>
              <w:bottom w:val="nil"/>
              <w:right w:val="nil"/>
            </w:tcBorders>
            <w:shd w:val="clear" w:color="auto" w:fill="auto"/>
            <w:noWrap/>
            <w:vAlign w:val="center"/>
          </w:tcPr>
          <w:p w14:paraId="071AE50C" w14:textId="77777777" w:rsidR="00596354" w:rsidRPr="0007074F" w:rsidRDefault="00596354" w:rsidP="000D3688">
            <w:pPr>
              <w:jc w:val="center"/>
              <w:rPr>
                <w:color w:val="002060"/>
                <w:sz w:val="18"/>
                <w:lang w:val="sr-Cyrl-CS"/>
              </w:rPr>
            </w:pPr>
            <w:r>
              <w:rPr>
                <w:color w:val="002060"/>
                <w:sz w:val="18"/>
                <w:lang w:val="sr-Cyrl-CS"/>
              </w:rPr>
              <w:t>-4,1</w:t>
            </w:r>
          </w:p>
        </w:tc>
      </w:tr>
      <w:tr w:rsidR="00596354" w:rsidRPr="0007074F" w14:paraId="2654198D" w14:textId="77777777" w:rsidTr="000D3688">
        <w:trPr>
          <w:trHeight w:val="283"/>
          <w:jc w:val="center"/>
        </w:trPr>
        <w:tc>
          <w:tcPr>
            <w:tcW w:w="2590" w:type="pct"/>
            <w:shd w:val="clear" w:color="auto" w:fill="E7E6E6" w:themeFill="background2"/>
            <w:noWrap/>
            <w:vAlign w:val="center"/>
            <w:hideMark/>
          </w:tcPr>
          <w:p w14:paraId="5E016FDD" w14:textId="77777777" w:rsidR="00596354" w:rsidRPr="0007074F" w:rsidRDefault="00596354" w:rsidP="00953528">
            <w:pPr>
              <w:jc w:val="left"/>
              <w:rPr>
                <w:rFonts w:eastAsia="Calibri" w:cstheme="minorHAnsi"/>
                <w:bCs/>
                <w:iCs/>
                <w:color w:val="002060"/>
                <w:sz w:val="18"/>
                <w:szCs w:val="18"/>
                <w:lang w:val="sr-Cyrl-CS"/>
              </w:rPr>
            </w:pPr>
            <w:r w:rsidRPr="0007074F">
              <w:rPr>
                <w:rFonts w:eastAsia="Calibri" w:cstheme="minorHAnsi"/>
                <w:iCs/>
                <w:color w:val="002060"/>
                <w:sz w:val="18"/>
                <w:szCs w:val="18"/>
                <w:lang w:val="sr-Cyrl-CS"/>
              </w:rPr>
              <w:t>Фискални индикатори, % БДП</w:t>
            </w:r>
          </w:p>
        </w:tc>
        <w:tc>
          <w:tcPr>
            <w:tcW w:w="603" w:type="pct"/>
            <w:shd w:val="clear" w:color="auto" w:fill="E7E6E6" w:themeFill="background2"/>
            <w:noWrap/>
            <w:vAlign w:val="center"/>
          </w:tcPr>
          <w:p w14:paraId="782D62F3" w14:textId="77777777" w:rsidR="00596354" w:rsidRPr="0007074F" w:rsidRDefault="00596354" w:rsidP="000D3688">
            <w:pPr>
              <w:jc w:val="center"/>
              <w:rPr>
                <w:rFonts w:eastAsia="Calibri" w:cstheme="minorHAnsi"/>
                <w:iCs/>
                <w:color w:val="002060"/>
                <w:sz w:val="18"/>
                <w:szCs w:val="18"/>
                <w:lang w:val="sr-Cyrl-CS"/>
              </w:rPr>
            </w:pPr>
          </w:p>
        </w:tc>
        <w:tc>
          <w:tcPr>
            <w:tcW w:w="604" w:type="pct"/>
            <w:shd w:val="clear" w:color="auto" w:fill="E7E6E6" w:themeFill="background2"/>
            <w:noWrap/>
            <w:vAlign w:val="center"/>
          </w:tcPr>
          <w:p w14:paraId="0039F32D" w14:textId="77777777" w:rsidR="00596354" w:rsidRPr="0007074F" w:rsidRDefault="00596354" w:rsidP="000D3688">
            <w:pPr>
              <w:jc w:val="center"/>
              <w:rPr>
                <w:rFonts w:eastAsia="Calibri" w:cstheme="minorHAnsi"/>
                <w:color w:val="002060"/>
                <w:sz w:val="18"/>
                <w:szCs w:val="18"/>
                <w:lang w:val="sr-Cyrl-CS"/>
              </w:rPr>
            </w:pPr>
          </w:p>
        </w:tc>
        <w:tc>
          <w:tcPr>
            <w:tcW w:w="603" w:type="pct"/>
            <w:shd w:val="clear" w:color="auto" w:fill="E7E6E6" w:themeFill="background2"/>
            <w:noWrap/>
            <w:vAlign w:val="center"/>
          </w:tcPr>
          <w:p w14:paraId="4A32B23B" w14:textId="77777777" w:rsidR="00596354" w:rsidRPr="0007074F" w:rsidRDefault="00596354" w:rsidP="000D3688">
            <w:pPr>
              <w:jc w:val="center"/>
              <w:rPr>
                <w:rFonts w:eastAsia="Calibri" w:cstheme="minorHAnsi"/>
                <w:color w:val="002060"/>
                <w:sz w:val="18"/>
                <w:szCs w:val="18"/>
                <w:lang w:val="sr-Cyrl-CS"/>
              </w:rPr>
            </w:pPr>
          </w:p>
        </w:tc>
        <w:tc>
          <w:tcPr>
            <w:tcW w:w="600" w:type="pct"/>
            <w:shd w:val="clear" w:color="auto" w:fill="E7E6E6" w:themeFill="background2"/>
            <w:noWrap/>
            <w:vAlign w:val="center"/>
          </w:tcPr>
          <w:p w14:paraId="15EC53B6" w14:textId="77777777" w:rsidR="00596354" w:rsidRPr="0007074F" w:rsidRDefault="00596354" w:rsidP="000D3688">
            <w:pPr>
              <w:jc w:val="center"/>
              <w:rPr>
                <w:rFonts w:eastAsia="Calibri" w:cstheme="minorHAnsi"/>
                <w:color w:val="002060"/>
                <w:sz w:val="18"/>
                <w:szCs w:val="18"/>
                <w:lang w:val="sr-Cyrl-CS"/>
              </w:rPr>
            </w:pPr>
          </w:p>
        </w:tc>
      </w:tr>
      <w:tr w:rsidR="00596354" w:rsidRPr="0007074F" w14:paraId="21DF2893" w14:textId="77777777" w:rsidTr="00886C5E">
        <w:trPr>
          <w:trHeight w:val="281"/>
          <w:jc w:val="center"/>
        </w:trPr>
        <w:tc>
          <w:tcPr>
            <w:tcW w:w="2590" w:type="pct"/>
            <w:noWrap/>
            <w:vAlign w:val="center"/>
            <w:hideMark/>
          </w:tcPr>
          <w:p w14:paraId="0365050D" w14:textId="77777777" w:rsidR="00596354" w:rsidRPr="0007074F" w:rsidRDefault="00596354" w:rsidP="00886C5E">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Фискални резултат сектора државе</w:t>
            </w:r>
          </w:p>
        </w:tc>
        <w:tc>
          <w:tcPr>
            <w:tcW w:w="603" w:type="pct"/>
            <w:tcBorders>
              <w:top w:val="nil"/>
              <w:left w:val="nil"/>
              <w:bottom w:val="nil"/>
              <w:right w:val="nil"/>
            </w:tcBorders>
            <w:shd w:val="clear" w:color="auto" w:fill="auto"/>
            <w:noWrap/>
            <w:vAlign w:val="center"/>
          </w:tcPr>
          <w:p w14:paraId="557F7A7F" w14:textId="77777777" w:rsidR="00596354" w:rsidRPr="000979D4" w:rsidRDefault="00596354" w:rsidP="00886C5E">
            <w:pPr>
              <w:jc w:val="center"/>
              <w:rPr>
                <w:color w:val="002060"/>
                <w:sz w:val="18"/>
                <w:lang w:val="sr-Cyrl-CS"/>
              </w:rPr>
            </w:pPr>
            <w:r w:rsidRPr="000979D4">
              <w:rPr>
                <w:rFonts w:ascii="Calibri" w:hAnsi="Calibri" w:cs="Calibri"/>
                <w:color w:val="002060"/>
                <w:sz w:val="18"/>
                <w:szCs w:val="18"/>
              </w:rPr>
              <w:t>-2,8</w:t>
            </w:r>
          </w:p>
        </w:tc>
        <w:tc>
          <w:tcPr>
            <w:tcW w:w="604" w:type="pct"/>
            <w:tcBorders>
              <w:top w:val="nil"/>
              <w:left w:val="nil"/>
              <w:bottom w:val="nil"/>
              <w:right w:val="nil"/>
            </w:tcBorders>
            <w:shd w:val="clear" w:color="auto" w:fill="auto"/>
            <w:noWrap/>
            <w:vAlign w:val="center"/>
          </w:tcPr>
          <w:p w14:paraId="168B2B83" w14:textId="77777777" w:rsidR="00596354" w:rsidRPr="000979D4" w:rsidRDefault="00596354" w:rsidP="00886C5E">
            <w:pPr>
              <w:jc w:val="center"/>
              <w:rPr>
                <w:color w:val="002060"/>
                <w:sz w:val="18"/>
                <w:lang w:val="sr-Cyrl-CS"/>
              </w:rPr>
            </w:pPr>
            <w:r w:rsidRPr="000979D4">
              <w:rPr>
                <w:rFonts w:ascii="Calibri" w:hAnsi="Calibri" w:cs="Calibri"/>
                <w:color w:val="002060"/>
                <w:sz w:val="18"/>
                <w:szCs w:val="18"/>
              </w:rPr>
              <w:t>-2,2</w:t>
            </w:r>
          </w:p>
        </w:tc>
        <w:tc>
          <w:tcPr>
            <w:tcW w:w="603" w:type="pct"/>
            <w:tcBorders>
              <w:top w:val="nil"/>
              <w:left w:val="nil"/>
              <w:bottom w:val="nil"/>
              <w:right w:val="nil"/>
            </w:tcBorders>
            <w:shd w:val="clear" w:color="auto" w:fill="auto"/>
            <w:noWrap/>
            <w:vAlign w:val="center"/>
          </w:tcPr>
          <w:p w14:paraId="7410FE1A" w14:textId="77777777" w:rsidR="00596354" w:rsidRPr="000979D4" w:rsidRDefault="00596354" w:rsidP="00886C5E">
            <w:pPr>
              <w:jc w:val="center"/>
              <w:rPr>
                <w:color w:val="002060"/>
                <w:sz w:val="18"/>
                <w:lang w:val="sr-Cyrl-CS"/>
              </w:rPr>
            </w:pPr>
            <w:r w:rsidRPr="000979D4">
              <w:rPr>
                <w:rFonts w:ascii="Calibri" w:hAnsi="Calibri" w:cs="Calibri"/>
                <w:color w:val="002060"/>
                <w:sz w:val="18"/>
                <w:szCs w:val="18"/>
              </w:rPr>
              <w:t>-1,5</w:t>
            </w:r>
          </w:p>
        </w:tc>
        <w:tc>
          <w:tcPr>
            <w:tcW w:w="600" w:type="pct"/>
            <w:tcBorders>
              <w:top w:val="nil"/>
              <w:left w:val="nil"/>
              <w:bottom w:val="nil"/>
              <w:right w:val="nil"/>
            </w:tcBorders>
            <w:shd w:val="clear" w:color="auto" w:fill="auto"/>
            <w:noWrap/>
            <w:vAlign w:val="center"/>
          </w:tcPr>
          <w:p w14:paraId="4AF13085" w14:textId="77777777" w:rsidR="00596354" w:rsidRPr="000979D4" w:rsidRDefault="00596354" w:rsidP="00886C5E">
            <w:pPr>
              <w:jc w:val="center"/>
              <w:rPr>
                <w:color w:val="002060"/>
                <w:sz w:val="18"/>
                <w:lang w:val="sr-Cyrl-CS"/>
              </w:rPr>
            </w:pPr>
            <w:r w:rsidRPr="000979D4">
              <w:rPr>
                <w:rFonts w:ascii="Calibri" w:hAnsi="Calibri" w:cs="Calibri"/>
                <w:color w:val="002060"/>
                <w:sz w:val="18"/>
                <w:szCs w:val="18"/>
              </w:rPr>
              <w:t>-1,5</w:t>
            </w:r>
          </w:p>
        </w:tc>
      </w:tr>
      <w:tr w:rsidR="00596354" w:rsidRPr="0007074F" w14:paraId="642BE406" w14:textId="77777777" w:rsidTr="00886C5E">
        <w:trPr>
          <w:trHeight w:val="281"/>
          <w:jc w:val="center"/>
        </w:trPr>
        <w:tc>
          <w:tcPr>
            <w:tcW w:w="2590" w:type="pct"/>
            <w:noWrap/>
            <w:vAlign w:val="center"/>
            <w:hideMark/>
          </w:tcPr>
          <w:p w14:paraId="0924431B" w14:textId="77777777" w:rsidR="00596354" w:rsidRPr="0007074F" w:rsidRDefault="00596354" w:rsidP="00886C5E">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Консолидовани приходи</w:t>
            </w:r>
          </w:p>
        </w:tc>
        <w:tc>
          <w:tcPr>
            <w:tcW w:w="603" w:type="pct"/>
            <w:tcBorders>
              <w:top w:val="nil"/>
              <w:left w:val="nil"/>
              <w:bottom w:val="nil"/>
              <w:right w:val="nil"/>
            </w:tcBorders>
            <w:shd w:val="clear" w:color="auto" w:fill="auto"/>
            <w:noWrap/>
            <w:vAlign w:val="center"/>
          </w:tcPr>
          <w:p w14:paraId="4F2F2306" w14:textId="77777777" w:rsidR="00596354" w:rsidRPr="000979D4" w:rsidRDefault="00596354" w:rsidP="00886C5E">
            <w:pPr>
              <w:jc w:val="center"/>
              <w:rPr>
                <w:color w:val="002060"/>
                <w:sz w:val="18"/>
                <w:lang w:val="sr-Cyrl-CS"/>
              </w:rPr>
            </w:pPr>
            <w:r w:rsidRPr="000979D4">
              <w:rPr>
                <w:rFonts w:ascii="Calibri" w:hAnsi="Calibri" w:cs="Calibri"/>
                <w:color w:val="002060"/>
                <w:sz w:val="18"/>
                <w:szCs w:val="18"/>
                <w:lang w:val="sr-Latn-RS"/>
              </w:rPr>
              <w:t>42,5</w:t>
            </w:r>
          </w:p>
        </w:tc>
        <w:tc>
          <w:tcPr>
            <w:tcW w:w="604" w:type="pct"/>
            <w:tcBorders>
              <w:top w:val="nil"/>
              <w:left w:val="nil"/>
              <w:bottom w:val="nil"/>
              <w:right w:val="nil"/>
            </w:tcBorders>
            <w:shd w:val="clear" w:color="auto" w:fill="auto"/>
            <w:noWrap/>
            <w:vAlign w:val="center"/>
          </w:tcPr>
          <w:p w14:paraId="5E5F6A34" w14:textId="7AB9D115" w:rsidR="00596354" w:rsidRPr="000979D4" w:rsidRDefault="000979D4" w:rsidP="00886C5E">
            <w:pPr>
              <w:jc w:val="center"/>
              <w:rPr>
                <w:color w:val="002060"/>
                <w:sz w:val="18"/>
                <w:lang w:val="sr-Latn-RS"/>
              </w:rPr>
            </w:pPr>
            <w:r w:rsidRPr="000979D4">
              <w:rPr>
                <w:rFonts w:ascii="Calibri" w:hAnsi="Calibri" w:cs="Calibri"/>
                <w:color w:val="002060"/>
                <w:sz w:val="18"/>
                <w:szCs w:val="18"/>
                <w:lang w:val="sr-Cyrl-CS"/>
              </w:rPr>
              <w:t>42,</w:t>
            </w:r>
            <w:r w:rsidRPr="000979D4">
              <w:rPr>
                <w:rFonts w:ascii="Calibri" w:hAnsi="Calibri" w:cs="Calibri"/>
                <w:color w:val="002060"/>
                <w:sz w:val="18"/>
                <w:szCs w:val="18"/>
                <w:lang w:val="sr-Latn-RS"/>
              </w:rPr>
              <w:t>6</w:t>
            </w:r>
          </w:p>
        </w:tc>
        <w:tc>
          <w:tcPr>
            <w:tcW w:w="603" w:type="pct"/>
            <w:tcBorders>
              <w:top w:val="nil"/>
              <w:left w:val="nil"/>
              <w:bottom w:val="nil"/>
              <w:right w:val="nil"/>
            </w:tcBorders>
            <w:shd w:val="clear" w:color="auto" w:fill="auto"/>
            <w:noWrap/>
            <w:vAlign w:val="center"/>
          </w:tcPr>
          <w:p w14:paraId="0D7A429B" w14:textId="6929921B" w:rsidR="00596354" w:rsidRPr="000979D4" w:rsidRDefault="00596354" w:rsidP="000979D4">
            <w:pPr>
              <w:jc w:val="center"/>
              <w:rPr>
                <w:color w:val="002060"/>
                <w:sz w:val="18"/>
                <w:lang w:val="sr-Latn-RS"/>
              </w:rPr>
            </w:pPr>
            <w:r w:rsidRPr="000979D4">
              <w:rPr>
                <w:rFonts w:ascii="Calibri" w:hAnsi="Calibri" w:cs="Calibri"/>
                <w:color w:val="002060"/>
                <w:sz w:val="18"/>
                <w:szCs w:val="18"/>
                <w:lang w:val="sr-Cyrl-CS"/>
              </w:rPr>
              <w:t>42,</w:t>
            </w:r>
            <w:r w:rsidR="000979D4" w:rsidRPr="000979D4">
              <w:rPr>
                <w:rFonts w:ascii="Calibri" w:hAnsi="Calibri" w:cs="Calibri"/>
                <w:color w:val="002060"/>
                <w:sz w:val="18"/>
                <w:szCs w:val="18"/>
                <w:lang w:val="sr-Latn-RS"/>
              </w:rPr>
              <w:t>5</w:t>
            </w:r>
          </w:p>
        </w:tc>
        <w:tc>
          <w:tcPr>
            <w:tcW w:w="600" w:type="pct"/>
            <w:tcBorders>
              <w:top w:val="nil"/>
              <w:left w:val="nil"/>
              <w:bottom w:val="nil"/>
              <w:right w:val="nil"/>
            </w:tcBorders>
            <w:shd w:val="clear" w:color="auto" w:fill="auto"/>
            <w:noWrap/>
            <w:vAlign w:val="center"/>
          </w:tcPr>
          <w:p w14:paraId="2659F580" w14:textId="06355DE1" w:rsidR="00596354" w:rsidRPr="000979D4" w:rsidRDefault="00596354" w:rsidP="00886C5E">
            <w:pPr>
              <w:jc w:val="center"/>
              <w:rPr>
                <w:color w:val="002060"/>
                <w:sz w:val="18"/>
                <w:lang w:val="sr-Latn-RS"/>
              </w:rPr>
            </w:pPr>
            <w:r w:rsidRPr="000979D4">
              <w:rPr>
                <w:rFonts w:ascii="Calibri" w:hAnsi="Calibri" w:cs="Calibri"/>
                <w:color w:val="002060"/>
                <w:sz w:val="18"/>
                <w:szCs w:val="18"/>
                <w:lang w:val="sr-Cyrl-CS"/>
              </w:rPr>
              <w:t>4</w:t>
            </w:r>
            <w:r w:rsidR="000979D4" w:rsidRPr="000979D4">
              <w:rPr>
                <w:rFonts w:ascii="Calibri" w:hAnsi="Calibri" w:cs="Calibri"/>
                <w:color w:val="002060"/>
                <w:sz w:val="18"/>
                <w:szCs w:val="18"/>
                <w:lang w:val="sr-Cyrl-CS"/>
              </w:rPr>
              <w:t>2,</w:t>
            </w:r>
            <w:r w:rsidR="000979D4" w:rsidRPr="000979D4">
              <w:rPr>
                <w:rFonts w:ascii="Calibri" w:hAnsi="Calibri" w:cs="Calibri"/>
                <w:color w:val="002060"/>
                <w:sz w:val="18"/>
                <w:szCs w:val="18"/>
                <w:lang w:val="sr-Latn-RS"/>
              </w:rPr>
              <w:t>3</w:t>
            </w:r>
          </w:p>
        </w:tc>
      </w:tr>
      <w:tr w:rsidR="00596354" w:rsidRPr="0007074F" w14:paraId="39FCD142" w14:textId="77777777" w:rsidTr="00886C5E">
        <w:trPr>
          <w:trHeight w:val="281"/>
          <w:jc w:val="center"/>
        </w:trPr>
        <w:tc>
          <w:tcPr>
            <w:tcW w:w="2590" w:type="pct"/>
            <w:noWrap/>
            <w:vAlign w:val="center"/>
            <w:hideMark/>
          </w:tcPr>
          <w:p w14:paraId="02D7A0B0" w14:textId="77777777" w:rsidR="00596354" w:rsidRPr="0007074F" w:rsidRDefault="00596354" w:rsidP="00886C5E">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Консолидовани расходи</w:t>
            </w:r>
          </w:p>
        </w:tc>
        <w:tc>
          <w:tcPr>
            <w:tcW w:w="603" w:type="pct"/>
            <w:tcBorders>
              <w:top w:val="nil"/>
              <w:left w:val="nil"/>
              <w:bottom w:val="nil"/>
              <w:right w:val="nil"/>
            </w:tcBorders>
            <w:shd w:val="clear" w:color="auto" w:fill="auto"/>
            <w:noWrap/>
            <w:vAlign w:val="center"/>
          </w:tcPr>
          <w:p w14:paraId="253C1FA2" w14:textId="77777777" w:rsidR="00596354" w:rsidRPr="000979D4" w:rsidRDefault="00596354" w:rsidP="00886C5E">
            <w:pPr>
              <w:jc w:val="center"/>
              <w:rPr>
                <w:color w:val="002060"/>
                <w:sz w:val="18"/>
                <w:lang w:val="sr-Cyrl-CS"/>
              </w:rPr>
            </w:pPr>
            <w:r w:rsidRPr="000979D4">
              <w:rPr>
                <w:rFonts w:ascii="Calibri" w:hAnsi="Calibri" w:cs="Calibri"/>
                <w:color w:val="002060"/>
                <w:sz w:val="18"/>
                <w:szCs w:val="18"/>
                <w:lang w:val="sr-Latn-RS"/>
              </w:rPr>
              <w:t>45,3</w:t>
            </w:r>
          </w:p>
        </w:tc>
        <w:tc>
          <w:tcPr>
            <w:tcW w:w="604" w:type="pct"/>
            <w:tcBorders>
              <w:top w:val="nil"/>
              <w:left w:val="nil"/>
              <w:bottom w:val="nil"/>
              <w:right w:val="nil"/>
            </w:tcBorders>
            <w:shd w:val="clear" w:color="auto" w:fill="auto"/>
            <w:noWrap/>
            <w:vAlign w:val="center"/>
          </w:tcPr>
          <w:p w14:paraId="0E965D54" w14:textId="3568192C" w:rsidR="00596354" w:rsidRPr="000979D4" w:rsidRDefault="000979D4" w:rsidP="00886C5E">
            <w:pPr>
              <w:jc w:val="center"/>
              <w:rPr>
                <w:color w:val="002060"/>
                <w:sz w:val="18"/>
                <w:lang w:val="sr-Latn-RS"/>
              </w:rPr>
            </w:pPr>
            <w:r w:rsidRPr="000979D4">
              <w:rPr>
                <w:rFonts w:ascii="Calibri" w:hAnsi="Calibri" w:cs="Calibri"/>
                <w:color w:val="002060"/>
                <w:sz w:val="18"/>
                <w:szCs w:val="18"/>
                <w:lang w:val="sr-Cyrl-CS"/>
              </w:rPr>
              <w:t>44,</w:t>
            </w:r>
            <w:r w:rsidRPr="000979D4">
              <w:rPr>
                <w:rFonts w:ascii="Calibri" w:hAnsi="Calibri" w:cs="Calibri"/>
                <w:color w:val="002060"/>
                <w:sz w:val="18"/>
                <w:szCs w:val="18"/>
                <w:lang w:val="sr-Latn-RS"/>
              </w:rPr>
              <w:t>8</w:t>
            </w:r>
          </w:p>
        </w:tc>
        <w:tc>
          <w:tcPr>
            <w:tcW w:w="603" w:type="pct"/>
            <w:tcBorders>
              <w:top w:val="nil"/>
              <w:left w:val="nil"/>
              <w:bottom w:val="nil"/>
              <w:right w:val="nil"/>
            </w:tcBorders>
            <w:shd w:val="clear" w:color="auto" w:fill="auto"/>
            <w:noWrap/>
            <w:vAlign w:val="center"/>
          </w:tcPr>
          <w:p w14:paraId="398710F8" w14:textId="352150F6" w:rsidR="00596354" w:rsidRPr="000979D4" w:rsidRDefault="000979D4" w:rsidP="00886C5E">
            <w:pPr>
              <w:jc w:val="center"/>
              <w:rPr>
                <w:color w:val="002060"/>
                <w:sz w:val="18"/>
                <w:lang w:val="sr-Latn-RS"/>
              </w:rPr>
            </w:pPr>
            <w:r w:rsidRPr="000979D4">
              <w:rPr>
                <w:rFonts w:ascii="Calibri" w:hAnsi="Calibri" w:cs="Calibri"/>
                <w:color w:val="002060"/>
                <w:sz w:val="18"/>
                <w:szCs w:val="18"/>
                <w:lang w:val="sr-Cyrl-CS"/>
              </w:rPr>
              <w:t>44,</w:t>
            </w:r>
            <w:r w:rsidRPr="000979D4">
              <w:rPr>
                <w:rFonts w:ascii="Calibri" w:hAnsi="Calibri" w:cs="Calibri"/>
                <w:color w:val="002060"/>
                <w:sz w:val="18"/>
                <w:szCs w:val="18"/>
                <w:lang w:val="sr-Latn-RS"/>
              </w:rPr>
              <w:t>0</w:t>
            </w:r>
          </w:p>
        </w:tc>
        <w:tc>
          <w:tcPr>
            <w:tcW w:w="600" w:type="pct"/>
            <w:tcBorders>
              <w:top w:val="nil"/>
              <w:left w:val="nil"/>
              <w:bottom w:val="nil"/>
              <w:right w:val="nil"/>
            </w:tcBorders>
            <w:shd w:val="clear" w:color="auto" w:fill="auto"/>
            <w:noWrap/>
            <w:vAlign w:val="center"/>
          </w:tcPr>
          <w:p w14:paraId="0DA2CF71" w14:textId="51FCB7EB" w:rsidR="00596354" w:rsidRPr="000979D4" w:rsidRDefault="000979D4" w:rsidP="00886C5E">
            <w:pPr>
              <w:jc w:val="center"/>
              <w:rPr>
                <w:color w:val="002060"/>
                <w:sz w:val="18"/>
                <w:lang w:val="sr-Cyrl-CS"/>
              </w:rPr>
            </w:pPr>
            <w:r w:rsidRPr="000979D4">
              <w:rPr>
                <w:rFonts w:ascii="Calibri" w:hAnsi="Calibri" w:cs="Calibri"/>
                <w:color w:val="002060"/>
                <w:sz w:val="18"/>
                <w:szCs w:val="18"/>
                <w:lang w:val="sr-Cyrl-CS"/>
              </w:rPr>
              <w:t>43,8</w:t>
            </w:r>
          </w:p>
        </w:tc>
      </w:tr>
      <w:tr w:rsidR="00596354" w:rsidRPr="0007074F" w14:paraId="4CCC3384" w14:textId="77777777" w:rsidTr="00886C5E">
        <w:trPr>
          <w:trHeight w:val="281"/>
          <w:jc w:val="center"/>
        </w:trPr>
        <w:tc>
          <w:tcPr>
            <w:tcW w:w="2590" w:type="pct"/>
            <w:tcBorders>
              <w:bottom w:val="single" w:sz="4" w:space="0" w:color="002060"/>
            </w:tcBorders>
            <w:noWrap/>
            <w:vAlign w:val="center"/>
            <w:hideMark/>
          </w:tcPr>
          <w:p w14:paraId="32F49516" w14:textId="15B437E7" w:rsidR="00596354" w:rsidRPr="0007074F" w:rsidRDefault="00255EBF" w:rsidP="00886C5E">
            <w:pPr>
              <w:ind w:left="113"/>
              <w:jc w:val="left"/>
              <w:rPr>
                <w:rFonts w:eastAsia="Calibri" w:cstheme="minorHAnsi"/>
                <w:bCs/>
                <w:color w:val="002060"/>
                <w:sz w:val="18"/>
                <w:szCs w:val="18"/>
                <w:lang w:val="sr-Cyrl-CS"/>
              </w:rPr>
            </w:pPr>
            <w:r w:rsidRPr="00255EBF">
              <w:rPr>
                <w:rFonts w:eastAsia="Calibri" w:cstheme="minorHAnsi"/>
                <w:color w:val="002060"/>
                <w:sz w:val="18"/>
                <w:szCs w:val="18"/>
                <w:lang w:val="sr-Cyrl-CS"/>
              </w:rPr>
              <w:t>Бруто</w:t>
            </w:r>
            <w:r>
              <w:rPr>
                <w:rFonts w:eastAsia="Calibri" w:cstheme="minorHAnsi"/>
                <w:color w:val="002060"/>
                <w:sz w:val="18"/>
                <w:szCs w:val="18"/>
                <w:lang w:val="sr-Latn-RS"/>
              </w:rPr>
              <w:t xml:space="preserve"> </w:t>
            </w:r>
            <w:r w:rsidR="00596354" w:rsidRPr="0007074F">
              <w:rPr>
                <w:rFonts w:eastAsia="Calibri" w:cstheme="minorHAnsi"/>
                <w:color w:val="002060"/>
                <w:sz w:val="18"/>
                <w:szCs w:val="18"/>
                <w:lang w:val="sr-Cyrl-CS"/>
              </w:rPr>
              <w:t>дуг сектора државе</w:t>
            </w:r>
          </w:p>
        </w:tc>
        <w:tc>
          <w:tcPr>
            <w:tcW w:w="603" w:type="pct"/>
            <w:tcBorders>
              <w:top w:val="nil"/>
              <w:left w:val="nil"/>
              <w:bottom w:val="single" w:sz="8" w:space="0" w:color="auto"/>
              <w:right w:val="nil"/>
            </w:tcBorders>
            <w:shd w:val="clear" w:color="auto" w:fill="auto"/>
            <w:noWrap/>
            <w:vAlign w:val="center"/>
          </w:tcPr>
          <w:p w14:paraId="6C084B1A" w14:textId="77777777" w:rsidR="00596354" w:rsidRPr="000979D4" w:rsidRDefault="00596354" w:rsidP="00886C5E">
            <w:pPr>
              <w:jc w:val="center"/>
              <w:rPr>
                <w:color w:val="002060"/>
                <w:sz w:val="18"/>
                <w:lang w:val="sr-Cyrl-CS"/>
              </w:rPr>
            </w:pPr>
            <w:r w:rsidRPr="000979D4">
              <w:rPr>
                <w:rFonts w:ascii="Calibri" w:hAnsi="Calibri" w:cs="Calibri"/>
                <w:color w:val="002060"/>
                <w:sz w:val="18"/>
                <w:szCs w:val="18"/>
              </w:rPr>
              <w:t>53,3</w:t>
            </w:r>
          </w:p>
        </w:tc>
        <w:tc>
          <w:tcPr>
            <w:tcW w:w="604" w:type="pct"/>
            <w:tcBorders>
              <w:top w:val="nil"/>
              <w:left w:val="nil"/>
              <w:bottom w:val="single" w:sz="8" w:space="0" w:color="auto"/>
              <w:right w:val="nil"/>
            </w:tcBorders>
            <w:shd w:val="clear" w:color="auto" w:fill="auto"/>
            <w:noWrap/>
            <w:vAlign w:val="center"/>
          </w:tcPr>
          <w:p w14:paraId="153603AF" w14:textId="77777777" w:rsidR="00596354" w:rsidRPr="000979D4" w:rsidRDefault="00596354" w:rsidP="00886C5E">
            <w:pPr>
              <w:jc w:val="center"/>
              <w:rPr>
                <w:color w:val="002060"/>
                <w:sz w:val="18"/>
                <w:lang w:val="sr-Cyrl-CS"/>
              </w:rPr>
            </w:pPr>
            <w:r w:rsidRPr="000979D4">
              <w:rPr>
                <w:rFonts w:ascii="Calibri" w:hAnsi="Calibri" w:cs="Calibri"/>
                <w:color w:val="002060"/>
                <w:sz w:val="18"/>
                <w:szCs w:val="18"/>
              </w:rPr>
              <w:t>51,7</w:t>
            </w:r>
          </w:p>
        </w:tc>
        <w:tc>
          <w:tcPr>
            <w:tcW w:w="603" w:type="pct"/>
            <w:tcBorders>
              <w:top w:val="nil"/>
              <w:left w:val="nil"/>
              <w:bottom w:val="single" w:sz="8" w:space="0" w:color="auto"/>
              <w:right w:val="nil"/>
            </w:tcBorders>
            <w:shd w:val="clear" w:color="auto" w:fill="auto"/>
            <w:noWrap/>
            <w:vAlign w:val="center"/>
          </w:tcPr>
          <w:p w14:paraId="5437FEF4" w14:textId="77777777" w:rsidR="00596354" w:rsidRPr="000979D4" w:rsidRDefault="00596354" w:rsidP="00886C5E">
            <w:pPr>
              <w:jc w:val="center"/>
              <w:rPr>
                <w:color w:val="002060"/>
                <w:sz w:val="18"/>
                <w:lang w:val="sr-Cyrl-CS"/>
              </w:rPr>
            </w:pPr>
            <w:r w:rsidRPr="000979D4">
              <w:rPr>
                <w:rFonts w:ascii="Calibri" w:hAnsi="Calibri" w:cs="Calibri"/>
                <w:color w:val="002060"/>
                <w:sz w:val="18"/>
                <w:szCs w:val="18"/>
              </w:rPr>
              <w:t>50,7</w:t>
            </w:r>
          </w:p>
        </w:tc>
        <w:tc>
          <w:tcPr>
            <w:tcW w:w="600" w:type="pct"/>
            <w:tcBorders>
              <w:top w:val="nil"/>
              <w:left w:val="nil"/>
              <w:bottom w:val="single" w:sz="8" w:space="0" w:color="auto"/>
              <w:right w:val="nil"/>
            </w:tcBorders>
            <w:shd w:val="clear" w:color="auto" w:fill="auto"/>
            <w:noWrap/>
            <w:vAlign w:val="center"/>
          </w:tcPr>
          <w:p w14:paraId="033CC131" w14:textId="77777777" w:rsidR="00596354" w:rsidRPr="000979D4" w:rsidRDefault="00596354" w:rsidP="00886C5E">
            <w:pPr>
              <w:jc w:val="center"/>
              <w:rPr>
                <w:color w:val="002060"/>
                <w:sz w:val="18"/>
                <w:lang w:val="sr-Cyrl-CS"/>
              </w:rPr>
            </w:pPr>
            <w:r w:rsidRPr="000979D4">
              <w:rPr>
                <w:rFonts w:ascii="Calibri" w:hAnsi="Calibri" w:cs="Calibri"/>
                <w:color w:val="002060"/>
                <w:sz w:val="18"/>
                <w:szCs w:val="18"/>
              </w:rPr>
              <w:t>50,0</w:t>
            </w:r>
          </w:p>
        </w:tc>
      </w:tr>
      <w:bookmarkEnd w:id="74"/>
      <w:bookmarkEnd w:id="75"/>
      <w:bookmarkEnd w:id="76"/>
      <w:bookmarkEnd w:id="77"/>
      <w:bookmarkEnd w:id="78"/>
    </w:tbl>
    <w:p w14:paraId="0B399EA8" w14:textId="77777777" w:rsidR="006D662B" w:rsidRPr="0007074F" w:rsidRDefault="006D662B" w:rsidP="000D3688">
      <w:pPr>
        <w:spacing w:after="0"/>
        <w:rPr>
          <w:color w:val="002060"/>
          <w:lang w:val="sr-Cyrl-CS"/>
        </w:rPr>
      </w:pPr>
    </w:p>
    <w:p w14:paraId="400B403A" w14:textId="77777777" w:rsidR="00063299" w:rsidRPr="0007074F" w:rsidRDefault="00063299" w:rsidP="008A59AE">
      <w:pPr>
        <w:rPr>
          <w:rFonts w:ascii="Calibri" w:eastAsia="Calibri" w:hAnsi="Calibri" w:cs="Calibri"/>
          <w:color w:val="44546A"/>
          <w:lang w:val="sr-Cyrl-CS"/>
        </w:rPr>
        <w:sectPr w:rsidR="00063299" w:rsidRPr="0007074F" w:rsidSect="00C171B0">
          <w:type w:val="continuous"/>
          <w:pgSz w:w="12240" w:h="15840" w:code="1"/>
          <w:pgMar w:top="1440" w:right="1440" w:bottom="1440" w:left="1440" w:header="720" w:footer="720" w:gutter="0"/>
          <w:cols w:space="720"/>
          <w:titlePg/>
          <w:docGrid w:linePitch="360"/>
        </w:sectPr>
      </w:pPr>
    </w:p>
    <w:p w14:paraId="6C31845B" w14:textId="77777777" w:rsidR="00063299" w:rsidRPr="0007074F" w:rsidRDefault="00063299" w:rsidP="003911D0">
      <w:pPr>
        <w:spacing w:after="0"/>
        <w:rPr>
          <w:color w:val="2F5496" w:themeColor="accent1" w:themeShade="BF"/>
          <w:sz w:val="14"/>
          <w:szCs w:val="26"/>
          <w:lang w:val="sr-Cyrl-CS"/>
        </w:rPr>
      </w:pPr>
      <w:bookmarkStart w:id="79" w:name="_Toc72394589"/>
      <w:bookmarkStart w:id="80" w:name="_Toc86923731"/>
    </w:p>
    <w:p w14:paraId="3680A32E" w14:textId="77777777" w:rsidR="00F64DB2" w:rsidRPr="00DE058F" w:rsidRDefault="00F64DB2" w:rsidP="00C91F83">
      <w:pPr>
        <w:spacing w:after="0"/>
        <w:ind w:left="567"/>
        <w:rPr>
          <w:color w:val="2F5496" w:themeColor="accent1" w:themeShade="BF"/>
          <w:sz w:val="14"/>
          <w:szCs w:val="26"/>
          <w:lang w:val="sr-Cyrl-CS"/>
        </w:rPr>
      </w:pPr>
      <w:bookmarkStart w:id="81" w:name="_Toc119654153"/>
      <w:bookmarkStart w:id="82" w:name="_Toc135994510"/>
    </w:p>
    <w:p w14:paraId="0000DB08" w14:textId="39772D74" w:rsidR="00F64DB2" w:rsidRPr="00DE058F" w:rsidRDefault="00F64DB2" w:rsidP="00C91F83">
      <w:pPr>
        <w:keepNext/>
        <w:keepLines/>
        <w:spacing w:before="40"/>
        <w:outlineLvl w:val="0"/>
        <w:rPr>
          <w:rFonts w:eastAsiaTheme="majorEastAsia" w:cstheme="minorHAnsi"/>
          <w:color w:val="002060"/>
          <w:sz w:val="24"/>
          <w:szCs w:val="26"/>
          <w:lang w:val="sr-Cyrl-CS"/>
        </w:rPr>
      </w:pPr>
      <w:bookmarkStart w:id="83" w:name="_Toc103598562"/>
      <w:bookmarkStart w:id="84" w:name="_Toc104899615"/>
      <w:bookmarkStart w:id="85" w:name="_Toc146277924"/>
      <w:r w:rsidRPr="00DE058F">
        <w:rPr>
          <w:rFonts w:eastAsiaTheme="majorEastAsia" w:cstheme="minorHAnsi"/>
          <w:color w:val="002060"/>
          <w:sz w:val="24"/>
          <w:szCs w:val="26"/>
          <w:lang w:val="sr-Cyrl-CS"/>
        </w:rPr>
        <w:t xml:space="preserve">Прилог 2 – Фискални оквир </w:t>
      </w:r>
      <w:r w:rsidRPr="00F64DB2">
        <w:rPr>
          <w:rFonts w:eastAsiaTheme="majorEastAsia" w:cstheme="minorHAnsi"/>
          <w:color w:val="002060"/>
          <w:sz w:val="24"/>
          <w:szCs w:val="26"/>
          <w:lang w:val="sr-Cyrl-CS"/>
        </w:rPr>
        <w:t>сектора</w:t>
      </w:r>
      <w:r w:rsidRPr="00DE058F">
        <w:rPr>
          <w:rFonts w:eastAsiaTheme="majorEastAsia" w:cstheme="minorHAnsi"/>
          <w:color w:val="002060"/>
          <w:sz w:val="24"/>
          <w:szCs w:val="26"/>
          <w:lang w:val="sr-Cyrl-CS"/>
        </w:rPr>
        <w:t xml:space="preserve"> државе у 202</w:t>
      </w:r>
      <w:r w:rsidRPr="000979D4">
        <w:rPr>
          <w:rFonts w:eastAsiaTheme="majorEastAsia" w:cstheme="minorHAnsi"/>
          <w:color w:val="002060"/>
          <w:sz w:val="24"/>
          <w:szCs w:val="26"/>
          <w:lang w:val="sr-Cyrl-CS"/>
        </w:rPr>
        <w:t>4</w:t>
      </w:r>
      <w:r w:rsidRPr="00DE058F">
        <w:rPr>
          <w:rFonts w:eastAsiaTheme="majorEastAsia" w:cstheme="minorHAnsi"/>
          <w:color w:val="002060"/>
          <w:sz w:val="24"/>
          <w:szCs w:val="26"/>
          <w:lang w:val="sr-Cyrl-CS"/>
        </w:rPr>
        <w:t>. години</w:t>
      </w:r>
      <w:bookmarkEnd w:id="83"/>
      <w:bookmarkEnd w:id="84"/>
      <w:bookmarkEnd w:id="85"/>
    </w:p>
    <w:tbl>
      <w:tblPr>
        <w:tblStyle w:val="ListTable1Light-Accent3"/>
        <w:tblW w:w="4916" w:type="pct"/>
        <w:tblLook w:val="04A0" w:firstRow="1" w:lastRow="0" w:firstColumn="1" w:lastColumn="0" w:noHBand="0" w:noVBand="1"/>
      </w:tblPr>
      <w:tblGrid>
        <w:gridCol w:w="2925"/>
        <w:gridCol w:w="1042"/>
        <w:gridCol w:w="1042"/>
        <w:gridCol w:w="1054"/>
        <w:gridCol w:w="1019"/>
        <w:gridCol w:w="1088"/>
        <w:gridCol w:w="1032"/>
        <w:gridCol w:w="1087"/>
        <w:gridCol w:w="1087"/>
        <w:gridCol w:w="1087"/>
        <w:gridCol w:w="1087"/>
        <w:gridCol w:w="909"/>
      </w:tblGrid>
      <w:tr w:rsidR="00F64DB2" w:rsidRPr="00DE058F" w14:paraId="6C3AC6F9" w14:textId="77777777" w:rsidTr="00D73C9A">
        <w:trPr>
          <w:cnfStyle w:val="100000000000" w:firstRow="1" w:lastRow="0" w:firstColumn="0" w:lastColumn="0" w:oddVBand="0" w:evenVBand="0" w:oddHBand="0" w:evenHBand="0" w:firstRowFirstColumn="0" w:firstRowLastColumn="0" w:lastRowFirstColumn="0" w:lastRowLastColumn="0"/>
          <w:trHeight w:val="687"/>
        </w:trPr>
        <w:tc>
          <w:tcPr>
            <w:cnfStyle w:val="001000000000" w:firstRow="0" w:lastRow="0" w:firstColumn="1" w:lastColumn="0" w:oddVBand="0" w:evenVBand="0" w:oddHBand="0" w:evenHBand="0" w:firstRowFirstColumn="0" w:firstRowLastColumn="0" w:lastRowFirstColumn="0" w:lastRowLastColumn="0"/>
            <w:tcW w:w="1011" w:type="pct"/>
            <w:tcBorders>
              <w:top w:val="single" w:sz="4" w:space="0" w:color="auto"/>
              <w:bottom w:val="single" w:sz="4" w:space="0" w:color="auto"/>
            </w:tcBorders>
            <w:noWrap/>
            <w:hideMark/>
          </w:tcPr>
          <w:p w14:paraId="3BDF61AD" w14:textId="77777777" w:rsidR="00F64DB2" w:rsidRPr="00DE058F" w:rsidRDefault="00F64DB2" w:rsidP="00C91F83">
            <w:pPr>
              <w:tabs>
                <w:tab w:val="center" w:pos="4680"/>
                <w:tab w:val="right" w:pos="9360"/>
              </w:tabs>
              <w:rPr>
                <w:rFonts w:ascii="Calibri" w:hAnsi="Calibri" w:cs="Calibri"/>
                <w:color w:val="002060"/>
                <w:sz w:val="14"/>
                <w:szCs w:val="14"/>
                <w:lang w:val="sr-Cyrl-CS"/>
              </w:rPr>
            </w:pPr>
            <w:r w:rsidRPr="00DE058F">
              <w:rPr>
                <w:rFonts w:ascii="Calibri" w:hAnsi="Calibri" w:cs="Calibri"/>
                <w:color w:val="002060"/>
                <w:sz w:val="14"/>
                <w:szCs w:val="14"/>
                <w:lang w:val="sr-Cyrl-CS"/>
              </w:rPr>
              <w:t> </w:t>
            </w:r>
          </w:p>
        </w:tc>
        <w:tc>
          <w:tcPr>
            <w:tcW w:w="360" w:type="pct"/>
            <w:tcBorders>
              <w:top w:val="single" w:sz="4" w:space="0" w:color="auto"/>
              <w:bottom w:val="single" w:sz="4" w:space="0" w:color="auto"/>
            </w:tcBorders>
            <w:vAlign w:val="center"/>
            <w:hideMark/>
          </w:tcPr>
          <w:p w14:paraId="03B3044B" w14:textId="59199233" w:rsidR="00F64DB2" w:rsidRPr="00DE058F" w:rsidRDefault="00F64DB2" w:rsidP="00D73C9A">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F64DB2">
              <w:rPr>
                <w:rFonts w:ascii="Calibri" w:hAnsi="Calibri" w:cs="Calibri"/>
                <w:b w:val="0"/>
                <w:color w:val="002060"/>
                <w:sz w:val="14"/>
                <w:szCs w:val="14"/>
                <w:lang w:val="sr-Cyrl-CS"/>
              </w:rPr>
              <w:t>Сектор</w:t>
            </w:r>
            <w:r w:rsidRPr="00DE058F">
              <w:rPr>
                <w:rFonts w:ascii="Calibri" w:hAnsi="Calibri" w:cs="Calibri"/>
                <w:b w:val="0"/>
                <w:color w:val="002060"/>
                <w:sz w:val="14"/>
                <w:szCs w:val="14"/>
                <w:lang w:val="sr-Cyrl-CS"/>
              </w:rPr>
              <w:t xml:space="preserve"> држава*</w:t>
            </w:r>
          </w:p>
        </w:tc>
        <w:tc>
          <w:tcPr>
            <w:tcW w:w="360" w:type="pct"/>
            <w:tcBorders>
              <w:top w:val="single" w:sz="4" w:space="0" w:color="auto"/>
              <w:bottom w:val="single" w:sz="4" w:space="0" w:color="auto"/>
            </w:tcBorders>
            <w:vAlign w:val="center"/>
            <w:hideMark/>
          </w:tcPr>
          <w:p w14:paraId="05B8555E" w14:textId="77777777" w:rsidR="00F64DB2" w:rsidRPr="00DE058F" w:rsidRDefault="00F64DB2" w:rsidP="00D73C9A">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DE058F">
              <w:rPr>
                <w:rFonts w:ascii="Calibri" w:hAnsi="Calibri" w:cs="Calibri"/>
                <w:b w:val="0"/>
                <w:color w:val="002060"/>
                <w:sz w:val="14"/>
                <w:szCs w:val="14"/>
                <w:lang w:val="sr-Cyrl-CS"/>
              </w:rPr>
              <w:t>Буџет Републике</w:t>
            </w:r>
          </w:p>
        </w:tc>
        <w:tc>
          <w:tcPr>
            <w:tcW w:w="364" w:type="pct"/>
            <w:tcBorders>
              <w:top w:val="single" w:sz="4" w:space="0" w:color="auto"/>
              <w:bottom w:val="single" w:sz="4" w:space="0" w:color="auto"/>
            </w:tcBorders>
            <w:vAlign w:val="center"/>
            <w:hideMark/>
          </w:tcPr>
          <w:p w14:paraId="0BAF9965" w14:textId="77777777" w:rsidR="00F64DB2" w:rsidRPr="00DE058F" w:rsidRDefault="00F64DB2" w:rsidP="00D73C9A">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DE058F">
              <w:rPr>
                <w:rFonts w:ascii="Calibri" w:hAnsi="Calibri" w:cs="Calibri"/>
                <w:b w:val="0"/>
                <w:color w:val="002060"/>
                <w:sz w:val="14"/>
                <w:szCs w:val="14"/>
                <w:lang w:val="sr-Cyrl-CS"/>
              </w:rPr>
              <w:t>Јединице локалне самоуправе</w:t>
            </w:r>
          </w:p>
        </w:tc>
        <w:tc>
          <w:tcPr>
            <w:tcW w:w="352" w:type="pct"/>
            <w:tcBorders>
              <w:top w:val="single" w:sz="4" w:space="0" w:color="auto"/>
              <w:bottom w:val="single" w:sz="4" w:space="0" w:color="auto"/>
            </w:tcBorders>
            <w:vAlign w:val="center"/>
            <w:hideMark/>
          </w:tcPr>
          <w:p w14:paraId="6A9C6B8A" w14:textId="77777777" w:rsidR="00F64DB2" w:rsidRPr="00DE058F" w:rsidRDefault="00F64DB2" w:rsidP="00D73C9A">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DE058F">
              <w:rPr>
                <w:rFonts w:ascii="Calibri" w:hAnsi="Calibri" w:cs="Calibri"/>
                <w:b w:val="0"/>
                <w:color w:val="002060"/>
                <w:sz w:val="14"/>
                <w:szCs w:val="14"/>
                <w:lang w:val="sr-Cyrl-CS"/>
              </w:rPr>
              <w:t>Градови и општине</w:t>
            </w:r>
          </w:p>
        </w:tc>
        <w:tc>
          <w:tcPr>
            <w:tcW w:w="376" w:type="pct"/>
            <w:tcBorders>
              <w:top w:val="single" w:sz="4" w:space="0" w:color="auto"/>
              <w:bottom w:val="single" w:sz="4" w:space="0" w:color="auto"/>
            </w:tcBorders>
            <w:noWrap/>
            <w:vAlign w:val="center"/>
            <w:hideMark/>
          </w:tcPr>
          <w:p w14:paraId="0DD681A6" w14:textId="77777777" w:rsidR="00F64DB2" w:rsidRPr="00DE058F" w:rsidRDefault="00F64DB2" w:rsidP="00D73C9A">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DE058F">
              <w:rPr>
                <w:rFonts w:ascii="Calibri" w:hAnsi="Calibri" w:cs="Calibri"/>
                <w:b w:val="0"/>
                <w:color w:val="002060"/>
                <w:sz w:val="14"/>
                <w:szCs w:val="14"/>
                <w:lang w:val="sr-Cyrl-CS"/>
              </w:rPr>
              <w:t>AП Војводина</w:t>
            </w:r>
          </w:p>
        </w:tc>
        <w:tc>
          <w:tcPr>
            <w:tcW w:w="357" w:type="pct"/>
            <w:tcBorders>
              <w:top w:val="single" w:sz="4" w:space="0" w:color="auto"/>
              <w:bottom w:val="single" w:sz="4" w:space="0" w:color="auto"/>
            </w:tcBorders>
            <w:vAlign w:val="center"/>
            <w:hideMark/>
          </w:tcPr>
          <w:p w14:paraId="79388216" w14:textId="77777777" w:rsidR="00F64DB2" w:rsidRPr="00DE058F" w:rsidRDefault="00F64DB2" w:rsidP="00D73C9A">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DE058F">
              <w:rPr>
                <w:rFonts w:ascii="Calibri" w:hAnsi="Calibri" w:cs="Calibri"/>
                <w:b w:val="0"/>
                <w:color w:val="002060"/>
                <w:sz w:val="14"/>
                <w:szCs w:val="14"/>
                <w:lang w:val="sr-Cyrl-CS"/>
              </w:rPr>
              <w:t>ЈП „Путеви Србије” и Коридори Србије д.о.о.</w:t>
            </w:r>
          </w:p>
        </w:tc>
        <w:tc>
          <w:tcPr>
            <w:tcW w:w="376" w:type="pct"/>
            <w:tcBorders>
              <w:top w:val="single" w:sz="4" w:space="0" w:color="auto"/>
              <w:bottom w:val="single" w:sz="4" w:space="0" w:color="auto"/>
            </w:tcBorders>
            <w:noWrap/>
            <w:vAlign w:val="center"/>
            <w:hideMark/>
          </w:tcPr>
          <w:p w14:paraId="07E37C75" w14:textId="77777777" w:rsidR="00F64DB2" w:rsidRPr="00DE058F" w:rsidRDefault="00F64DB2" w:rsidP="00D73C9A">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DE058F">
              <w:rPr>
                <w:rFonts w:ascii="Calibri" w:hAnsi="Calibri" w:cs="Calibri"/>
                <w:b w:val="0"/>
                <w:color w:val="002060"/>
                <w:sz w:val="14"/>
                <w:szCs w:val="14"/>
                <w:lang w:val="sr-Cyrl-CS"/>
              </w:rPr>
              <w:t>ООСО</w:t>
            </w:r>
          </w:p>
        </w:tc>
        <w:tc>
          <w:tcPr>
            <w:tcW w:w="376" w:type="pct"/>
            <w:tcBorders>
              <w:top w:val="single" w:sz="4" w:space="0" w:color="auto"/>
              <w:bottom w:val="single" w:sz="4" w:space="0" w:color="auto"/>
            </w:tcBorders>
            <w:noWrap/>
            <w:vAlign w:val="center"/>
            <w:hideMark/>
          </w:tcPr>
          <w:p w14:paraId="3D2A4EB9" w14:textId="77777777" w:rsidR="00F64DB2" w:rsidRPr="00DE058F" w:rsidRDefault="00F64DB2" w:rsidP="00D73C9A">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DE058F">
              <w:rPr>
                <w:rFonts w:ascii="Calibri" w:hAnsi="Calibri" w:cs="Calibri"/>
                <w:b w:val="0"/>
                <w:color w:val="002060"/>
                <w:sz w:val="14"/>
                <w:szCs w:val="14"/>
                <w:lang w:val="sr-Cyrl-CS"/>
              </w:rPr>
              <w:t>Фонд ПИО</w:t>
            </w:r>
          </w:p>
        </w:tc>
        <w:tc>
          <w:tcPr>
            <w:tcW w:w="376" w:type="pct"/>
            <w:tcBorders>
              <w:top w:val="single" w:sz="4" w:space="0" w:color="auto"/>
              <w:bottom w:val="single" w:sz="4" w:space="0" w:color="auto"/>
            </w:tcBorders>
            <w:noWrap/>
            <w:vAlign w:val="center"/>
            <w:hideMark/>
          </w:tcPr>
          <w:p w14:paraId="1B1AEE38" w14:textId="77777777" w:rsidR="00F64DB2" w:rsidRPr="00DE058F" w:rsidRDefault="00F64DB2" w:rsidP="00D73C9A">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DE058F">
              <w:rPr>
                <w:rFonts w:ascii="Calibri" w:hAnsi="Calibri" w:cs="Calibri"/>
                <w:b w:val="0"/>
                <w:color w:val="002060"/>
                <w:sz w:val="14"/>
                <w:szCs w:val="14"/>
                <w:lang w:val="sr-Cyrl-CS"/>
              </w:rPr>
              <w:t>РФЗО</w:t>
            </w:r>
          </w:p>
        </w:tc>
        <w:tc>
          <w:tcPr>
            <w:tcW w:w="376" w:type="pct"/>
            <w:tcBorders>
              <w:top w:val="single" w:sz="4" w:space="0" w:color="auto"/>
              <w:bottom w:val="single" w:sz="4" w:space="0" w:color="auto"/>
            </w:tcBorders>
            <w:noWrap/>
            <w:vAlign w:val="center"/>
            <w:hideMark/>
          </w:tcPr>
          <w:p w14:paraId="73319A1B" w14:textId="77777777" w:rsidR="00F64DB2" w:rsidRPr="00DE058F" w:rsidRDefault="00F64DB2" w:rsidP="00D73C9A">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DE058F">
              <w:rPr>
                <w:rFonts w:ascii="Calibri" w:hAnsi="Calibri" w:cs="Calibri"/>
                <w:b w:val="0"/>
                <w:color w:val="002060"/>
                <w:sz w:val="14"/>
                <w:szCs w:val="14"/>
                <w:lang w:val="sr-Cyrl-CS"/>
              </w:rPr>
              <w:t>НСЗ</w:t>
            </w:r>
          </w:p>
        </w:tc>
        <w:tc>
          <w:tcPr>
            <w:tcW w:w="314" w:type="pct"/>
            <w:tcBorders>
              <w:top w:val="single" w:sz="4" w:space="0" w:color="auto"/>
              <w:bottom w:val="single" w:sz="4" w:space="0" w:color="auto"/>
            </w:tcBorders>
            <w:noWrap/>
            <w:vAlign w:val="center"/>
            <w:hideMark/>
          </w:tcPr>
          <w:p w14:paraId="50F1EDC0" w14:textId="77777777" w:rsidR="00F64DB2" w:rsidRPr="00DE058F" w:rsidRDefault="00F64DB2" w:rsidP="00D73C9A">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DE058F">
              <w:rPr>
                <w:rFonts w:ascii="Calibri" w:hAnsi="Calibri" w:cs="Calibri"/>
                <w:b w:val="0"/>
                <w:color w:val="002060"/>
                <w:sz w:val="14"/>
                <w:szCs w:val="14"/>
                <w:lang w:val="sr-Cyrl-CS"/>
              </w:rPr>
              <w:t>Фонд СОВО</w:t>
            </w:r>
          </w:p>
        </w:tc>
      </w:tr>
      <w:tr w:rsidR="00F64DB2" w:rsidRPr="00DE058F" w14:paraId="41351FA4" w14:textId="77777777" w:rsidTr="00D73C9A">
        <w:trPr>
          <w:cnfStyle w:val="000000100000" w:firstRow="0" w:lastRow="0" w:firstColumn="0" w:lastColumn="0" w:oddVBand="0" w:evenVBand="0" w:oddHBand="1"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1011" w:type="pct"/>
            <w:tcBorders>
              <w:top w:val="single" w:sz="4" w:space="0" w:color="auto"/>
              <w:bottom w:val="single" w:sz="4" w:space="0" w:color="auto"/>
            </w:tcBorders>
            <w:shd w:val="clear" w:color="auto" w:fill="auto"/>
            <w:noWrap/>
            <w:hideMark/>
          </w:tcPr>
          <w:p w14:paraId="25F031B3" w14:textId="77777777" w:rsidR="00F64DB2" w:rsidRPr="00DE058F" w:rsidRDefault="00F64DB2" w:rsidP="00C91F83">
            <w:pPr>
              <w:tabs>
                <w:tab w:val="center" w:pos="4680"/>
                <w:tab w:val="right" w:pos="9360"/>
              </w:tabs>
              <w:rPr>
                <w:rFonts w:ascii="Calibri" w:hAnsi="Calibri" w:cs="Calibri"/>
                <w:color w:val="002060"/>
                <w:sz w:val="14"/>
                <w:szCs w:val="14"/>
                <w:lang w:val="sr-Cyrl-CS"/>
              </w:rPr>
            </w:pPr>
            <w:r w:rsidRPr="00DE058F">
              <w:rPr>
                <w:rFonts w:ascii="Calibri" w:hAnsi="Calibri" w:cs="Calibri"/>
                <w:color w:val="002060"/>
                <w:sz w:val="14"/>
                <w:szCs w:val="14"/>
                <w:lang w:val="sr-Cyrl-CS"/>
              </w:rPr>
              <w:t> </w:t>
            </w:r>
          </w:p>
        </w:tc>
        <w:tc>
          <w:tcPr>
            <w:tcW w:w="360" w:type="pct"/>
            <w:tcBorders>
              <w:top w:val="single" w:sz="4" w:space="0" w:color="auto"/>
              <w:bottom w:val="single" w:sz="4" w:space="0" w:color="auto"/>
            </w:tcBorders>
            <w:shd w:val="clear" w:color="auto" w:fill="auto"/>
            <w:hideMark/>
          </w:tcPr>
          <w:p w14:paraId="0AAF6198" w14:textId="77777777" w:rsidR="00F64DB2" w:rsidRPr="00DE058F" w:rsidRDefault="00F64DB2" w:rsidP="00D73C9A">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DE058F">
              <w:rPr>
                <w:rFonts w:ascii="Calibri" w:hAnsi="Calibri" w:cs="Calibri"/>
                <w:color w:val="002060"/>
                <w:sz w:val="14"/>
                <w:szCs w:val="14"/>
                <w:lang w:val="sr-Cyrl-CS"/>
              </w:rPr>
              <w:t>1=2+3+6+7</w:t>
            </w:r>
          </w:p>
        </w:tc>
        <w:tc>
          <w:tcPr>
            <w:tcW w:w="360" w:type="pct"/>
            <w:tcBorders>
              <w:top w:val="single" w:sz="4" w:space="0" w:color="auto"/>
              <w:bottom w:val="single" w:sz="4" w:space="0" w:color="auto"/>
            </w:tcBorders>
            <w:shd w:val="clear" w:color="auto" w:fill="auto"/>
            <w:hideMark/>
          </w:tcPr>
          <w:p w14:paraId="053FB53A" w14:textId="77777777" w:rsidR="00F64DB2" w:rsidRPr="00DE058F" w:rsidRDefault="00F64DB2" w:rsidP="00D73C9A">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DE058F">
              <w:rPr>
                <w:rFonts w:ascii="Calibri" w:hAnsi="Calibri" w:cs="Calibri"/>
                <w:color w:val="002060"/>
                <w:sz w:val="14"/>
                <w:szCs w:val="14"/>
                <w:lang w:val="sr-Cyrl-CS"/>
              </w:rPr>
              <w:t>2</w:t>
            </w:r>
          </w:p>
        </w:tc>
        <w:tc>
          <w:tcPr>
            <w:tcW w:w="364" w:type="pct"/>
            <w:tcBorders>
              <w:top w:val="single" w:sz="4" w:space="0" w:color="auto"/>
              <w:bottom w:val="single" w:sz="4" w:space="0" w:color="auto"/>
            </w:tcBorders>
            <w:shd w:val="clear" w:color="auto" w:fill="auto"/>
            <w:hideMark/>
          </w:tcPr>
          <w:p w14:paraId="78181D9A" w14:textId="77777777" w:rsidR="00F64DB2" w:rsidRPr="00DE058F" w:rsidRDefault="00F64DB2" w:rsidP="00D73C9A">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DE058F">
              <w:rPr>
                <w:rFonts w:ascii="Calibri" w:hAnsi="Calibri" w:cs="Calibri"/>
                <w:color w:val="002060"/>
                <w:sz w:val="14"/>
                <w:szCs w:val="14"/>
                <w:lang w:val="sr-Cyrl-CS"/>
              </w:rPr>
              <w:t>3=4+5</w:t>
            </w:r>
          </w:p>
        </w:tc>
        <w:tc>
          <w:tcPr>
            <w:tcW w:w="352" w:type="pct"/>
            <w:tcBorders>
              <w:top w:val="single" w:sz="4" w:space="0" w:color="auto"/>
              <w:bottom w:val="single" w:sz="4" w:space="0" w:color="auto"/>
            </w:tcBorders>
            <w:shd w:val="clear" w:color="auto" w:fill="auto"/>
            <w:hideMark/>
          </w:tcPr>
          <w:p w14:paraId="50348B3D" w14:textId="77777777" w:rsidR="00F64DB2" w:rsidRPr="00DE058F" w:rsidRDefault="00F64DB2" w:rsidP="00D73C9A">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DE058F">
              <w:rPr>
                <w:rFonts w:ascii="Calibri" w:hAnsi="Calibri" w:cs="Calibri"/>
                <w:color w:val="002060"/>
                <w:sz w:val="14"/>
                <w:szCs w:val="14"/>
                <w:lang w:val="sr-Cyrl-CS"/>
              </w:rPr>
              <w:t>4</w:t>
            </w:r>
          </w:p>
        </w:tc>
        <w:tc>
          <w:tcPr>
            <w:tcW w:w="376" w:type="pct"/>
            <w:tcBorders>
              <w:top w:val="single" w:sz="4" w:space="0" w:color="auto"/>
              <w:bottom w:val="single" w:sz="4" w:space="0" w:color="auto"/>
            </w:tcBorders>
            <w:shd w:val="clear" w:color="auto" w:fill="auto"/>
            <w:noWrap/>
            <w:hideMark/>
          </w:tcPr>
          <w:p w14:paraId="0ACE8B64" w14:textId="77777777" w:rsidR="00F64DB2" w:rsidRPr="00DE058F" w:rsidRDefault="00F64DB2" w:rsidP="00D73C9A">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DE058F">
              <w:rPr>
                <w:rFonts w:ascii="Calibri" w:hAnsi="Calibri" w:cs="Calibri"/>
                <w:color w:val="002060"/>
                <w:sz w:val="14"/>
                <w:szCs w:val="14"/>
                <w:lang w:val="sr-Cyrl-CS"/>
              </w:rPr>
              <w:t>5</w:t>
            </w:r>
          </w:p>
        </w:tc>
        <w:tc>
          <w:tcPr>
            <w:tcW w:w="357" w:type="pct"/>
            <w:tcBorders>
              <w:top w:val="single" w:sz="4" w:space="0" w:color="auto"/>
              <w:bottom w:val="single" w:sz="4" w:space="0" w:color="auto"/>
            </w:tcBorders>
            <w:shd w:val="clear" w:color="auto" w:fill="auto"/>
            <w:noWrap/>
            <w:hideMark/>
          </w:tcPr>
          <w:p w14:paraId="30C621D8" w14:textId="77777777" w:rsidR="00F64DB2" w:rsidRPr="00DE058F" w:rsidRDefault="00F64DB2" w:rsidP="00D73C9A">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DE058F">
              <w:rPr>
                <w:rFonts w:ascii="Calibri" w:hAnsi="Calibri" w:cs="Calibri"/>
                <w:color w:val="002060"/>
                <w:sz w:val="14"/>
                <w:szCs w:val="14"/>
                <w:lang w:val="sr-Cyrl-CS"/>
              </w:rPr>
              <w:t>6</w:t>
            </w:r>
          </w:p>
        </w:tc>
        <w:tc>
          <w:tcPr>
            <w:tcW w:w="376" w:type="pct"/>
            <w:tcBorders>
              <w:top w:val="single" w:sz="4" w:space="0" w:color="auto"/>
              <w:bottom w:val="single" w:sz="4" w:space="0" w:color="auto"/>
            </w:tcBorders>
            <w:shd w:val="clear" w:color="auto" w:fill="auto"/>
            <w:noWrap/>
            <w:hideMark/>
          </w:tcPr>
          <w:p w14:paraId="3C0D1CE2" w14:textId="77777777" w:rsidR="00F64DB2" w:rsidRPr="00DE058F" w:rsidRDefault="00F64DB2" w:rsidP="00D73C9A">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DE058F">
              <w:rPr>
                <w:rFonts w:ascii="Calibri" w:hAnsi="Calibri" w:cs="Calibri"/>
                <w:color w:val="002060"/>
                <w:sz w:val="14"/>
                <w:szCs w:val="14"/>
                <w:lang w:val="sr-Cyrl-CS"/>
              </w:rPr>
              <w:t>7=8+9+10+11</w:t>
            </w:r>
          </w:p>
        </w:tc>
        <w:tc>
          <w:tcPr>
            <w:tcW w:w="376" w:type="pct"/>
            <w:tcBorders>
              <w:top w:val="single" w:sz="4" w:space="0" w:color="auto"/>
              <w:bottom w:val="single" w:sz="4" w:space="0" w:color="auto"/>
            </w:tcBorders>
            <w:shd w:val="clear" w:color="auto" w:fill="auto"/>
            <w:noWrap/>
            <w:hideMark/>
          </w:tcPr>
          <w:p w14:paraId="5E19D388" w14:textId="77777777" w:rsidR="00F64DB2" w:rsidRPr="00DE058F" w:rsidRDefault="00F64DB2" w:rsidP="00D73C9A">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DE058F">
              <w:rPr>
                <w:rFonts w:ascii="Calibri" w:hAnsi="Calibri" w:cs="Calibri"/>
                <w:color w:val="002060"/>
                <w:sz w:val="14"/>
                <w:szCs w:val="14"/>
                <w:lang w:val="sr-Cyrl-CS"/>
              </w:rPr>
              <w:t>8</w:t>
            </w:r>
          </w:p>
        </w:tc>
        <w:tc>
          <w:tcPr>
            <w:tcW w:w="376" w:type="pct"/>
            <w:tcBorders>
              <w:top w:val="single" w:sz="4" w:space="0" w:color="auto"/>
              <w:bottom w:val="single" w:sz="4" w:space="0" w:color="auto"/>
            </w:tcBorders>
            <w:shd w:val="clear" w:color="auto" w:fill="auto"/>
            <w:noWrap/>
            <w:hideMark/>
          </w:tcPr>
          <w:p w14:paraId="1FD4E28C" w14:textId="77777777" w:rsidR="00F64DB2" w:rsidRPr="00DE058F" w:rsidRDefault="00F64DB2" w:rsidP="00D73C9A">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DE058F">
              <w:rPr>
                <w:rFonts w:ascii="Calibri" w:hAnsi="Calibri" w:cs="Calibri"/>
                <w:color w:val="002060"/>
                <w:sz w:val="14"/>
                <w:szCs w:val="14"/>
                <w:lang w:val="sr-Cyrl-CS"/>
              </w:rPr>
              <w:t>9</w:t>
            </w:r>
          </w:p>
        </w:tc>
        <w:tc>
          <w:tcPr>
            <w:tcW w:w="376" w:type="pct"/>
            <w:tcBorders>
              <w:top w:val="single" w:sz="4" w:space="0" w:color="auto"/>
              <w:bottom w:val="single" w:sz="4" w:space="0" w:color="auto"/>
            </w:tcBorders>
            <w:shd w:val="clear" w:color="auto" w:fill="auto"/>
            <w:noWrap/>
            <w:hideMark/>
          </w:tcPr>
          <w:p w14:paraId="4503DC0B" w14:textId="77777777" w:rsidR="00F64DB2" w:rsidRPr="00DE058F" w:rsidRDefault="00F64DB2" w:rsidP="00D73C9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DE058F">
              <w:rPr>
                <w:rFonts w:ascii="Calibri" w:hAnsi="Calibri" w:cs="Calibri"/>
                <w:color w:val="002060"/>
                <w:sz w:val="14"/>
                <w:szCs w:val="14"/>
                <w:lang w:val="sr-Cyrl-CS"/>
              </w:rPr>
              <w:t>10</w:t>
            </w:r>
          </w:p>
        </w:tc>
        <w:tc>
          <w:tcPr>
            <w:tcW w:w="314" w:type="pct"/>
            <w:tcBorders>
              <w:top w:val="single" w:sz="4" w:space="0" w:color="auto"/>
              <w:bottom w:val="single" w:sz="4" w:space="0" w:color="auto"/>
            </w:tcBorders>
            <w:shd w:val="clear" w:color="auto" w:fill="auto"/>
            <w:noWrap/>
            <w:hideMark/>
          </w:tcPr>
          <w:p w14:paraId="401D5AE7" w14:textId="77777777" w:rsidR="00F64DB2" w:rsidRPr="00DE058F" w:rsidRDefault="00F64DB2" w:rsidP="00D73C9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DE058F">
              <w:rPr>
                <w:rFonts w:ascii="Calibri" w:hAnsi="Calibri" w:cs="Calibri"/>
                <w:color w:val="002060"/>
                <w:sz w:val="14"/>
                <w:szCs w:val="14"/>
                <w:lang w:val="sr-Cyrl-CS"/>
              </w:rPr>
              <w:t>11</w:t>
            </w:r>
          </w:p>
        </w:tc>
      </w:tr>
      <w:tr w:rsidR="00F64DB2" w:rsidRPr="00DE058F" w14:paraId="700B7D91"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single" w:sz="4" w:space="0" w:color="auto"/>
            </w:tcBorders>
            <w:shd w:val="clear" w:color="auto" w:fill="BFBFBF" w:themeFill="background1" w:themeFillShade="BF"/>
            <w:noWrap/>
            <w:vAlign w:val="bottom"/>
            <w:hideMark/>
          </w:tcPr>
          <w:p w14:paraId="2E0BBA9C" w14:textId="77777777" w:rsidR="00F64DB2" w:rsidRPr="00DE058F" w:rsidRDefault="00F64DB2" w:rsidP="00D73C9A">
            <w:pPr>
              <w:tabs>
                <w:tab w:val="center" w:pos="4680"/>
                <w:tab w:val="right" w:pos="9360"/>
              </w:tabs>
              <w:rPr>
                <w:rFonts w:cstheme="minorHAnsi"/>
                <w:color w:val="002060"/>
                <w:sz w:val="14"/>
                <w:szCs w:val="14"/>
                <w:lang w:val="sr-Cyrl-CS"/>
              </w:rPr>
            </w:pPr>
            <w:r w:rsidRPr="00DE058F">
              <w:rPr>
                <w:rFonts w:cstheme="minorHAnsi"/>
                <w:color w:val="002060"/>
                <w:sz w:val="14"/>
                <w:szCs w:val="14"/>
                <w:lang w:val="sr-Cyrl-CS"/>
              </w:rPr>
              <w:t>Јавни приходи</w:t>
            </w:r>
          </w:p>
        </w:tc>
        <w:tc>
          <w:tcPr>
            <w:tcW w:w="360" w:type="pct"/>
            <w:tcBorders>
              <w:top w:val="single" w:sz="4" w:space="0" w:color="auto"/>
            </w:tcBorders>
            <w:shd w:val="clear" w:color="auto" w:fill="BFBFBF" w:themeFill="background1" w:themeFillShade="BF"/>
            <w:noWrap/>
            <w:hideMark/>
          </w:tcPr>
          <w:p w14:paraId="1302B8F5" w14:textId="77777777" w:rsidR="00F64DB2" w:rsidRPr="003007D3"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3007D3">
              <w:rPr>
                <w:rFonts w:cstheme="minorHAnsi"/>
                <w:b/>
                <w:color w:val="002060"/>
                <w:sz w:val="14"/>
                <w:szCs w:val="14"/>
                <w:lang w:val="sr-Cyrl-CS"/>
              </w:rPr>
              <w:t>3.735,9</w:t>
            </w:r>
          </w:p>
        </w:tc>
        <w:tc>
          <w:tcPr>
            <w:tcW w:w="360" w:type="pct"/>
            <w:tcBorders>
              <w:top w:val="single" w:sz="4" w:space="0" w:color="auto"/>
            </w:tcBorders>
            <w:shd w:val="clear" w:color="auto" w:fill="BFBFBF" w:themeFill="background1" w:themeFillShade="BF"/>
            <w:noWrap/>
            <w:hideMark/>
          </w:tcPr>
          <w:p w14:paraId="6A7E5103" w14:textId="77777777" w:rsidR="00F64DB2" w:rsidRPr="003007D3"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3007D3">
              <w:rPr>
                <w:rFonts w:cstheme="minorHAnsi"/>
                <w:b/>
                <w:color w:val="002060"/>
                <w:sz w:val="14"/>
                <w:szCs w:val="14"/>
                <w:lang w:val="sr-Cyrl-CS"/>
              </w:rPr>
              <w:t>1.970,0</w:t>
            </w:r>
          </w:p>
        </w:tc>
        <w:tc>
          <w:tcPr>
            <w:tcW w:w="364" w:type="pct"/>
            <w:tcBorders>
              <w:top w:val="single" w:sz="4" w:space="0" w:color="auto"/>
            </w:tcBorders>
            <w:shd w:val="clear" w:color="auto" w:fill="BFBFBF" w:themeFill="background1" w:themeFillShade="BF"/>
            <w:noWrap/>
            <w:hideMark/>
          </w:tcPr>
          <w:p w14:paraId="0AF6E145" w14:textId="77777777" w:rsidR="00F64DB2" w:rsidRPr="003007D3"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3007D3">
              <w:rPr>
                <w:rFonts w:cstheme="minorHAnsi"/>
                <w:b/>
                <w:color w:val="002060"/>
                <w:sz w:val="14"/>
                <w:szCs w:val="14"/>
                <w:lang w:val="sr-Cyrl-CS"/>
              </w:rPr>
              <w:t>474,6</w:t>
            </w:r>
          </w:p>
        </w:tc>
        <w:tc>
          <w:tcPr>
            <w:tcW w:w="352" w:type="pct"/>
            <w:tcBorders>
              <w:top w:val="single" w:sz="4" w:space="0" w:color="auto"/>
            </w:tcBorders>
            <w:shd w:val="clear" w:color="auto" w:fill="BFBFBF" w:themeFill="background1" w:themeFillShade="BF"/>
            <w:noWrap/>
            <w:hideMark/>
          </w:tcPr>
          <w:p w14:paraId="3C2CCD3D" w14:textId="77777777" w:rsidR="00F64DB2" w:rsidRPr="003007D3"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3007D3">
              <w:rPr>
                <w:rFonts w:cstheme="minorHAnsi"/>
                <w:b/>
                <w:color w:val="002060"/>
                <w:sz w:val="14"/>
                <w:szCs w:val="14"/>
                <w:lang w:val="sr-Cyrl-CS"/>
              </w:rPr>
              <w:t>428,1</w:t>
            </w:r>
          </w:p>
        </w:tc>
        <w:tc>
          <w:tcPr>
            <w:tcW w:w="376" w:type="pct"/>
            <w:tcBorders>
              <w:top w:val="single" w:sz="4" w:space="0" w:color="auto"/>
            </w:tcBorders>
            <w:shd w:val="clear" w:color="auto" w:fill="BFBFBF" w:themeFill="background1" w:themeFillShade="BF"/>
            <w:noWrap/>
            <w:hideMark/>
          </w:tcPr>
          <w:p w14:paraId="1DCA6757" w14:textId="77777777" w:rsidR="00F64DB2" w:rsidRPr="003007D3"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3007D3">
              <w:rPr>
                <w:rFonts w:cstheme="minorHAnsi"/>
                <w:b/>
                <w:color w:val="002060"/>
                <w:sz w:val="14"/>
                <w:szCs w:val="14"/>
                <w:lang w:val="sr-Cyrl-CS"/>
              </w:rPr>
              <w:t>46,5</w:t>
            </w:r>
          </w:p>
        </w:tc>
        <w:tc>
          <w:tcPr>
            <w:tcW w:w="357" w:type="pct"/>
            <w:tcBorders>
              <w:top w:val="single" w:sz="4" w:space="0" w:color="auto"/>
            </w:tcBorders>
            <w:shd w:val="clear" w:color="auto" w:fill="BFBFBF" w:themeFill="background1" w:themeFillShade="BF"/>
            <w:noWrap/>
            <w:hideMark/>
          </w:tcPr>
          <w:p w14:paraId="78EB47B3" w14:textId="77777777" w:rsidR="00F64DB2" w:rsidRPr="003007D3"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3007D3">
              <w:rPr>
                <w:rFonts w:cstheme="minorHAnsi"/>
                <w:b/>
                <w:color w:val="002060"/>
                <w:sz w:val="14"/>
                <w:szCs w:val="14"/>
                <w:lang w:val="sr-Cyrl-CS"/>
              </w:rPr>
              <w:t>56,3</w:t>
            </w:r>
          </w:p>
        </w:tc>
        <w:tc>
          <w:tcPr>
            <w:tcW w:w="376" w:type="pct"/>
            <w:tcBorders>
              <w:top w:val="single" w:sz="4" w:space="0" w:color="auto"/>
            </w:tcBorders>
            <w:shd w:val="clear" w:color="auto" w:fill="BFBFBF" w:themeFill="background1" w:themeFillShade="BF"/>
            <w:noWrap/>
            <w:hideMark/>
          </w:tcPr>
          <w:p w14:paraId="752A88B9" w14:textId="77777777" w:rsidR="00F64DB2" w:rsidRPr="003007D3"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3007D3">
              <w:rPr>
                <w:rFonts w:cstheme="minorHAnsi"/>
                <w:b/>
                <w:color w:val="002060"/>
                <w:sz w:val="14"/>
                <w:szCs w:val="14"/>
                <w:lang w:val="sr-Cyrl-CS"/>
              </w:rPr>
              <w:t>1.235,0</w:t>
            </w:r>
          </w:p>
        </w:tc>
        <w:tc>
          <w:tcPr>
            <w:tcW w:w="376" w:type="pct"/>
            <w:tcBorders>
              <w:top w:val="single" w:sz="4" w:space="0" w:color="auto"/>
            </w:tcBorders>
            <w:shd w:val="clear" w:color="auto" w:fill="BFBFBF" w:themeFill="background1" w:themeFillShade="BF"/>
            <w:noWrap/>
            <w:hideMark/>
          </w:tcPr>
          <w:p w14:paraId="7BCC1438" w14:textId="77777777" w:rsidR="00F64DB2" w:rsidRPr="003007D3"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3007D3">
              <w:rPr>
                <w:rFonts w:cstheme="minorHAnsi"/>
                <w:b/>
                <w:color w:val="002060"/>
                <w:sz w:val="14"/>
                <w:szCs w:val="14"/>
                <w:lang w:val="sr-Cyrl-CS"/>
              </w:rPr>
              <w:t>824,8</w:t>
            </w:r>
          </w:p>
        </w:tc>
        <w:tc>
          <w:tcPr>
            <w:tcW w:w="376" w:type="pct"/>
            <w:tcBorders>
              <w:top w:val="single" w:sz="4" w:space="0" w:color="auto"/>
            </w:tcBorders>
            <w:shd w:val="clear" w:color="auto" w:fill="BFBFBF" w:themeFill="background1" w:themeFillShade="BF"/>
            <w:noWrap/>
            <w:hideMark/>
          </w:tcPr>
          <w:p w14:paraId="5F30A1A7" w14:textId="77777777" w:rsidR="00F64DB2" w:rsidRPr="003007D3"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3007D3">
              <w:rPr>
                <w:rFonts w:cstheme="minorHAnsi"/>
                <w:b/>
                <w:color w:val="002060"/>
                <w:sz w:val="14"/>
                <w:szCs w:val="14"/>
                <w:lang w:val="sr-Cyrl-CS"/>
              </w:rPr>
              <w:t>378,8</w:t>
            </w:r>
          </w:p>
        </w:tc>
        <w:tc>
          <w:tcPr>
            <w:tcW w:w="376" w:type="pct"/>
            <w:tcBorders>
              <w:top w:val="single" w:sz="4" w:space="0" w:color="auto"/>
            </w:tcBorders>
            <w:shd w:val="clear" w:color="auto" w:fill="BFBFBF" w:themeFill="background1" w:themeFillShade="BF"/>
            <w:noWrap/>
            <w:hideMark/>
          </w:tcPr>
          <w:p w14:paraId="67B66081" w14:textId="77777777" w:rsidR="00F64DB2" w:rsidRPr="003007D3"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3007D3">
              <w:rPr>
                <w:rFonts w:cstheme="minorHAnsi"/>
                <w:b/>
                <w:color w:val="002060"/>
                <w:sz w:val="14"/>
                <w:szCs w:val="14"/>
                <w:lang w:val="sr-Cyrl-CS"/>
              </w:rPr>
              <w:t>26,8</w:t>
            </w:r>
          </w:p>
        </w:tc>
        <w:tc>
          <w:tcPr>
            <w:tcW w:w="314" w:type="pct"/>
            <w:tcBorders>
              <w:top w:val="single" w:sz="4" w:space="0" w:color="auto"/>
            </w:tcBorders>
            <w:shd w:val="clear" w:color="auto" w:fill="BFBFBF" w:themeFill="background1" w:themeFillShade="BF"/>
            <w:noWrap/>
            <w:hideMark/>
          </w:tcPr>
          <w:p w14:paraId="5AA110B9" w14:textId="77777777" w:rsidR="00F64DB2" w:rsidRPr="003007D3"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3007D3">
              <w:rPr>
                <w:rFonts w:cstheme="minorHAnsi"/>
                <w:b/>
                <w:color w:val="002060"/>
                <w:sz w:val="14"/>
                <w:szCs w:val="14"/>
                <w:lang w:val="sr-Cyrl-CS"/>
              </w:rPr>
              <w:t>4,6</w:t>
            </w:r>
          </w:p>
        </w:tc>
      </w:tr>
      <w:tr w:rsidR="00F64DB2" w:rsidRPr="00C51431" w14:paraId="081C0D7D"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03DD2741"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Текући приходи</w:t>
            </w:r>
          </w:p>
        </w:tc>
        <w:tc>
          <w:tcPr>
            <w:tcW w:w="360" w:type="pct"/>
            <w:tcBorders>
              <w:top w:val="nil"/>
            </w:tcBorders>
            <w:shd w:val="clear" w:color="auto" w:fill="FFFFFF" w:themeFill="background1"/>
            <w:noWrap/>
            <w:hideMark/>
          </w:tcPr>
          <w:p w14:paraId="56379A97"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3.696,8</w:t>
            </w:r>
          </w:p>
        </w:tc>
        <w:tc>
          <w:tcPr>
            <w:tcW w:w="360" w:type="pct"/>
            <w:tcBorders>
              <w:top w:val="nil"/>
            </w:tcBorders>
            <w:shd w:val="clear" w:color="auto" w:fill="FFFFFF" w:themeFill="background1"/>
            <w:noWrap/>
            <w:hideMark/>
          </w:tcPr>
          <w:p w14:paraId="2E32729E"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1.934,4</w:t>
            </w:r>
          </w:p>
        </w:tc>
        <w:tc>
          <w:tcPr>
            <w:tcW w:w="364" w:type="pct"/>
            <w:tcBorders>
              <w:top w:val="nil"/>
            </w:tcBorders>
            <w:shd w:val="clear" w:color="auto" w:fill="FFFFFF" w:themeFill="background1"/>
            <w:noWrap/>
            <w:hideMark/>
          </w:tcPr>
          <w:p w14:paraId="6063D01E"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472,1</w:t>
            </w:r>
          </w:p>
        </w:tc>
        <w:tc>
          <w:tcPr>
            <w:tcW w:w="352" w:type="pct"/>
            <w:tcBorders>
              <w:top w:val="nil"/>
            </w:tcBorders>
            <w:shd w:val="clear" w:color="auto" w:fill="FFFFFF" w:themeFill="background1"/>
            <w:noWrap/>
            <w:hideMark/>
          </w:tcPr>
          <w:p w14:paraId="7033FBFE"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425,6</w:t>
            </w:r>
          </w:p>
        </w:tc>
        <w:tc>
          <w:tcPr>
            <w:tcW w:w="376" w:type="pct"/>
            <w:tcBorders>
              <w:top w:val="nil"/>
            </w:tcBorders>
            <w:shd w:val="clear" w:color="auto" w:fill="FFFFFF" w:themeFill="background1"/>
            <w:noWrap/>
            <w:hideMark/>
          </w:tcPr>
          <w:p w14:paraId="15572B19"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46,5</w:t>
            </w:r>
          </w:p>
        </w:tc>
        <w:tc>
          <w:tcPr>
            <w:tcW w:w="357" w:type="pct"/>
            <w:tcBorders>
              <w:top w:val="nil"/>
            </w:tcBorders>
            <w:shd w:val="clear" w:color="auto" w:fill="FFFFFF" w:themeFill="background1"/>
            <w:noWrap/>
            <w:hideMark/>
          </w:tcPr>
          <w:p w14:paraId="4C1D203E"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56,3</w:t>
            </w:r>
          </w:p>
        </w:tc>
        <w:tc>
          <w:tcPr>
            <w:tcW w:w="376" w:type="pct"/>
            <w:tcBorders>
              <w:top w:val="nil"/>
            </w:tcBorders>
            <w:shd w:val="clear" w:color="auto" w:fill="FFFFFF" w:themeFill="background1"/>
            <w:noWrap/>
            <w:hideMark/>
          </w:tcPr>
          <w:p w14:paraId="146AD347"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1.234,0</w:t>
            </w:r>
          </w:p>
        </w:tc>
        <w:tc>
          <w:tcPr>
            <w:tcW w:w="376" w:type="pct"/>
            <w:tcBorders>
              <w:top w:val="nil"/>
            </w:tcBorders>
            <w:shd w:val="clear" w:color="auto" w:fill="FFFFFF" w:themeFill="background1"/>
            <w:noWrap/>
            <w:hideMark/>
          </w:tcPr>
          <w:p w14:paraId="6137FBB8"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824,8</w:t>
            </w:r>
          </w:p>
        </w:tc>
        <w:tc>
          <w:tcPr>
            <w:tcW w:w="376" w:type="pct"/>
            <w:tcBorders>
              <w:top w:val="nil"/>
            </w:tcBorders>
            <w:shd w:val="clear" w:color="auto" w:fill="FFFFFF" w:themeFill="background1"/>
            <w:noWrap/>
            <w:hideMark/>
          </w:tcPr>
          <w:p w14:paraId="3BC0B323"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378,4</w:t>
            </w:r>
          </w:p>
        </w:tc>
        <w:tc>
          <w:tcPr>
            <w:tcW w:w="376" w:type="pct"/>
            <w:tcBorders>
              <w:top w:val="nil"/>
            </w:tcBorders>
            <w:shd w:val="clear" w:color="auto" w:fill="FFFFFF" w:themeFill="background1"/>
            <w:noWrap/>
            <w:hideMark/>
          </w:tcPr>
          <w:p w14:paraId="6AA511C4" w14:textId="77777777" w:rsidR="00F64DB2" w:rsidRPr="00431627"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26,3</w:t>
            </w:r>
          </w:p>
        </w:tc>
        <w:tc>
          <w:tcPr>
            <w:tcW w:w="314" w:type="pct"/>
            <w:tcBorders>
              <w:top w:val="nil"/>
            </w:tcBorders>
            <w:shd w:val="clear" w:color="auto" w:fill="FFFFFF" w:themeFill="background1"/>
            <w:noWrap/>
            <w:hideMark/>
          </w:tcPr>
          <w:p w14:paraId="59A7740D" w14:textId="77777777" w:rsidR="00F64DB2" w:rsidRPr="00431627"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4,6</w:t>
            </w:r>
          </w:p>
        </w:tc>
      </w:tr>
      <w:tr w:rsidR="00F64DB2" w:rsidRPr="00DE058F" w14:paraId="28828654"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73E2411"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Порески приходи</w:t>
            </w:r>
          </w:p>
        </w:tc>
        <w:tc>
          <w:tcPr>
            <w:tcW w:w="360" w:type="pct"/>
            <w:tcBorders>
              <w:top w:val="nil"/>
            </w:tcBorders>
            <w:shd w:val="clear" w:color="auto" w:fill="FFFFFF" w:themeFill="background1"/>
            <w:noWrap/>
            <w:hideMark/>
          </w:tcPr>
          <w:p w14:paraId="65FA67BB"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3.330,6</w:t>
            </w:r>
          </w:p>
        </w:tc>
        <w:tc>
          <w:tcPr>
            <w:tcW w:w="360" w:type="pct"/>
            <w:tcBorders>
              <w:top w:val="nil"/>
            </w:tcBorders>
            <w:shd w:val="clear" w:color="auto" w:fill="FFFFFF" w:themeFill="background1"/>
            <w:noWrap/>
            <w:hideMark/>
          </w:tcPr>
          <w:p w14:paraId="526A5CAE"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1.758,6</w:t>
            </w:r>
          </w:p>
        </w:tc>
        <w:tc>
          <w:tcPr>
            <w:tcW w:w="364" w:type="pct"/>
            <w:tcBorders>
              <w:top w:val="nil"/>
            </w:tcBorders>
            <w:shd w:val="clear" w:color="auto" w:fill="FFFFFF" w:themeFill="background1"/>
            <w:noWrap/>
            <w:hideMark/>
          </w:tcPr>
          <w:p w14:paraId="557260B1"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381,8</w:t>
            </w:r>
          </w:p>
        </w:tc>
        <w:tc>
          <w:tcPr>
            <w:tcW w:w="352" w:type="pct"/>
            <w:tcBorders>
              <w:top w:val="nil"/>
            </w:tcBorders>
            <w:shd w:val="clear" w:color="auto" w:fill="FFFFFF" w:themeFill="background1"/>
            <w:noWrap/>
            <w:hideMark/>
          </w:tcPr>
          <w:p w14:paraId="1FF44C35"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342,4</w:t>
            </w:r>
          </w:p>
        </w:tc>
        <w:tc>
          <w:tcPr>
            <w:tcW w:w="376" w:type="pct"/>
            <w:tcBorders>
              <w:top w:val="nil"/>
            </w:tcBorders>
            <w:shd w:val="clear" w:color="auto" w:fill="FFFFFF" w:themeFill="background1"/>
            <w:noWrap/>
            <w:hideMark/>
          </w:tcPr>
          <w:p w14:paraId="7A1C41ED"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39,3</w:t>
            </w:r>
          </w:p>
        </w:tc>
        <w:tc>
          <w:tcPr>
            <w:tcW w:w="357" w:type="pct"/>
            <w:tcBorders>
              <w:top w:val="nil"/>
            </w:tcBorders>
            <w:shd w:val="clear" w:color="auto" w:fill="FFFFFF" w:themeFill="background1"/>
            <w:noWrap/>
          </w:tcPr>
          <w:p w14:paraId="291A158A"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68B90D19"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1.190,2</w:t>
            </w:r>
          </w:p>
        </w:tc>
        <w:tc>
          <w:tcPr>
            <w:tcW w:w="376" w:type="pct"/>
            <w:tcBorders>
              <w:top w:val="nil"/>
            </w:tcBorders>
            <w:shd w:val="clear" w:color="auto" w:fill="FFFFFF" w:themeFill="background1"/>
            <w:noWrap/>
            <w:hideMark/>
          </w:tcPr>
          <w:p w14:paraId="1E385A3E"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824,8</w:t>
            </w:r>
          </w:p>
        </w:tc>
        <w:tc>
          <w:tcPr>
            <w:tcW w:w="376" w:type="pct"/>
            <w:tcBorders>
              <w:top w:val="nil"/>
            </w:tcBorders>
            <w:shd w:val="clear" w:color="auto" w:fill="FFFFFF" w:themeFill="background1"/>
            <w:noWrap/>
            <w:hideMark/>
          </w:tcPr>
          <w:p w14:paraId="72EAAE0C"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336,6</w:t>
            </w:r>
          </w:p>
        </w:tc>
        <w:tc>
          <w:tcPr>
            <w:tcW w:w="376" w:type="pct"/>
            <w:tcBorders>
              <w:top w:val="nil"/>
            </w:tcBorders>
            <w:shd w:val="clear" w:color="auto" w:fill="FFFFFF" w:themeFill="background1"/>
            <w:noWrap/>
            <w:hideMark/>
          </w:tcPr>
          <w:p w14:paraId="30240509" w14:textId="77777777" w:rsidR="00F64DB2" w:rsidRPr="00431627"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24,9</w:t>
            </w:r>
          </w:p>
        </w:tc>
        <w:tc>
          <w:tcPr>
            <w:tcW w:w="314" w:type="pct"/>
            <w:tcBorders>
              <w:top w:val="nil"/>
            </w:tcBorders>
            <w:shd w:val="clear" w:color="auto" w:fill="FFFFFF" w:themeFill="background1"/>
            <w:noWrap/>
            <w:hideMark/>
          </w:tcPr>
          <w:p w14:paraId="70E1FBB7" w14:textId="77777777" w:rsidR="00F64DB2" w:rsidRPr="00431627"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3,9</w:t>
            </w:r>
          </w:p>
        </w:tc>
      </w:tr>
      <w:tr w:rsidR="00F64DB2" w:rsidRPr="00DE058F" w14:paraId="41339C08"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2681F41"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Порез на доходак</w:t>
            </w:r>
          </w:p>
        </w:tc>
        <w:tc>
          <w:tcPr>
            <w:tcW w:w="360" w:type="pct"/>
            <w:tcBorders>
              <w:top w:val="nil"/>
            </w:tcBorders>
            <w:shd w:val="clear" w:color="auto" w:fill="FFFFFF" w:themeFill="background1"/>
            <w:noWrap/>
            <w:hideMark/>
          </w:tcPr>
          <w:p w14:paraId="5F83D92D"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378,6</w:t>
            </w:r>
          </w:p>
        </w:tc>
        <w:tc>
          <w:tcPr>
            <w:tcW w:w="360" w:type="pct"/>
            <w:tcBorders>
              <w:top w:val="nil"/>
            </w:tcBorders>
            <w:shd w:val="clear" w:color="auto" w:fill="FFFFFF" w:themeFill="background1"/>
            <w:noWrap/>
            <w:hideMark/>
          </w:tcPr>
          <w:p w14:paraId="602F8802"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122,8</w:t>
            </w:r>
          </w:p>
        </w:tc>
        <w:tc>
          <w:tcPr>
            <w:tcW w:w="364" w:type="pct"/>
            <w:tcBorders>
              <w:top w:val="nil"/>
            </w:tcBorders>
            <w:shd w:val="clear" w:color="auto" w:fill="FFFFFF" w:themeFill="background1"/>
            <w:noWrap/>
            <w:hideMark/>
          </w:tcPr>
          <w:p w14:paraId="1A81ADD0"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255,8</w:t>
            </w:r>
          </w:p>
        </w:tc>
        <w:tc>
          <w:tcPr>
            <w:tcW w:w="352" w:type="pct"/>
            <w:tcBorders>
              <w:top w:val="nil"/>
            </w:tcBorders>
            <w:shd w:val="clear" w:color="auto" w:fill="FFFFFF" w:themeFill="background1"/>
            <w:noWrap/>
            <w:hideMark/>
          </w:tcPr>
          <w:p w14:paraId="7BF5CC6A"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243,2</w:t>
            </w:r>
          </w:p>
        </w:tc>
        <w:tc>
          <w:tcPr>
            <w:tcW w:w="376" w:type="pct"/>
            <w:tcBorders>
              <w:top w:val="nil"/>
            </w:tcBorders>
            <w:shd w:val="clear" w:color="auto" w:fill="FFFFFF" w:themeFill="background1"/>
            <w:noWrap/>
            <w:hideMark/>
          </w:tcPr>
          <w:p w14:paraId="1FB00621"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12,6</w:t>
            </w:r>
          </w:p>
        </w:tc>
        <w:tc>
          <w:tcPr>
            <w:tcW w:w="357" w:type="pct"/>
            <w:tcBorders>
              <w:top w:val="nil"/>
            </w:tcBorders>
            <w:shd w:val="clear" w:color="auto" w:fill="FFFFFF" w:themeFill="background1"/>
            <w:noWrap/>
          </w:tcPr>
          <w:p w14:paraId="3EE7F123"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631A9AB0"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0EAD3D03"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270A6539"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54D9F9F9" w14:textId="77777777" w:rsidR="00F64DB2" w:rsidRPr="00431627"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tcPr>
          <w:p w14:paraId="49579D1F" w14:textId="77777777" w:rsidR="00F64DB2" w:rsidRPr="00431627"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DE058F" w14:paraId="78534C64"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73F5BCB7"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Доприноси</w:t>
            </w:r>
          </w:p>
        </w:tc>
        <w:tc>
          <w:tcPr>
            <w:tcW w:w="360" w:type="pct"/>
            <w:tcBorders>
              <w:top w:val="nil"/>
            </w:tcBorders>
            <w:shd w:val="clear" w:color="auto" w:fill="FFFFFF" w:themeFill="background1"/>
            <w:noWrap/>
            <w:hideMark/>
          </w:tcPr>
          <w:p w14:paraId="3555A235"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1.190,2</w:t>
            </w:r>
          </w:p>
        </w:tc>
        <w:tc>
          <w:tcPr>
            <w:tcW w:w="360" w:type="pct"/>
            <w:tcBorders>
              <w:top w:val="nil"/>
            </w:tcBorders>
            <w:shd w:val="clear" w:color="auto" w:fill="FFFFFF" w:themeFill="background1"/>
            <w:noWrap/>
            <w:hideMark/>
          </w:tcPr>
          <w:p w14:paraId="313C8A1F"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64" w:type="pct"/>
            <w:tcBorders>
              <w:top w:val="nil"/>
            </w:tcBorders>
            <w:shd w:val="clear" w:color="auto" w:fill="FFFFFF" w:themeFill="background1"/>
            <w:noWrap/>
            <w:hideMark/>
          </w:tcPr>
          <w:p w14:paraId="7A8B89F2"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hideMark/>
          </w:tcPr>
          <w:p w14:paraId="5637FC14"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3CCE6C26"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tcPr>
          <w:p w14:paraId="5617C253"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6886BFCB"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1.190,2</w:t>
            </w:r>
          </w:p>
        </w:tc>
        <w:tc>
          <w:tcPr>
            <w:tcW w:w="376" w:type="pct"/>
            <w:tcBorders>
              <w:top w:val="nil"/>
            </w:tcBorders>
            <w:shd w:val="clear" w:color="auto" w:fill="FFFFFF" w:themeFill="background1"/>
            <w:noWrap/>
            <w:hideMark/>
          </w:tcPr>
          <w:p w14:paraId="1478C031"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824,8</w:t>
            </w:r>
          </w:p>
        </w:tc>
        <w:tc>
          <w:tcPr>
            <w:tcW w:w="376" w:type="pct"/>
            <w:tcBorders>
              <w:top w:val="nil"/>
            </w:tcBorders>
            <w:shd w:val="clear" w:color="auto" w:fill="FFFFFF" w:themeFill="background1"/>
            <w:noWrap/>
            <w:hideMark/>
          </w:tcPr>
          <w:p w14:paraId="7771CB6C"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336,6</w:t>
            </w:r>
          </w:p>
        </w:tc>
        <w:tc>
          <w:tcPr>
            <w:tcW w:w="376" w:type="pct"/>
            <w:tcBorders>
              <w:top w:val="nil"/>
            </w:tcBorders>
            <w:shd w:val="clear" w:color="auto" w:fill="FFFFFF" w:themeFill="background1"/>
            <w:noWrap/>
            <w:hideMark/>
          </w:tcPr>
          <w:p w14:paraId="6395F434" w14:textId="77777777" w:rsidR="00F64DB2" w:rsidRPr="00431627"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24,9</w:t>
            </w:r>
          </w:p>
        </w:tc>
        <w:tc>
          <w:tcPr>
            <w:tcW w:w="314" w:type="pct"/>
            <w:tcBorders>
              <w:top w:val="nil"/>
            </w:tcBorders>
            <w:shd w:val="clear" w:color="auto" w:fill="FFFFFF" w:themeFill="background1"/>
            <w:noWrap/>
            <w:hideMark/>
          </w:tcPr>
          <w:p w14:paraId="0AC66668" w14:textId="77777777" w:rsidR="00F64DB2" w:rsidRPr="00431627"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3,9</w:t>
            </w:r>
          </w:p>
        </w:tc>
      </w:tr>
      <w:tr w:rsidR="00F64DB2" w:rsidRPr="00DE058F" w14:paraId="6B41F432"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2EA68367"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Порез на добит </w:t>
            </w:r>
          </w:p>
        </w:tc>
        <w:tc>
          <w:tcPr>
            <w:tcW w:w="360" w:type="pct"/>
            <w:tcBorders>
              <w:top w:val="nil"/>
            </w:tcBorders>
            <w:shd w:val="clear" w:color="auto" w:fill="FFFFFF" w:themeFill="background1"/>
            <w:noWrap/>
            <w:hideMark/>
          </w:tcPr>
          <w:p w14:paraId="450BCF9F"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256,7</w:t>
            </w:r>
          </w:p>
        </w:tc>
        <w:tc>
          <w:tcPr>
            <w:tcW w:w="360" w:type="pct"/>
            <w:tcBorders>
              <w:top w:val="nil"/>
            </w:tcBorders>
            <w:shd w:val="clear" w:color="auto" w:fill="FFFFFF" w:themeFill="background1"/>
            <w:noWrap/>
            <w:hideMark/>
          </w:tcPr>
          <w:p w14:paraId="7128F25B"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230,0</w:t>
            </w:r>
          </w:p>
        </w:tc>
        <w:tc>
          <w:tcPr>
            <w:tcW w:w="364" w:type="pct"/>
            <w:tcBorders>
              <w:top w:val="nil"/>
            </w:tcBorders>
            <w:shd w:val="clear" w:color="auto" w:fill="FFFFFF" w:themeFill="background1"/>
            <w:noWrap/>
            <w:hideMark/>
          </w:tcPr>
          <w:p w14:paraId="4AE686F7"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26,7</w:t>
            </w:r>
          </w:p>
        </w:tc>
        <w:tc>
          <w:tcPr>
            <w:tcW w:w="352" w:type="pct"/>
            <w:tcBorders>
              <w:top w:val="nil"/>
            </w:tcBorders>
            <w:shd w:val="clear" w:color="auto" w:fill="FFFFFF" w:themeFill="background1"/>
            <w:noWrap/>
          </w:tcPr>
          <w:p w14:paraId="08D49FF4"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60090E88"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26,7</w:t>
            </w:r>
          </w:p>
        </w:tc>
        <w:tc>
          <w:tcPr>
            <w:tcW w:w="357" w:type="pct"/>
            <w:tcBorders>
              <w:top w:val="nil"/>
            </w:tcBorders>
            <w:shd w:val="clear" w:color="auto" w:fill="FFFFFF" w:themeFill="background1"/>
            <w:noWrap/>
          </w:tcPr>
          <w:p w14:paraId="567F6EC4"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71C93C9A"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5026D342"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7C8379CB"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5AE45363" w14:textId="77777777" w:rsidR="00F64DB2" w:rsidRPr="00431627"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hideMark/>
          </w:tcPr>
          <w:p w14:paraId="045FD383" w14:textId="77777777" w:rsidR="00F64DB2" w:rsidRPr="00431627"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DE058F" w14:paraId="7591E535"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5C42176D"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ПДВ</w:t>
            </w:r>
          </w:p>
        </w:tc>
        <w:tc>
          <w:tcPr>
            <w:tcW w:w="360" w:type="pct"/>
            <w:tcBorders>
              <w:top w:val="nil"/>
            </w:tcBorders>
            <w:shd w:val="clear" w:color="auto" w:fill="FFFFFF" w:themeFill="background1"/>
            <w:noWrap/>
            <w:hideMark/>
          </w:tcPr>
          <w:p w14:paraId="6E8994C6"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908,0</w:t>
            </w:r>
          </w:p>
        </w:tc>
        <w:tc>
          <w:tcPr>
            <w:tcW w:w="360" w:type="pct"/>
            <w:tcBorders>
              <w:top w:val="nil"/>
            </w:tcBorders>
            <w:shd w:val="clear" w:color="auto" w:fill="FFFFFF" w:themeFill="background1"/>
            <w:noWrap/>
            <w:hideMark/>
          </w:tcPr>
          <w:p w14:paraId="2F1D6A84"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908,0</w:t>
            </w:r>
          </w:p>
        </w:tc>
        <w:tc>
          <w:tcPr>
            <w:tcW w:w="364" w:type="pct"/>
            <w:tcBorders>
              <w:top w:val="nil"/>
            </w:tcBorders>
            <w:shd w:val="clear" w:color="auto" w:fill="FFFFFF" w:themeFill="background1"/>
            <w:noWrap/>
          </w:tcPr>
          <w:p w14:paraId="168C03BA"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tcPr>
          <w:p w14:paraId="1477ABC6"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4E057D0E"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439B6FC8"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3D1C2280"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7B644FFA"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525D34F6"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5CC5A70B" w14:textId="77777777" w:rsidR="00F64DB2" w:rsidRPr="00431627"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hideMark/>
          </w:tcPr>
          <w:p w14:paraId="25A63D7F" w14:textId="77777777" w:rsidR="00F64DB2" w:rsidRPr="00431627"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F64DB2" w:rsidRPr="00DE058F" w14:paraId="584B8FEE"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79132BAB"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Акцизе</w:t>
            </w:r>
          </w:p>
        </w:tc>
        <w:tc>
          <w:tcPr>
            <w:tcW w:w="360" w:type="pct"/>
            <w:tcBorders>
              <w:top w:val="nil"/>
            </w:tcBorders>
            <w:shd w:val="clear" w:color="auto" w:fill="FFFFFF" w:themeFill="background1"/>
            <w:noWrap/>
            <w:hideMark/>
          </w:tcPr>
          <w:p w14:paraId="6F7F446A"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395,0</w:t>
            </w:r>
          </w:p>
        </w:tc>
        <w:tc>
          <w:tcPr>
            <w:tcW w:w="360" w:type="pct"/>
            <w:tcBorders>
              <w:top w:val="nil"/>
            </w:tcBorders>
            <w:shd w:val="clear" w:color="auto" w:fill="FFFFFF" w:themeFill="background1"/>
            <w:noWrap/>
            <w:hideMark/>
          </w:tcPr>
          <w:p w14:paraId="00709C1C"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395,0</w:t>
            </w:r>
          </w:p>
        </w:tc>
        <w:tc>
          <w:tcPr>
            <w:tcW w:w="364" w:type="pct"/>
            <w:tcBorders>
              <w:top w:val="nil"/>
            </w:tcBorders>
            <w:shd w:val="clear" w:color="auto" w:fill="FFFFFF" w:themeFill="background1"/>
            <w:noWrap/>
          </w:tcPr>
          <w:p w14:paraId="7B218C8D"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hideMark/>
          </w:tcPr>
          <w:p w14:paraId="5119E7C5"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69DD612E"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6CE62223"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53B87F4A"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67F82D58"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36F085A6"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444414BC" w14:textId="77777777" w:rsidR="00F64DB2" w:rsidRPr="00431627"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hideMark/>
          </w:tcPr>
          <w:p w14:paraId="02DC4B90" w14:textId="77777777" w:rsidR="00F64DB2" w:rsidRPr="00431627"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DE058F" w14:paraId="747F48E8"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65DD7547"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Царине</w:t>
            </w:r>
          </w:p>
        </w:tc>
        <w:tc>
          <w:tcPr>
            <w:tcW w:w="360" w:type="pct"/>
            <w:tcBorders>
              <w:top w:val="nil"/>
            </w:tcBorders>
            <w:shd w:val="clear" w:color="auto" w:fill="FFFFFF" w:themeFill="background1"/>
            <w:noWrap/>
            <w:hideMark/>
          </w:tcPr>
          <w:p w14:paraId="7BE91123"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88,0</w:t>
            </w:r>
          </w:p>
        </w:tc>
        <w:tc>
          <w:tcPr>
            <w:tcW w:w="360" w:type="pct"/>
            <w:tcBorders>
              <w:top w:val="nil"/>
            </w:tcBorders>
            <w:shd w:val="clear" w:color="auto" w:fill="FFFFFF" w:themeFill="background1"/>
            <w:noWrap/>
            <w:hideMark/>
          </w:tcPr>
          <w:p w14:paraId="37435E95"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88,0</w:t>
            </w:r>
          </w:p>
        </w:tc>
        <w:tc>
          <w:tcPr>
            <w:tcW w:w="364" w:type="pct"/>
            <w:tcBorders>
              <w:top w:val="nil"/>
            </w:tcBorders>
            <w:shd w:val="clear" w:color="auto" w:fill="FFFFFF" w:themeFill="background1"/>
            <w:noWrap/>
          </w:tcPr>
          <w:p w14:paraId="2E903F24"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hideMark/>
          </w:tcPr>
          <w:p w14:paraId="6ED306B7"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30B594FD"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41218726"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3E4AA375"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506D937F"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16C060BB"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6D4BA77E" w14:textId="77777777" w:rsidR="00F64DB2" w:rsidRPr="00431627"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hideMark/>
          </w:tcPr>
          <w:p w14:paraId="0A658A82" w14:textId="77777777" w:rsidR="00F64DB2" w:rsidRPr="00431627"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F64DB2" w:rsidRPr="00DE058F" w14:paraId="4C01E245"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521CE883"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Остали порески приходи</w:t>
            </w:r>
          </w:p>
        </w:tc>
        <w:tc>
          <w:tcPr>
            <w:tcW w:w="360" w:type="pct"/>
            <w:tcBorders>
              <w:top w:val="nil"/>
            </w:tcBorders>
            <w:shd w:val="clear" w:color="auto" w:fill="FFFFFF" w:themeFill="background1"/>
            <w:noWrap/>
            <w:hideMark/>
          </w:tcPr>
          <w:p w14:paraId="3A10C9B9"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114,0</w:t>
            </w:r>
          </w:p>
        </w:tc>
        <w:tc>
          <w:tcPr>
            <w:tcW w:w="360" w:type="pct"/>
            <w:tcBorders>
              <w:top w:val="nil"/>
            </w:tcBorders>
            <w:shd w:val="clear" w:color="auto" w:fill="FFFFFF" w:themeFill="background1"/>
            <w:noWrap/>
            <w:hideMark/>
          </w:tcPr>
          <w:p w14:paraId="311799C5"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14,8</w:t>
            </w:r>
          </w:p>
        </w:tc>
        <w:tc>
          <w:tcPr>
            <w:tcW w:w="364" w:type="pct"/>
            <w:tcBorders>
              <w:top w:val="nil"/>
            </w:tcBorders>
            <w:shd w:val="clear" w:color="auto" w:fill="FFFFFF" w:themeFill="background1"/>
            <w:noWrap/>
            <w:hideMark/>
          </w:tcPr>
          <w:p w14:paraId="7172F30E"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99,2</w:t>
            </w:r>
          </w:p>
        </w:tc>
        <w:tc>
          <w:tcPr>
            <w:tcW w:w="352" w:type="pct"/>
            <w:tcBorders>
              <w:top w:val="nil"/>
            </w:tcBorders>
            <w:shd w:val="clear" w:color="auto" w:fill="FFFFFF" w:themeFill="background1"/>
            <w:noWrap/>
            <w:hideMark/>
          </w:tcPr>
          <w:p w14:paraId="61E34DC7"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99,2</w:t>
            </w:r>
          </w:p>
        </w:tc>
        <w:tc>
          <w:tcPr>
            <w:tcW w:w="376" w:type="pct"/>
            <w:tcBorders>
              <w:top w:val="nil"/>
            </w:tcBorders>
            <w:shd w:val="clear" w:color="auto" w:fill="FFFFFF" w:themeFill="background1"/>
            <w:noWrap/>
            <w:hideMark/>
          </w:tcPr>
          <w:p w14:paraId="682BC87F"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72B79DFB"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09348AF7"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3FC3E50C"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5936C37E"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24F69337" w14:textId="77777777" w:rsidR="00F64DB2" w:rsidRPr="00431627"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hideMark/>
          </w:tcPr>
          <w:p w14:paraId="227A61AD" w14:textId="77777777" w:rsidR="00F64DB2" w:rsidRPr="00431627"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DE058F" w14:paraId="10CF8DEB"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7F524249"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Непорески приходи</w:t>
            </w:r>
          </w:p>
        </w:tc>
        <w:tc>
          <w:tcPr>
            <w:tcW w:w="360" w:type="pct"/>
            <w:tcBorders>
              <w:top w:val="nil"/>
            </w:tcBorders>
            <w:shd w:val="clear" w:color="auto" w:fill="FFFFFF" w:themeFill="background1"/>
            <w:noWrap/>
            <w:hideMark/>
          </w:tcPr>
          <w:p w14:paraId="11C5E6D4"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366,2</w:t>
            </w:r>
          </w:p>
        </w:tc>
        <w:tc>
          <w:tcPr>
            <w:tcW w:w="360" w:type="pct"/>
            <w:tcBorders>
              <w:top w:val="nil"/>
            </w:tcBorders>
            <w:shd w:val="clear" w:color="auto" w:fill="FFFFFF" w:themeFill="background1"/>
            <w:noWrap/>
            <w:hideMark/>
          </w:tcPr>
          <w:p w14:paraId="703513AD"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175,8</w:t>
            </w:r>
          </w:p>
        </w:tc>
        <w:tc>
          <w:tcPr>
            <w:tcW w:w="364" w:type="pct"/>
            <w:tcBorders>
              <w:top w:val="nil"/>
            </w:tcBorders>
            <w:shd w:val="clear" w:color="auto" w:fill="FFFFFF" w:themeFill="background1"/>
            <w:noWrap/>
            <w:hideMark/>
          </w:tcPr>
          <w:p w14:paraId="3F40CAAF"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90,4</w:t>
            </w:r>
          </w:p>
        </w:tc>
        <w:tc>
          <w:tcPr>
            <w:tcW w:w="352" w:type="pct"/>
            <w:tcBorders>
              <w:top w:val="nil"/>
            </w:tcBorders>
            <w:shd w:val="clear" w:color="auto" w:fill="FFFFFF" w:themeFill="background1"/>
            <w:noWrap/>
            <w:hideMark/>
          </w:tcPr>
          <w:p w14:paraId="33AC78B6"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83,2</w:t>
            </w:r>
          </w:p>
        </w:tc>
        <w:tc>
          <w:tcPr>
            <w:tcW w:w="376" w:type="pct"/>
            <w:tcBorders>
              <w:top w:val="nil"/>
            </w:tcBorders>
            <w:shd w:val="clear" w:color="auto" w:fill="FFFFFF" w:themeFill="background1"/>
            <w:noWrap/>
            <w:hideMark/>
          </w:tcPr>
          <w:p w14:paraId="7A9FAF7C"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7,2</w:t>
            </w:r>
          </w:p>
        </w:tc>
        <w:tc>
          <w:tcPr>
            <w:tcW w:w="357" w:type="pct"/>
            <w:tcBorders>
              <w:top w:val="nil"/>
            </w:tcBorders>
            <w:shd w:val="clear" w:color="auto" w:fill="FFFFFF" w:themeFill="background1"/>
            <w:noWrap/>
            <w:hideMark/>
          </w:tcPr>
          <w:p w14:paraId="5B1C324A"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56,3</w:t>
            </w:r>
          </w:p>
        </w:tc>
        <w:tc>
          <w:tcPr>
            <w:tcW w:w="376" w:type="pct"/>
            <w:tcBorders>
              <w:top w:val="nil"/>
            </w:tcBorders>
            <w:shd w:val="clear" w:color="auto" w:fill="FFFFFF" w:themeFill="background1"/>
            <w:noWrap/>
            <w:hideMark/>
          </w:tcPr>
          <w:p w14:paraId="63C21FAA"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43,8</w:t>
            </w:r>
          </w:p>
        </w:tc>
        <w:tc>
          <w:tcPr>
            <w:tcW w:w="376" w:type="pct"/>
            <w:tcBorders>
              <w:top w:val="nil"/>
            </w:tcBorders>
            <w:shd w:val="clear" w:color="auto" w:fill="FFFFFF" w:themeFill="background1"/>
            <w:noWrap/>
          </w:tcPr>
          <w:p w14:paraId="2945B458"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722469E9" w14:textId="77777777" w:rsidR="00F64DB2" w:rsidRPr="0043162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41,7</w:t>
            </w:r>
          </w:p>
        </w:tc>
        <w:tc>
          <w:tcPr>
            <w:tcW w:w="376" w:type="pct"/>
            <w:tcBorders>
              <w:top w:val="nil"/>
            </w:tcBorders>
            <w:shd w:val="clear" w:color="auto" w:fill="FFFFFF" w:themeFill="background1"/>
            <w:noWrap/>
            <w:hideMark/>
          </w:tcPr>
          <w:p w14:paraId="79FFF698" w14:textId="77777777" w:rsidR="00F64DB2" w:rsidRPr="00431627"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1,3</w:t>
            </w:r>
          </w:p>
        </w:tc>
        <w:tc>
          <w:tcPr>
            <w:tcW w:w="314" w:type="pct"/>
            <w:tcBorders>
              <w:top w:val="nil"/>
            </w:tcBorders>
            <w:shd w:val="clear" w:color="auto" w:fill="FFFFFF" w:themeFill="background1"/>
            <w:noWrap/>
            <w:hideMark/>
          </w:tcPr>
          <w:p w14:paraId="6BA4153C" w14:textId="77777777" w:rsidR="00F64DB2" w:rsidRPr="00431627"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0,7</w:t>
            </w:r>
          </w:p>
        </w:tc>
      </w:tr>
      <w:tr w:rsidR="00F64DB2" w:rsidRPr="00DE058F" w14:paraId="05C5A4E5"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0584323D"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Донације</w:t>
            </w:r>
          </w:p>
        </w:tc>
        <w:tc>
          <w:tcPr>
            <w:tcW w:w="360" w:type="pct"/>
            <w:tcBorders>
              <w:top w:val="nil"/>
            </w:tcBorders>
            <w:shd w:val="clear" w:color="auto" w:fill="FFFFFF" w:themeFill="background1"/>
            <w:noWrap/>
            <w:hideMark/>
          </w:tcPr>
          <w:p w14:paraId="3B87F4AD"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39,1</w:t>
            </w:r>
          </w:p>
        </w:tc>
        <w:tc>
          <w:tcPr>
            <w:tcW w:w="360" w:type="pct"/>
            <w:tcBorders>
              <w:top w:val="nil"/>
            </w:tcBorders>
            <w:shd w:val="clear" w:color="auto" w:fill="FFFFFF" w:themeFill="background1"/>
            <w:noWrap/>
            <w:hideMark/>
          </w:tcPr>
          <w:p w14:paraId="69C25242"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35,6</w:t>
            </w:r>
          </w:p>
        </w:tc>
        <w:tc>
          <w:tcPr>
            <w:tcW w:w="364" w:type="pct"/>
            <w:tcBorders>
              <w:top w:val="nil"/>
            </w:tcBorders>
            <w:shd w:val="clear" w:color="auto" w:fill="FFFFFF" w:themeFill="background1"/>
            <w:noWrap/>
            <w:hideMark/>
          </w:tcPr>
          <w:p w14:paraId="5EDA9DC5"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2,5</w:t>
            </w:r>
          </w:p>
        </w:tc>
        <w:tc>
          <w:tcPr>
            <w:tcW w:w="352" w:type="pct"/>
            <w:tcBorders>
              <w:top w:val="nil"/>
            </w:tcBorders>
            <w:shd w:val="clear" w:color="auto" w:fill="FFFFFF" w:themeFill="background1"/>
            <w:noWrap/>
            <w:hideMark/>
          </w:tcPr>
          <w:p w14:paraId="03E368B6"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2,5</w:t>
            </w:r>
          </w:p>
        </w:tc>
        <w:tc>
          <w:tcPr>
            <w:tcW w:w="376" w:type="pct"/>
            <w:tcBorders>
              <w:top w:val="nil"/>
            </w:tcBorders>
            <w:shd w:val="clear" w:color="auto" w:fill="FFFFFF" w:themeFill="background1"/>
            <w:noWrap/>
          </w:tcPr>
          <w:p w14:paraId="4634AEF0"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tcPr>
          <w:p w14:paraId="6E27F617"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0E18C672"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1,0</w:t>
            </w:r>
          </w:p>
        </w:tc>
        <w:tc>
          <w:tcPr>
            <w:tcW w:w="376" w:type="pct"/>
            <w:tcBorders>
              <w:top w:val="nil"/>
            </w:tcBorders>
            <w:shd w:val="clear" w:color="auto" w:fill="FFFFFF" w:themeFill="background1"/>
            <w:noWrap/>
          </w:tcPr>
          <w:p w14:paraId="6781C114"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77D908E9" w14:textId="77777777" w:rsidR="00F64DB2" w:rsidRPr="0043162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0,5</w:t>
            </w:r>
          </w:p>
        </w:tc>
        <w:tc>
          <w:tcPr>
            <w:tcW w:w="376" w:type="pct"/>
            <w:tcBorders>
              <w:top w:val="nil"/>
            </w:tcBorders>
            <w:shd w:val="clear" w:color="auto" w:fill="FFFFFF" w:themeFill="background1"/>
            <w:noWrap/>
            <w:hideMark/>
          </w:tcPr>
          <w:p w14:paraId="5C37BB05" w14:textId="77777777" w:rsidR="00F64DB2" w:rsidRPr="00431627"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3007D3">
              <w:rPr>
                <w:rFonts w:cstheme="minorHAnsi"/>
                <w:color w:val="002060"/>
                <w:sz w:val="14"/>
                <w:szCs w:val="14"/>
                <w:lang w:val="sr-Cyrl-CS"/>
              </w:rPr>
              <w:t>0,5</w:t>
            </w:r>
          </w:p>
        </w:tc>
        <w:tc>
          <w:tcPr>
            <w:tcW w:w="314" w:type="pct"/>
            <w:tcBorders>
              <w:top w:val="nil"/>
            </w:tcBorders>
            <w:shd w:val="clear" w:color="auto" w:fill="FFFFFF" w:themeFill="background1"/>
            <w:noWrap/>
            <w:hideMark/>
          </w:tcPr>
          <w:p w14:paraId="610E89B4" w14:textId="77777777" w:rsidR="00F64DB2" w:rsidRPr="00431627"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F146A7" w14:paraId="5DE9FBE9"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BFBFBF" w:themeFill="background1" w:themeFillShade="BF"/>
            <w:noWrap/>
            <w:vAlign w:val="bottom"/>
            <w:hideMark/>
          </w:tcPr>
          <w:p w14:paraId="0A53AB41" w14:textId="77777777" w:rsidR="00F64DB2" w:rsidRPr="00DE058F" w:rsidRDefault="00F64DB2" w:rsidP="00D73C9A">
            <w:pPr>
              <w:tabs>
                <w:tab w:val="center" w:pos="4680"/>
                <w:tab w:val="right" w:pos="9360"/>
              </w:tabs>
              <w:rPr>
                <w:rFonts w:cstheme="minorHAnsi"/>
                <w:color w:val="002060"/>
                <w:sz w:val="14"/>
                <w:szCs w:val="14"/>
                <w:lang w:val="sr-Cyrl-CS"/>
              </w:rPr>
            </w:pPr>
            <w:r w:rsidRPr="00DE058F">
              <w:rPr>
                <w:rFonts w:cstheme="minorHAnsi"/>
                <w:color w:val="002060"/>
                <w:sz w:val="14"/>
                <w:szCs w:val="14"/>
                <w:lang w:val="sr-Cyrl-CS"/>
              </w:rPr>
              <w:t>Јавни расходи</w:t>
            </w:r>
          </w:p>
        </w:tc>
        <w:tc>
          <w:tcPr>
            <w:tcW w:w="360" w:type="pct"/>
            <w:tcBorders>
              <w:top w:val="nil"/>
            </w:tcBorders>
            <w:shd w:val="clear" w:color="auto" w:fill="BFBFBF" w:themeFill="background1" w:themeFillShade="BF"/>
            <w:noWrap/>
            <w:hideMark/>
          </w:tcPr>
          <w:p w14:paraId="46DD89B8" w14:textId="77777777" w:rsidR="00F64DB2" w:rsidRPr="00F146A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3.932,8</w:t>
            </w:r>
          </w:p>
        </w:tc>
        <w:tc>
          <w:tcPr>
            <w:tcW w:w="360" w:type="pct"/>
            <w:tcBorders>
              <w:top w:val="nil"/>
            </w:tcBorders>
            <w:shd w:val="clear" w:color="auto" w:fill="BFBFBF" w:themeFill="background1" w:themeFillShade="BF"/>
            <w:noWrap/>
            <w:hideMark/>
          </w:tcPr>
          <w:p w14:paraId="3BF93F05" w14:textId="77777777" w:rsidR="00F64DB2" w:rsidRPr="00F146A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1.748,5</w:t>
            </w:r>
          </w:p>
        </w:tc>
        <w:tc>
          <w:tcPr>
            <w:tcW w:w="364" w:type="pct"/>
            <w:tcBorders>
              <w:top w:val="nil"/>
            </w:tcBorders>
            <w:shd w:val="clear" w:color="auto" w:fill="BFBFBF" w:themeFill="background1" w:themeFillShade="BF"/>
            <w:noWrap/>
            <w:hideMark/>
          </w:tcPr>
          <w:p w14:paraId="63F38139" w14:textId="77777777" w:rsidR="00F64DB2" w:rsidRPr="00F146A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550,6</w:t>
            </w:r>
          </w:p>
        </w:tc>
        <w:tc>
          <w:tcPr>
            <w:tcW w:w="352" w:type="pct"/>
            <w:tcBorders>
              <w:top w:val="nil"/>
            </w:tcBorders>
            <w:shd w:val="clear" w:color="auto" w:fill="BFBFBF" w:themeFill="background1" w:themeFillShade="BF"/>
            <w:noWrap/>
            <w:hideMark/>
          </w:tcPr>
          <w:p w14:paraId="0FB162D1" w14:textId="77777777" w:rsidR="00F64DB2" w:rsidRPr="00F146A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478,8</w:t>
            </w:r>
          </w:p>
        </w:tc>
        <w:tc>
          <w:tcPr>
            <w:tcW w:w="376" w:type="pct"/>
            <w:tcBorders>
              <w:top w:val="nil"/>
            </w:tcBorders>
            <w:shd w:val="clear" w:color="auto" w:fill="BFBFBF" w:themeFill="background1" w:themeFillShade="BF"/>
            <w:noWrap/>
            <w:hideMark/>
          </w:tcPr>
          <w:p w14:paraId="2328B01D" w14:textId="77777777" w:rsidR="00F64DB2" w:rsidRPr="00F146A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71,7</w:t>
            </w:r>
          </w:p>
        </w:tc>
        <w:tc>
          <w:tcPr>
            <w:tcW w:w="357" w:type="pct"/>
            <w:tcBorders>
              <w:top w:val="nil"/>
            </w:tcBorders>
            <w:shd w:val="clear" w:color="auto" w:fill="BFBFBF" w:themeFill="background1" w:themeFillShade="BF"/>
            <w:noWrap/>
            <w:hideMark/>
          </w:tcPr>
          <w:p w14:paraId="6AF9073F" w14:textId="77777777" w:rsidR="00F64DB2" w:rsidRPr="00F146A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75,0</w:t>
            </w:r>
          </w:p>
        </w:tc>
        <w:tc>
          <w:tcPr>
            <w:tcW w:w="376" w:type="pct"/>
            <w:tcBorders>
              <w:top w:val="nil"/>
            </w:tcBorders>
            <w:shd w:val="clear" w:color="auto" w:fill="BFBFBF" w:themeFill="background1" w:themeFillShade="BF"/>
            <w:noWrap/>
            <w:hideMark/>
          </w:tcPr>
          <w:p w14:paraId="6E97FD5C" w14:textId="77777777" w:rsidR="00F64DB2" w:rsidRPr="00F146A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1.558,9</w:t>
            </w:r>
          </w:p>
        </w:tc>
        <w:tc>
          <w:tcPr>
            <w:tcW w:w="376" w:type="pct"/>
            <w:tcBorders>
              <w:top w:val="nil"/>
            </w:tcBorders>
            <w:shd w:val="clear" w:color="auto" w:fill="BFBFBF" w:themeFill="background1" w:themeFillShade="BF"/>
            <w:noWrap/>
            <w:hideMark/>
          </w:tcPr>
          <w:p w14:paraId="57DFADD4" w14:textId="77777777" w:rsidR="00F64DB2" w:rsidRPr="00F146A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976,3</w:t>
            </w:r>
          </w:p>
        </w:tc>
        <w:tc>
          <w:tcPr>
            <w:tcW w:w="376" w:type="pct"/>
            <w:tcBorders>
              <w:top w:val="nil"/>
            </w:tcBorders>
            <w:shd w:val="clear" w:color="auto" w:fill="BFBFBF" w:themeFill="background1" w:themeFillShade="BF"/>
            <w:noWrap/>
            <w:hideMark/>
          </w:tcPr>
          <w:p w14:paraId="3B1C7E26" w14:textId="77777777" w:rsidR="00F64DB2" w:rsidRPr="00F146A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549,0</w:t>
            </w:r>
          </w:p>
        </w:tc>
        <w:tc>
          <w:tcPr>
            <w:tcW w:w="376" w:type="pct"/>
            <w:tcBorders>
              <w:top w:val="nil"/>
            </w:tcBorders>
            <w:shd w:val="clear" w:color="auto" w:fill="BFBFBF" w:themeFill="background1" w:themeFillShade="BF"/>
            <w:noWrap/>
            <w:hideMark/>
          </w:tcPr>
          <w:p w14:paraId="4F20535E" w14:textId="77777777" w:rsidR="00F64DB2" w:rsidRPr="00F146A7"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24,8</w:t>
            </w:r>
          </w:p>
        </w:tc>
        <w:tc>
          <w:tcPr>
            <w:tcW w:w="314" w:type="pct"/>
            <w:tcBorders>
              <w:top w:val="nil"/>
            </w:tcBorders>
            <w:shd w:val="clear" w:color="auto" w:fill="BFBFBF" w:themeFill="background1" w:themeFillShade="BF"/>
            <w:noWrap/>
            <w:hideMark/>
          </w:tcPr>
          <w:p w14:paraId="262B15A4" w14:textId="77777777" w:rsidR="00F64DB2" w:rsidRPr="00F146A7"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8,8</w:t>
            </w:r>
          </w:p>
        </w:tc>
      </w:tr>
      <w:tr w:rsidR="00F64DB2" w:rsidRPr="00F146A7" w14:paraId="1D41B151"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7471F07C"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Текући расходи</w:t>
            </w:r>
          </w:p>
        </w:tc>
        <w:tc>
          <w:tcPr>
            <w:tcW w:w="360" w:type="pct"/>
            <w:tcBorders>
              <w:top w:val="nil"/>
            </w:tcBorders>
            <w:shd w:val="clear" w:color="auto" w:fill="FFFFFF" w:themeFill="background1"/>
            <w:noWrap/>
            <w:hideMark/>
          </w:tcPr>
          <w:p w14:paraId="5223B2E4"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3.258,2</w:t>
            </w:r>
          </w:p>
        </w:tc>
        <w:tc>
          <w:tcPr>
            <w:tcW w:w="360" w:type="pct"/>
            <w:tcBorders>
              <w:top w:val="nil"/>
            </w:tcBorders>
            <w:shd w:val="clear" w:color="auto" w:fill="FFFFFF" w:themeFill="background1"/>
            <w:noWrap/>
            <w:hideMark/>
          </w:tcPr>
          <w:p w14:paraId="3E92B9C2"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1.208,6</w:t>
            </w:r>
          </w:p>
        </w:tc>
        <w:tc>
          <w:tcPr>
            <w:tcW w:w="364" w:type="pct"/>
            <w:tcBorders>
              <w:top w:val="nil"/>
            </w:tcBorders>
            <w:shd w:val="clear" w:color="auto" w:fill="FFFFFF" w:themeFill="background1"/>
            <w:noWrap/>
            <w:hideMark/>
          </w:tcPr>
          <w:p w14:paraId="1DED14A8"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447,7</w:t>
            </w:r>
          </w:p>
        </w:tc>
        <w:tc>
          <w:tcPr>
            <w:tcW w:w="352" w:type="pct"/>
            <w:tcBorders>
              <w:top w:val="nil"/>
            </w:tcBorders>
            <w:shd w:val="clear" w:color="auto" w:fill="FFFFFF" w:themeFill="background1"/>
            <w:noWrap/>
            <w:hideMark/>
          </w:tcPr>
          <w:p w14:paraId="2B3E27F5"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379,5</w:t>
            </w:r>
          </w:p>
        </w:tc>
        <w:tc>
          <w:tcPr>
            <w:tcW w:w="376" w:type="pct"/>
            <w:tcBorders>
              <w:top w:val="nil"/>
            </w:tcBorders>
            <w:shd w:val="clear" w:color="auto" w:fill="FFFFFF" w:themeFill="background1"/>
            <w:noWrap/>
            <w:hideMark/>
          </w:tcPr>
          <w:p w14:paraId="0A8F9AF4"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68,1</w:t>
            </w:r>
          </w:p>
        </w:tc>
        <w:tc>
          <w:tcPr>
            <w:tcW w:w="357" w:type="pct"/>
            <w:tcBorders>
              <w:top w:val="nil"/>
            </w:tcBorders>
            <w:shd w:val="clear" w:color="auto" w:fill="FFFFFF" w:themeFill="background1"/>
            <w:noWrap/>
            <w:hideMark/>
          </w:tcPr>
          <w:p w14:paraId="423837EA"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62,2</w:t>
            </w:r>
          </w:p>
        </w:tc>
        <w:tc>
          <w:tcPr>
            <w:tcW w:w="376" w:type="pct"/>
            <w:tcBorders>
              <w:top w:val="nil"/>
            </w:tcBorders>
            <w:shd w:val="clear" w:color="auto" w:fill="FFFFFF" w:themeFill="background1"/>
            <w:noWrap/>
            <w:hideMark/>
          </w:tcPr>
          <w:p w14:paraId="01C5EB78"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1.539,7</w:t>
            </w:r>
          </w:p>
        </w:tc>
        <w:tc>
          <w:tcPr>
            <w:tcW w:w="376" w:type="pct"/>
            <w:tcBorders>
              <w:top w:val="nil"/>
            </w:tcBorders>
            <w:shd w:val="clear" w:color="auto" w:fill="FFFFFF" w:themeFill="background1"/>
            <w:noWrap/>
            <w:hideMark/>
          </w:tcPr>
          <w:p w14:paraId="20E71DCF"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975,6</w:t>
            </w:r>
          </w:p>
        </w:tc>
        <w:tc>
          <w:tcPr>
            <w:tcW w:w="376" w:type="pct"/>
            <w:tcBorders>
              <w:top w:val="nil"/>
            </w:tcBorders>
            <w:shd w:val="clear" w:color="auto" w:fill="FFFFFF" w:themeFill="background1"/>
            <w:noWrap/>
            <w:hideMark/>
          </w:tcPr>
          <w:p w14:paraId="5D6F3F0E"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531,0</w:t>
            </w:r>
          </w:p>
        </w:tc>
        <w:tc>
          <w:tcPr>
            <w:tcW w:w="376" w:type="pct"/>
            <w:tcBorders>
              <w:top w:val="nil"/>
            </w:tcBorders>
            <w:shd w:val="clear" w:color="auto" w:fill="FFFFFF" w:themeFill="background1"/>
            <w:noWrap/>
            <w:hideMark/>
          </w:tcPr>
          <w:p w14:paraId="0FD2D70D" w14:textId="77777777" w:rsidR="00F64DB2" w:rsidRPr="00F92706"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24,4</w:t>
            </w:r>
          </w:p>
        </w:tc>
        <w:tc>
          <w:tcPr>
            <w:tcW w:w="314" w:type="pct"/>
            <w:tcBorders>
              <w:top w:val="nil"/>
            </w:tcBorders>
            <w:shd w:val="clear" w:color="auto" w:fill="FFFFFF" w:themeFill="background1"/>
            <w:noWrap/>
            <w:hideMark/>
          </w:tcPr>
          <w:p w14:paraId="2690D4D5" w14:textId="77777777" w:rsidR="00F64DB2" w:rsidRPr="00F92706"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8,7</w:t>
            </w:r>
          </w:p>
        </w:tc>
      </w:tr>
      <w:tr w:rsidR="00F64DB2" w:rsidRPr="00F146A7" w14:paraId="7621AF74"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7C3C4444"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Расходи за запослене</w:t>
            </w:r>
          </w:p>
        </w:tc>
        <w:tc>
          <w:tcPr>
            <w:tcW w:w="360" w:type="pct"/>
            <w:tcBorders>
              <w:top w:val="nil"/>
            </w:tcBorders>
            <w:shd w:val="clear" w:color="auto" w:fill="FFFFFF" w:themeFill="background1"/>
            <w:noWrap/>
            <w:hideMark/>
          </w:tcPr>
          <w:p w14:paraId="2F13EEB9"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763,1</w:t>
            </w:r>
          </w:p>
        </w:tc>
        <w:tc>
          <w:tcPr>
            <w:tcW w:w="360" w:type="pct"/>
            <w:tcBorders>
              <w:top w:val="nil"/>
            </w:tcBorders>
            <w:shd w:val="clear" w:color="auto" w:fill="FFFFFF" w:themeFill="background1"/>
            <w:noWrap/>
            <w:hideMark/>
          </w:tcPr>
          <w:p w14:paraId="2AB9F92A"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401,6</w:t>
            </w:r>
          </w:p>
        </w:tc>
        <w:tc>
          <w:tcPr>
            <w:tcW w:w="364" w:type="pct"/>
            <w:tcBorders>
              <w:top w:val="nil"/>
            </w:tcBorders>
            <w:shd w:val="clear" w:color="auto" w:fill="FFFFFF" w:themeFill="background1"/>
            <w:noWrap/>
            <w:hideMark/>
          </w:tcPr>
          <w:p w14:paraId="3B987E73"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120,3</w:t>
            </w:r>
          </w:p>
        </w:tc>
        <w:tc>
          <w:tcPr>
            <w:tcW w:w="352" w:type="pct"/>
            <w:tcBorders>
              <w:top w:val="nil"/>
            </w:tcBorders>
            <w:shd w:val="clear" w:color="auto" w:fill="FFFFFF" w:themeFill="background1"/>
            <w:noWrap/>
            <w:hideMark/>
          </w:tcPr>
          <w:p w14:paraId="6437D279"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83,3</w:t>
            </w:r>
          </w:p>
        </w:tc>
        <w:tc>
          <w:tcPr>
            <w:tcW w:w="376" w:type="pct"/>
            <w:tcBorders>
              <w:top w:val="nil"/>
            </w:tcBorders>
            <w:shd w:val="clear" w:color="auto" w:fill="FFFFFF" w:themeFill="background1"/>
            <w:noWrap/>
            <w:hideMark/>
          </w:tcPr>
          <w:p w14:paraId="4C925DD9"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37,0</w:t>
            </w:r>
          </w:p>
        </w:tc>
        <w:tc>
          <w:tcPr>
            <w:tcW w:w="357" w:type="pct"/>
            <w:tcBorders>
              <w:top w:val="nil"/>
            </w:tcBorders>
            <w:shd w:val="clear" w:color="auto" w:fill="FFFFFF" w:themeFill="background1"/>
            <w:noWrap/>
            <w:hideMark/>
          </w:tcPr>
          <w:p w14:paraId="26272B45"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3,8</w:t>
            </w:r>
          </w:p>
        </w:tc>
        <w:tc>
          <w:tcPr>
            <w:tcW w:w="376" w:type="pct"/>
            <w:tcBorders>
              <w:top w:val="nil"/>
            </w:tcBorders>
            <w:shd w:val="clear" w:color="auto" w:fill="FFFFFF" w:themeFill="background1"/>
            <w:noWrap/>
            <w:hideMark/>
          </w:tcPr>
          <w:p w14:paraId="47B3BCF3"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237,3</w:t>
            </w:r>
          </w:p>
        </w:tc>
        <w:tc>
          <w:tcPr>
            <w:tcW w:w="376" w:type="pct"/>
            <w:tcBorders>
              <w:top w:val="nil"/>
            </w:tcBorders>
            <w:shd w:val="clear" w:color="auto" w:fill="FFFFFF" w:themeFill="background1"/>
            <w:noWrap/>
            <w:hideMark/>
          </w:tcPr>
          <w:p w14:paraId="556489AC"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4,5</w:t>
            </w:r>
          </w:p>
        </w:tc>
        <w:tc>
          <w:tcPr>
            <w:tcW w:w="376" w:type="pct"/>
            <w:tcBorders>
              <w:top w:val="nil"/>
            </w:tcBorders>
            <w:shd w:val="clear" w:color="auto" w:fill="FFFFFF" w:themeFill="background1"/>
            <w:noWrap/>
            <w:hideMark/>
          </w:tcPr>
          <w:p w14:paraId="0D026BB2"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230,5</w:t>
            </w:r>
          </w:p>
        </w:tc>
        <w:tc>
          <w:tcPr>
            <w:tcW w:w="376" w:type="pct"/>
            <w:tcBorders>
              <w:top w:val="nil"/>
            </w:tcBorders>
            <w:shd w:val="clear" w:color="auto" w:fill="FFFFFF" w:themeFill="background1"/>
            <w:noWrap/>
            <w:hideMark/>
          </w:tcPr>
          <w:p w14:paraId="30EA47D5" w14:textId="77777777" w:rsidR="00F64DB2" w:rsidRPr="00F92706"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2,2</w:t>
            </w:r>
          </w:p>
        </w:tc>
        <w:tc>
          <w:tcPr>
            <w:tcW w:w="314" w:type="pct"/>
            <w:tcBorders>
              <w:top w:val="nil"/>
            </w:tcBorders>
            <w:shd w:val="clear" w:color="auto" w:fill="FFFFFF" w:themeFill="background1"/>
            <w:noWrap/>
          </w:tcPr>
          <w:p w14:paraId="26D28AC0" w14:textId="77777777" w:rsidR="00F64DB2" w:rsidRPr="00F92706"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F64DB2" w:rsidRPr="00F146A7" w14:paraId="4470A9EA"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0554EED4"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Доприноси на терет послодавца</w:t>
            </w:r>
          </w:p>
        </w:tc>
        <w:tc>
          <w:tcPr>
            <w:tcW w:w="360" w:type="pct"/>
            <w:tcBorders>
              <w:top w:val="nil"/>
            </w:tcBorders>
            <w:shd w:val="clear" w:color="auto" w:fill="FFFFFF" w:themeFill="background1"/>
            <w:noWrap/>
            <w:hideMark/>
          </w:tcPr>
          <w:p w14:paraId="265AEDE5"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115,1</w:t>
            </w:r>
          </w:p>
        </w:tc>
        <w:tc>
          <w:tcPr>
            <w:tcW w:w="360" w:type="pct"/>
            <w:tcBorders>
              <w:top w:val="nil"/>
            </w:tcBorders>
            <w:shd w:val="clear" w:color="auto" w:fill="FFFFFF" w:themeFill="background1"/>
            <w:noWrap/>
            <w:hideMark/>
          </w:tcPr>
          <w:p w14:paraId="09652A7C"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63,5</w:t>
            </w:r>
          </w:p>
        </w:tc>
        <w:tc>
          <w:tcPr>
            <w:tcW w:w="364" w:type="pct"/>
            <w:tcBorders>
              <w:top w:val="nil"/>
            </w:tcBorders>
            <w:shd w:val="clear" w:color="auto" w:fill="FFFFFF" w:themeFill="background1"/>
            <w:noWrap/>
            <w:hideMark/>
          </w:tcPr>
          <w:p w14:paraId="091B84AF"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18,0</w:t>
            </w:r>
          </w:p>
        </w:tc>
        <w:tc>
          <w:tcPr>
            <w:tcW w:w="352" w:type="pct"/>
            <w:tcBorders>
              <w:top w:val="nil"/>
            </w:tcBorders>
            <w:shd w:val="clear" w:color="auto" w:fill="FFFFFF" w:themeFill="background1"/>
            <w:noWrap/>
            <w:hideMark/>
          </w:tcPr>
          <w:p w14:paraId="7FBDD26F"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11,2</w:t>
            </w:r>
          </w:p>
        </w:tc>
        <w:tc>
          <w:tcPr>
            <w:tcW w:w="376" w:type="pct"/>
            <w:tcBorders>
              <w:top w:val="nil"/>
            </w:tcBorders>
            <w:shd w:val="clear" w:color="auto" w:fill="FFFFFF" w:themeFill="background1"/>
            <w:noWrap/>
            <w:hideMark/>
          </w:tcPr>
          <w:p w14:paraId="303EFA9D"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6,7</w:t>
            </w:r>
          </w:p>
        </w:tc>
        <w:tc>
          <w:tcPr>
            <w:tcW w:w="357" w:type="pct"/>
            <w:tcBorders>
              <w:top w:val="nil"/>
            </w:tcBorders>
            <w:shd w:val="clear" w:color="auto" w:fill="FFFFFF" w:themeFill="background1"/>
            <w:noWrap/>
            <w:hideMark/>
          </w:tcPr>
          <w:p w14:paraId="7B213079"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0,5</w:t>
            </w:r>
          </w:p>
        </w:tc>
        <w:tc>
          <w:tcPr>
            <w:tcW w:w="376" w:type="pct"/>
            <w:tcBorders>
              <w:top w:val="nil"/>
            </w:tcBorders>
            <w:shd w:val="clear" w:color="auto" w:fill="FFFFFF" w:themeFill="background1"/>
            <w:noWrap/>
            <w:hideMark/>
          </w:tcPr>
          <w:p w14:paraId="434D912F"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33,1</w:t>
            </w:r>
          </w:p>
        </w:tc>
        <w:tc>
          <w:tcPr>
            <w:tcW w:w="376" w:type="pct"/>
            <w:tcBorders>
              <w:top w:val="nil"/>
            </w:tcBorders>
            <w:shd w:val="clear" w:color="auto" w:fill="FFFFFF" w:themeFill="background1"/>
            <w:noWrap/>
            <w:hideMark/>
          </w:tcPr>
          <w:p w14:paraId="11C7A267"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0,7</w:t>
            </w:r>
          </w:p>
        </w:tc>
        <w:tc>
          <w:tcPr>
            <w:tcW w:w="376" w:type="pct"/>
            <w:tcBorders>
              <w:top w:val="nil"/>
            </w:tcBorders>
            <w:shd w:val="clear" w:color="auto" w:fill="FFFFFF" w:themeFill="background1"/>
            <w:noWrap/>
            <w:hideMark/>
          </w:tcPr>
          <w:p w14:paraId="32ADF33B"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31,9</w:t>
            </w:r>
          </w:p>
        </w:tc>
        <w:tc>
          <w:tcPr>
            <w:tcW w:w="376" w:type="pct"/>
            <w:tcBorders>
              <w:top w:val="nil"/>
            </w:tcBorders>
            <w:shd w:val="clear" w:color="auto" w:fill="FFFFFF" w:themeFill="background1"/>
            <w:noWrap/>
            <w:hideMark/>
          </w:tcPr>
          <w:p w14:paraId="5658DF8C" w14:textId="77777777" w:rsidR="00F64DB2" w:rsidRPr="00F92706"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0,5</w:t>
            </w:r>
          </w:p>
        </w:tc>
        <w:tc>
          <w:tcPr>
            <w:tcW w:w="314" w:type="pct"/>
            <w:tcBorders>
              <w:top w:val="nil"/>
            </w:tcBorders>
            <w:shd w:val="clear" w:color="auto" w:fill="FFFFFF" w:themeFill="background1"/>
            <w:noWrap/>
          </w:tcPr>
          <w:p w14:paraId="2A84D1C8" w14:textId="77777777" w:rsidR="00F64DB2" w:rsidRPr="00F92706"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F146A7" w14:paraId="32BA7CFC"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133620E"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Куповина роба и услуга</w:t>
            </w:r>
          </w:p>
        </w:tc>
        <w:tc>
          <w:tcPr>
            <w:tcW w:w="360" w:type="pct"/>
            <w:tcBorders>
              <w:top w:val="nil"/>
            </w:tcBorders>
            <w:shd w:val="clear" w:color="auto" w:fill="FFFFFF" w:themeFill="background1"/>
            <w:noWrap/>
            <w:hideMark/>
          </w:tcPr>
          <w:p w14:paraId="1B458A15"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670,3</w:t>
            </w:r>
          </w:p>
        </w:tc>
        <w:tc>
          <w:tcPr>
            <w:tcW w:w="360" w:type="pct"/>
            <w:tcBorders>
              <w:top w:val="nil"/>
            </w:tcBorders>
            <w:shd w:val="clear" w:color="auto" w:fill="FFFFFF" w:themeFill="background1"/>
            <w:noWrap/>
            <w:hideMark/>
          </w:tcPr>
          <w:p w14:paraId="55CEF6AF"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182,0</w:t>
            </w:r>
          </w:p>
        </w:tc>
        <w:tc>
          <w:tcPr>
            <w:tcW w:w="364" w:type="pct"/>
            <w:tcBorders>
              <w:top w:val="nil"/>
            </w:tcBorders>
            <w:shd w:val="clear" w:color="auto" w:fill="FFFFFF" w:themeFill="background1"/>
            <w:noWrap/>
            <w:hideMark/>
          </w:tcPr>
          <w:p w14:paraId="7FDA741B"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183,6</w:t>
            </w:r>
          </w:p>
        </w:tc>
        <w:tc>
          <w:tcPr>
            <w:tcW w:w="352" w:type="pct"/>
            <w:tcBorders>
              <w:top w:val="nil"/>
            </w:tcBorders>
            <w:shd w:val="clear" w:color="auto" w:fill="FFFFFF" w:themeFill="background1"/>
            <w:noWrap/>
            <w:hideMark/>
          </w:tcPr>
          <w:p w14:paraId="7AA53C85"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180,1</w:t>
            </w:r>
          </w:p>
        </w:tc>
        <w:tc>
          <w:tcPr>
            <w:tcW w:w="376" w:type="pct"/>
            <w:tcBorders>
              <w:top w:val="nil"/>
            </w:tcBorders>
            <w:shd w:val="clear" w:color="auto" w:fill="FFFFFF" w:themeFill="background1"/>
            <w:noWrap/>
            <w:hideMark/>
          </w:tcPr>
          <w:p w14:paraId="300FBF51"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3,5</w:t>
            </w:r>
          </w:p>
        </w:tc>
        <w:tc>
          <w:tcPr>
            <w:tcW w:w="357" w:type="pct"/>
            <w:tcBorders>
              <w:top w:val="nil"/>
            </w:tcBorders>
            <w:shd w:val="clear" w:color="auto" w:fill="FFFFFF" w:themeFill="background1"/>
            <w:noWrap/>
            <w:hideMark/>
          </w:tcPr>
          <w:p w14:paraId="672B49C9"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54,4</w:t>
            </w:r>
          </w:p>
        </w:tc>
        <w:tc>
          <w:tcPr>
            <w:tcW w:w="376" w:type="pct"/>
            <w:tcBorders>
              <w:top w:val="nil"/>
            </w:tcBorders>
            <w:shd w:val="clear" w:color="auto" w:fill="FFFFFF" w:themeFill="background1"/>
            <w:noWrap/>
            <w:hideMark/>
          </w:tcPr>
          <w:p w14:paraId="02BA892D"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250,2</w:t>
            </w:r>
          </w:p>
        </w:tc>
        <w:tc>
          <w:tcPr>
            <w:tcW w:w="376" w:type="pct"/>
            <w:tcBorders>
              <w:top w:val="nil"/>
            </w:tcBorders>
            <w:shd w:val="clear" w:color="auto" w:fill="FFFFFF" w:themeFill="background1"/>
            <w:noWrap/>
            <w:hideMark/>
          </w:tcPr>
          <w:p w14:paraId="492D3F11"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4,7</w:t>
            </w:r>
          </w:p>
        </w:tc>
        <w:tc>
          <w:tcPr>
            <w:tcW w:w="376" w:type="pct"/>
            <w:tcBorders>
              <w:top w:val="nil"/>
            </w:tcBorders>
            <w:shd w:val="clear" w:color="auto" w:fill="FFFFFF" w:themeFill="background1"/>
            <w:noWrap/>
            <w:hideMark/>
          </w:tcPr>
          <w:p w14:paraId="67D94019"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238,3</w:t>
            </w:r>
          </w:p>
        </w:tc>
        <w:tc>
          <w:tcPr>
            <w:tcW w:w="376" w:type="pct"/>
            <w:tcBorders>
              <w:top w:val="nil"/>
            </w:tcBorders>
            <w:shd w:val="clear" w:color="auto" w:fill="FFFFFF" w:themeFill="background1"/>
            <w:noWrap/>
            <w:hideMark/>
          </w:tcPr>
          <w:p w14:paraId="147CF685" w14:textId="77777777" w:rsidR="00F64DB2" w:rsidRPr="00F92706"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1,2</w:t>
            </w:r>
          </w:p>
        </w:tc>
        <w:tc>
          <w:tcPr>
            <w:tcW w:w="314" w:type="pct"/>
            <w:tcBorders>
              <w:top w:val="nil"/>
            </w:tcBorders>
            <w:shd w:val="clear" w:color="auto" w:fill="FFFFFF" w:themeFill="background1"/>
            <w:noWrap/>
            <w:hideMark/>
          </w:tcPr>
          <w:p w14:paraId="190A1453" w14:textId="77777777" w:rsidR="00F64DB2" w:rsidRPr="00F92706"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6,0</w:t>
            </w:r>
          </w:p>
        </w:tc>
      </w:tr>
      <w:tr w:rsidR="00F64DB2" w:rsidRPr="00F146A7" w14:paraId="51E09F50"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759984E"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Отплата камата</w:t>
            </w:r>
          </w:p>
        </w:tc>
        <w:tc>
          <w:tcPr>
            <w:tcW w:w="360" w:type="pct"/>
            <w:tcBorders>
              <w:top w:val="nil"/>
            </w:tcBorders>
            <w:shd w:val="clear" w:color="auto" w:fill="FFFFFF" w:themeFill="background1"/>
            <w:noWrap/>
            <w:hideMark/>
          </w:tcPr>
          <w:p w14:paraId="0334AA21"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185,9</w:t>
            </w:r>
          </w:p>
        </w:tc>
        <w:tc>
          <w:tcPr>
            <w:tcW w:w="360" w:type="pct"/>
            <w:tcBorders>
              <w:top w:val="nil"/>
            </w:tcBorders>
            <w:shd w:val="clear" w:color="auto" w:fill="FFFFFF" w:themeFill="background1"/>
            <w:noWrap/>
            <w:hideMark/>
          </w:tcPr>
          <w:p w14:paraId="166F5389"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183,6</w:t>
            </w:r>
          </w:p>
        </w:tc>
        <w:tc>
          <w:tcPr>
            <w:tcW w:w="364" w:type="pct"/>
            <w:tcBorders>
              <w:top w:val="nil"/>
            </w:tcBorders>
            <w:shd w:val="clear" w:color="auto" w:fill="FFFFFF" w:themeFill="background1"/>
            <w:noWrap/>
            <w:hideMark/>
          </w:tcPr>
          <w:p w14:paraId="47E4744E"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2,1</w:t>
            </w:r>
          </w:p>
        </w:tc>
        <w:tc>
          <w:tcPr>
            <w:tcW w:w="352" w:type="pct"/>
            <w:tcBorders>
              <w:top w:val="nil"/>
            </w:tcBorders>
            <w:shd w:val="clear" w:color="auto" w:fill="FFFFFF" w:themeFill="background1"/>
            <w:noWrap/>
            <w:hideMark/>
          </w:tcPr>
          <w:p w14:paraId="224EB465"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2,0</w:t>
            </w:r>
          </w:p>
        </w:tc>
        <w:tc>
          <w:tcPr>
            <w:tcW w:w="376" w:type="pct"/>
            <w:tcBorders>
              <w:top w:val="nil"/>
            </w:tcBorders>
            <w:shd w:val="clear" w:color="auto" w:fill="FFFFFF" w:themeFill="background1"/>
            <w:noWrap/>
            <w:hideMark/>
          </w:tcPr>
          <w:p w14:paraId="406B5B49"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0,1</w:t>
            </w:r>
          </w:p>
        </w:tc>
        <w:tc>
          <w:tcPr>
            <w:tcW w:w="357" w:type="pct"/>
            <w:tcBorders>
              <w:top w:val="nil"/>
            </w:tcBorders>
            <w:shd w:val="clear" w:color="auto" w:fill="FFFFFF" w:themeFill="background1"/>
            <w:noWrap/>
            <w:hideMark/>
          </w:tcPr>
          <w:p w14:paraId="7199DC21"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0,1</w:t>
            </w:r>
          </w:p>
        </w:tc>
        <w:tc>
          <w:tcPr>
            <w:tcW w:w="376" w:type="pct"/>
            <w:tcBorders>
              <w:top w:val="nil"/>
            </w:tcBorders>
            <w:shd w:val="clear" w:color="auto" w:fill="FFFFFF" w:themeFill="background1"/>
            <w:noWrap/>
          </w:tcPr>
          <w:p w14:paraId="369ECB4F"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0,2</w:t>
            </w:r>
          </w:p>
        </w:tc>
        <w:tc>
          <w:tcPr>
            <w:tcW w:w="376" w:type="pct"/>
            <w:tcBorders>
              <w:top w:val="nil"/>
            </w:tcBorders>
            <w:shd w:val="clear" w:color="auto" w:fill="FFFFFF" w:themeFill="background1"/>
            <w:noWrap/>
          </w:tcPr>
          <w:p w14:paraId="04EA7024"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30DCD1C5"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0,2</w:t>
            </w:r>
          </w:p>
        </w:tc>
        <w:tc>
          <w:tcPr>
            <w:tcW w:w="376" w:type="pct"/>
            <w:tcBorders>
              <w:top w:val="nil"/>
            </w:tcBorders>
            <w:shd w:val="clear" w:color="auto" w:fill="FFFFFF" w:themeFill="background1"/>
            <w:noWrap/>
          </w:tcPr>
          <w:p w14:paraId="2268515A" w14:textId="77777777" w:rsidR="00F64DB2" w:rsidRPr="00F92706"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tcPr>
          <w:p w14:paraId="1705BAEC" w14:textId="77777777" w:rsidR="00F64DB2" w:rsidRPr="00F92706"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F146A7" w14:paraId="6DA49C4E"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14CA704"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Субвенције</w:t>
            </w:r>
          </w:p>
        </w:tc>
        <w:tc>
          <w:tcPr>
            <w:tcW w:w="360" w:type="pct"/>
            <w:tcBorders>
              <w:top w:val="nil"/>
            </w:tcBorders>
            <w:shd w:val="clear" w:color="auto" w:fill="FFFFFF" w:themeFill="background1"/>
            <w:noWrap/>
            <w:hideMark/>
          </w:tcPr>
          <w:p w14:paraId="64B00DF5"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208,6</w:t>
            </w:r>
          </w:p>
        </w:tc>
        <w:tc>
          <w:tcPr>
            <w:tcW w:w="360" w:type="pct"/>
            <w:tcBorders>
              <w:top w:val="nil"/>
            </w:tcBorders>
            <w:shd w:val="clear" w:color="auto" w:fill="FFFFFF" w:themeFill="background1"/>
            <w:noWrap/>
            <w:hideMark/>
          </w:tcPr>
          <w:p w14:paraId="5114511C"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166,3</w:t>
            </w:r>
          </w:p>
        </w:tc>
        <w:tc>
          <w:tcPr>
            <w:tcW w:w="364" w:type="pct"/>
            <w:tcBorders>
              <w:top w:val="nil"/>
            </w:tcBorders>
            <w:shd w:val="clear" w:color="auto" w:fill="FFFFFF" w:themeFill="background1"/>
            <w:noWrap/>
            <w:hideMark/>
          </w:tcPr>
          <w:p w14:paraId="13788899"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42,3</w:t>
            </w:r>
          </w:p>
        </w:tc>
        <w:tc>
          <w:tcPr>
            <w:tcW w:w="352" w:type="pct"/>
            <w:tcBorders>
              <w:top w:val="nil"/>
            </w:tcBorders>
            <w:shd w:val="clear" w:color="auto" w:fill="FFFFFF" w:themeFill="background1"/>
            <w:noWrap/>
            <w:hideMark/>
          </w:tcPr>
          <w:p w14:paraId="121D1EDD"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32,2</w:t>
            </w:r>
          </w:p>
        </w:tc>
        <w:tc>
          <w:tcPr>
            <w:tcW w:w="376" w:type="pct"/>
            <w:tcBorders>
              <w:top w:val="nil"/>
            </w:tcBorders>
            <w:shd w:val="clear" w:color="auto" w:fill="FFFFFF" w:themeFill="background1"/>
            <w:noWrap/>
            <w:hideMark/>
          </w:tcPr>
          <w:p w14:paraId="0235D07E"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10,1</w:t>
            </w:r>
          </w:p>
        </w:tc>
        <w:tc>
          <w:tcPr>
            <w:tcW w:w="357" w:type="pct"/>
            <w:tcBorders>
              <w:top w:val="nil"/>
            </w:tcBorders>
            <w:shd w:val="clear" w:color="auto" w:fill="FFFFFF" w:themeFill="background1"/>
            <w:noWrap/>
          </w:tcPr>
          <w:p w14:paraId="658C1AD5"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4AEE4BE6"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32E2A453"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3BC6E1F7"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57D78417" w14:textId="77777777" w:rsidR="00F64DB2" w:rsidRPr="00F92706"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tcPr>
          <w:p w14:paraId="01F34B83" w14:textId="77777777" w:rsidR="00F64DB2" w:rsidRPr="00F92706"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F64DB2" w:rsidRPr="00F146A7" w14:paraId="0BD5AB10"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5F0D539F"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Социјална помоћ и трансфери</w:t>
            </w:r>
          </w:p>
        </w:tc>
        <w:tc>
          <w:tcPr>
            <w:tcW w:w="360" w:type="pct"/>
            <w:tcBorders>
              <w:top w:val="nil"/>
            </w:tcBorders>
            <w:shd w:val="clear" w:color="auto" w:fill="FFFFFF" w:themeFill="background1"/>
            <w:noWrap/>
            <w:hideMark/>
          </w:tcPr>
          <w:p w14:paraId="1D4DF246"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1.212,3</w:t>
            </w:r>
          </w:p>
        </w:tc>
        <w:tc>
          <w:tcPr>
            <w:tcW w:w="360" w:type="pct"/>
            <w:tcBorders>
              <w:top w:val="nil"/>
            </w:tcBorders>
            <w:shd w:val="clear" w:color="auto" w:fill="FFFFFF" w:themeFill="background1"/>
            <w:noWrap/>
            <w:hideMark/>
          </w:tcPr>
          <w:p w14:paraId="52543667"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156,1</w:t>
            </w:r>
          </w:p>
        </w:tc>
        <w:tc>
          <w:tcPr>
            <w:tcW w:w="364" w:type="pct"/>
            <w:tcBorders>
              <w:top w:val="nil"/>
            </w:tcBorders>
            <w:shd w:val="clear" w:color="auto" w:fill="FFFFFF" w:themeFill="background1"/>
            <w:noWrap/>
            <w:hideMark/>
          </w:tcPr>
          <w:p w14:paraId="03B7F87F"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41,5</w:t>
            </w:r>
          </w:p>
        </w:tc>
        <w:tc>
          <w:tcPr>
            <w:tcW w:w="352" w:type="pct"/>
            <w:tcBorders>
              <w:top w:val="nil"/>
            </w:tcBorders>
            <w:shd w:val="clear" w:color="auto" w:fill="FFFFFF" w:themeFill="background1"/>
            <w:noWrap/>
            <w:hideMark/>
          </w:tcPr>
          <w:p w14:paraId="43C4C2E7"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41,2</w:t>
            </w:r>
          </w:p>
        </w:tc>
        <w:tc>
          <w:tcPr>
            <w:tcW w:w="376" w:type="pct"/>
            <w:tcBorders>
              <w:top w:val="nil"/>
            </w:tcBorders>
            <w:shd w:val="clear" w:color="auto" w:fill="FFFFFF" w:themeFill="background1"/>
            <w:noWrap/>
            <w:hideMark/>
          </w:tcPr>
          <w:p w14:paraId="6E75FC8B"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0,3</w:t>
            </w:r>
          </w:p>
        </w:tc>
        <w:tc>
          <w:tcPr>
            <w:tcW w:w="357" w:type="pct"/>
            <w:tcBorders>
              <w:top w:val="nil"/>
            </w:tcBorders>
            <w:shd w:val="clear" w:color="auto" w:fill="FFFFFF" w:themeFill="background1"/>
            <w:noWrap/>
          </w:tcPr>
          <w:p w14:paraId="3F665E87"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55452899"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1.014,8</w:t>
            </w:r>
          </w:p>
        </w:tc>
        <w:tc>
          <w:tcPr>
            <w:tcW w:w="376" w:type="pct"/>
            <w:tcBorders>
              <w:top w:val="nil"/>
            </w:tcBorders>
            <w:shd w:val="clear" w:color="auto" w:fill="FFFFFF" w:themeFill="background1"/>
            <w:noWrap/>
            <w:hideMark/>
          </w:tcPr>
          <w:p w14:paraId="59336154"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964,2</w:t>
            </w:r>
          </w:p>
        </w:tc>
        <w:tc>
          <w:tcPr>
            <w:tcW w:w="376" w:type="pct"/>
            <w:tcBorders>
              <w:top w:val="nil"/>
            </w:tcBorders>
            <w:shd w:val="clear" w:color="auto" w:fill="FFFFFF" w:themeFill="background1"/>
            <w:noWrap/>
            <w:hideMark/>
          </w:tcPr>
          <w:p w14:paraId="2329B500"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28,1</w:t>
            </w:r>
          </w:p>
        </w:tc>
        <w:tc>
          <w:tcPr>
            <w:tcW w:w="376" w:type="pct"/>
            <w:tcBorders>
              <w:top w:val="nil"/>
            </w:tcBorders>
            <w:shd w:val="clear" w:color="auto" w:fill="FFFFFF" w:themeFill="background1"/>
            <w:noWrap/>
            <w:hideMark/>
          </w:tcPr>
          <w:p w14:paraId="1211808B" w14:textId="77777777" w:rsidR="00F64DB2" w:rsidRPr="00F92706"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20,0</w:t>
            </w:r>
          </w:p>
        </w:tc>
        <w:tc>
          <w:tcPr>
            <w:tcW w:w="314" w:type="pct"/>
            <w:tcBorders>
              <w:top w:val="nil"/>
            </w:tcBorders>
            <w:shd w:val="clear" w:color="auto" w:fill="FFFFFF" w:themeFill="background1"/>
            <w:noWrap/>
            <w:hideMark/>
          </w:tcPr>
          <w:p w14:paraId="447D092C" w14:textId="77777777" w:rsidR="00F64DB2" w:rsidRPr="00F92706"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2,5</w:t>
            </w:r>
          </w:p>
        </w:tc>
      </w:tr>
      <w:tr w:rsidR="00F64DB2" w:rsidRPr="00F146A7" w14:paraId="7D761B4D"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1F1042A1"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i/>
                <w:iCs/>
                <w:color w:val="002060"/>
                <w:sz w:val="14"/>
                <w:szCs w:val="14"/>
                <w:lang w:val="sr-Cyrl-CS"/>
              </w:rPr>
              <w:t xml:space="preserve">             </w:t>
            </w:r>
            <w:r w:rsidRPr="00DE058F">
              <w:rPr>
                <w:rFonts w:cstheme="minorHAnsi"/>
                <w:b w:val="0"/>
                <w:iCs/>
                <w:color w:val="002060"/>
                <w:sz w:val="14"/>
                <w:szCs w:val="14"/>
                <w:lang w:val="sr-Cyrl-CS"/>
              </w:rPr>
              <w:t>oд чега пензије</w:t>
            </w:r>
          </w:p>
        </w:tc>
        <w:tc>
          <w:tcPr>
            <w:tcW w:w="360" w:type="pct"/>
            <w:tcBorders>
              <w:top w:val="nil"/>
            </w:tcBorders>
            <w:shd w:val="clear" w:color="auto" w:fill="FFFFFF" w:themeFill="background1"/>
            <w:noWrap/>
            <w:hideMark/>
          </w:tcPr>
          <w:p w14:paraId="4DD8EEB5"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926,7</w:t>
            </w:r>
          </w:p>
        </w:tc>
        <w:tc>
          <w:tcPr>
            <w:tcW w:w="360" w:type="pct"/>
            <w:tcBorders>
              <w:top w:val="nil"/>
            </w:tcBorders>
            <w:shd w:val="clear" w:color="auto" w:fill="FFFFFF" w:themeFill="background1"/>
            <w:noWrap/>
          </w:tcPr>
          <w:p w14:paraId="164A75E4"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64" w:type="pct"/>
            <w:tcBorders>
              <w:top w:val="nil"/>
            </w:tcBorders>
            <w:shd w:val="clear" w:color="auto" w:fill="FFFFFF" w:themeFill="background1"/>
            <w:noWrap/>
          </w:tcPr>
          <w:p w14:paraId="41996107"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hideMark/>
          </w:tcPr>
          <w:p w14:paraId="342C2209"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1C227A9B"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71C63CC9"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5D16D8DD"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926,7</w:t>
            </w:r>
          </w:p>
        </w:tc>
        <w:tc>
          <w:tcPr>
            <w:tcW w:w="376" w:type="pct"/>
            <w:tcBorders>
              <w:top w:val="nil"/>
            </w:tcBorders>
            <w:shd w:val="clear" w:color="auto" w:fill="FFFFFF" w:themeFill="background1"/>
            <w:noWrap/>
            <w:hideMark/>
          </w:tcPr>
          <w:p w14:paraId="508A7B36"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926,7</w:t>
            </w:r>
          </w:p>
        </w:tc>
        <w:tc>
          <w:tcPr>
            <w:tcW w:w="376" w:type="pct"/>
            <w:tcBorders>
              <w:top w:val="nil"/>
            </w:tcBorders>
            <w:shd w:val="clear" w:color="auto" w:fill="FFFFFF" w:themeFill="background1"/>
            <w:noWrap/>
          </w:tcPr>
          <w:p w14:paraId="6BA5BA27"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4FE36DD1" w14:textId="77777777" w:rsidR="00F64DB2" w:rsidRPr="00F92706"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tcPr>
          <w:p w14:paraId="62F8CA4F" w14:textId="77777777" w:rsidR="00F64DB2" w:rsidRPr="00F92706"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F64DB2" w:rsidRPr="00F146A7" w14:paraId="4263A7FB"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7025AAD"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Остали текући расходи</w:t>
            </w:r>
          </w:p>
        </w:tc>
        <w:tc>
          <w:tcPr>
            <w:tcW w:w="360" w:type="pct"/>
            <w:tcBorders>
              <w:top w:val="nil"/>
            </w:tcBorders>
            <w:shd w:val="clear" w:color="auto" w:fill="FFFFFF" w:themeFill="background1"/>
            <w:noWrap/>
            <w:hideMark/>
          </w:tcPr>
          <w:p w14:paraId="705D6281"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102,9</w:t>
            </w:r>
          </w:p>
        </w:tc>
        <w:tc>
          <w:tcPr>
            <w:tcW w:w="360" w:type="pct"/>
            <w:tcBorders>
              <w:top w:val="nil"/>
            </w:tcBorders>
            <w:shd w:val="clear" w:color="auto" w:fill="FFFFFF" w:themeFill="background1"/>
            <w:noWrap/>
            <w:hideMark/>
          </w:tcPr>
          <w:p w14:paraId="4998EFE4"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55,5</w:t>
            </w:r>
          </w:p>
        </w:tc>
        <w:tc>
          <w:tcPr>
            <w:tcW w:w="364" w:type="pct"/>
            <w:tcBorders>
              <w:top w:val="nil"/>
            </w:tcBorders>
            <w:shd w:val="clear" w:color="auto" w:fill="FFFFFF" w:themeFill="background1"/>
            <w:noWrap/>
            <w:hideMark/>
          </w:tcPr>
          <w:p w14:paraId="0B37CF94"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40,0</w:t>
            </w:r>
          </w:p>
        </w:tc>
        <w:tc>
          <w:tcPr>
            <w:tcW w:w="352" w:type="pct"/>
            <w:tcBorders>
              <w:top w:val="nil"/>
            </w:tcBorders>
            <w:shd w:val="clear" w:color="auto" w:fill="FFFFFF" w:themeFill="background1"/>
            <w:noWrap/>
            <w:hideMark/>
          </w:tcPr>
          <w:p w14:paraId="77231AC2"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29,6</w:t>
            </w:r>
          </w:p>
        </w:tc>
        <w:tc>
          <w:tcPr>
            <w:tcW w:w="376" w:type="pct"/>
            <w:tcBorders>
              <w:top w:val="nil"/>
            </w:tcBorders>
            <w:shd w:val="clear" w:color="auto" w:fill="FFFFFF" w:themeFill="background1"/>
            <w:noWrap/>
            <w:hideMark/>
          </w:tcPr>
          <w:p w14:paraId="18C674F2"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10,3</w:t>
            </w:r>
          </w:p>
        </w:tc>
        <w:tc>
          <w:tcPr>
            <w:tcW w:w="357" w:type="pct"/>
            <w:tcBorders>
              <w:top w:val="nil"/>
            </w:tcBorders>
            <w:shd w:val="clear" w:color="auto" w:fill="FFFFFF" w:themeFill="background1"/>
            <w:noWrap/>
            <w:hideMark/>
          </w:tcPr>
          <w:p w14:paraId="1081341F"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3,4</w:t>
            </w:r>
          </w:p>
        </w:tc>
        <w:tc>
          <w:tcPr>
            <w:tcW w:w="376" w:type="pct"/>
            <w:tcBorders>
              <w:top w:val="nil"/>
            </w:tcBorders>
            <w:shd w:val="clear" w:color="auto" w:fill="FFFFFF" w:themeFill="background1"/>
            <w:noWrap/>
            <w:hideMark/>
          </w:tcPr>
          <w:p w14:paraId="47B93253"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4,1</w:t>
            </w:r>
          </w:p>
        </w:tc>
        <w:tc>
          <w:tcPr>
            <w:tcW w:w="376" w:type="pct"/>
            <w:tcBorders>
              <w:top w:val="nil"/>
            </w:tcBorders>
            <w:shd w:val="clear" w:color="auto" w:fill="FFFFFF" w:themeFill="background1"/>
            <w:noWrap/>
            <w:hideMark/>
          </w:tcPr>
          <w:p w14:paraId="26CC624F"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1,5</w:t>
            </w:r>
          </w:p>
        </w:tc>
        <w:tc>
          <w:tcPr>
            <w:tcW w:w="376" w:type="pct"/>
            <w:tcBorders>
              <w:top w:val="nil"/>
            </w:tcBorders>
            <w:shd w:val="clear" w:color="auto" w:fill="FFFFFF" w:themeFill="background1"/>
            <w:noWrap/>
            <w:hideMark/>
          </w:tcPr>
          <w:p w14:paraId="09E44778"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2,0</w:t>
            </w:r>
          </w:p>
        </w:tc>
        <w:tc>
          <w:tcPr>
            <w:tcW w:w="376" w:type="pct"/>
            <w:tcBorders>
              <w:top w:val="nil"/>
            </w:tcBorders>
            <w:shd w:val="clear" w:color="auto" w:fill="FFFFFF" w:themeFill="background1"/>
            <w:noWrap/>
            <w:hideMark/>
          </w:tcPr>
          <w:p w14:paraId="1596871C" w14:textId="77777777" w:rsidR="00F64DB2" w:rsidRPr="00F92706"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0,5</w:t>
            </w:r>
          </w:p>
        </w:tc>
        <w:tc>
          <w:tcPr>
            <w:tcW w:w="314" w:type="pct"/>
            <w:tcBorders>
              <w:top w:val="nil"/>
            </w:tcBorders>
            <w:shd w:val="clear" w:color="auto" w:fill="FFFFFF" w:themeFill="background1"/>
            <w:noWrap/>
            <w:hideMark/>
          </w:tcPr>
          <w:p w14:paraId="4AC9FFB5" w14:textId="77777777" w:rsidR="00F64DB2" w:rsidRPr="00F92706"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0,1</w:t>
            </w:r>
          </w:p>
        </w:tc>
      </w:tr>
      <w:tr w:rsidR="00F64DB2" w:rsidRPr="00F146A7" w14:paraId="5B1C18E4"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0430313D"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Капитални расходи</w:t>
            </w:r>
          </w:p>
        </w:tc>
        <w:tc>
          <w:tcPr>
            <w:tcW w:w="360" w:type="pct"/>
            <w:tcBorders>
              <w:top w:val="nil"/>
            </w:tcBorders>
            <w:shd w:val="clear" w:color="auto" w:fill="FFFFFF" w:themeFill="background1"/>
            <w:noWrap/>
            <w:hideMark/>
          </w:tcPr>
          <w:p w14:paraId="47DD9799"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598,8</w:t>
            </w:r>
          </w:p>
        </w:tc>
        <w:tc>
          <w:tcPr>
            <w:tcW w:w="360" w:type="pct"/>
            <w:tcBorders>
              <w:top w:val="nil"/>
            </w:tcBorders>
            <w:shd w:val="clear" w:color="auto" w:fill="FFFFFF" w:themeFill="background1"/>
            <w:noWrap/>
            <w:hideMark/>
          </w:tcPr>
          <w:p w14:paraId="1B0DA964"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466,0</w:t>
            </w:r>
          </w:p>
        </w:tc>
        <w:tc>
          <w:tcPr>
            <w:tcW w:w="364" w:type="pct"/>
            <w:tcBorders>
              <w:top w:val="nil"/>
            </w:tcBorders>
            <w:shd w:val="clear" w:color="auto" w:fill="FFFFFF" w:themeFill="background1"/>
            <w:noWrap/>
            <w:hideMark/>
          </w:tcPr>
          <w:p w14:paraId="76282EE0"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100,8</w:t>
            </w:r>
          </w:p>
        </w:tc>
        <w:tc>
          <w:tcPr>
            <w:tcW w:w="352" w:type="pct"/>
            <w:tcBorders>
              <w:top w:val="nil"/>
            </w:tcBorders>
            <w:shd w:val="clear" w:color="auto" w:fill="FFFFFF" w:themeFill="background1"/>
            <w:noWrap/>
            <w:hideMark/>
          </w:tcPr>
          <w:p w14:paraId="7E9B4780"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97,2</w:t>
            </w:r>
          </w:p>
        </w:tc>
        <w:tc>
          <w:tcPr>
            <w:tcW w:w="376" w:type="pct"/>
            <w:tcBorders>
              <w:top w:val="nil"/>
            </w:tcBorders>
            <w:shd w:val="clear" w:color="auto" w:fill="FFFFFF" w:themeFill="background1"/>
            <w:noWrap/>
            <w:hideMark/>
          </w:tcPr>
          <w:p w14:paraId="2612EAB8"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3,6</w:t>
            </w:r>
          </w:p>
        </w:tc>
        <w:tc>
          <w:tcPr>
            <w:tcW w:w="357" w:type="pct"/>
            <w:tcBorders>
              <w:top w:val="nil"/>
            </w:tcBorders>
            <w:shd w:val="clear" w:color="auto" w:fill="FFFFFF" w:themeFill="background1"/>
            <w:noWrap/>
            <w:hideMark/>
          </w:tcPr>
          <w:p w14:paraId="3EC35A01"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12,7</w:t>
            </w:r>
          </w:p>
        </w:tc>
        <w:tc>
          <w:tcPr>
            <w:tcW w:w="376" w:type="pct"/>
            <w:tcBorders>
              <w:top w:val="nil"/>
            </w:tcBorders>
            <w:shd w:val="clear" w:color="auto" w:fill="FFFFFF" w:themeFill="background1"/>
            <w:noWrap/>
            <w:hideMark/>
          </w:tcPr>
          <w:p w14:paraId="6760A4F0"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19,2</w:t>
            </w:r>
          </w:p>
        </w:tc>
        <w:tc>
          <w:tcPr>
            <w:tcW w:w="376" w:type="pct"/>
            <w:tcBorders>
              <w:top w:val="nil"/>
            </w:tcBorders>
            <w:shd w:val="clear" w:color="auto" w:fill="FFFFFF" w:themeFill="background1"/>
            <w:noWrap/>
            <w:hideMark/>
          </w:tcPr>
          <w:p w14:paraId="01A47D75"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0,7</w:t>
            </w:r>
          </w:p>
        </w:tc>
        <w:tc>
          <w:tcPr>
            <w:tcW w:w="376" w:type="pct"/>
            <w:tcBorders>
              <w:top w:val="nil"/>
            </w:tcBorders>
            <w:shd w:val="clear" w:color="auto" w:fill="FFFFFF" w:themeFill="background1"/>
            <w:noWrap/>
            <w:hideMark/>
          </w:tcPr>
          <w:p w14:paraId="1E6DA50F"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18,0</w:t>
            </w:r>
          </w:p>
        </w:tc>
        <w:tc>
          <w:tcPr>
            <w:tcW w:w="376" w:type="pct"/>
            <w:tcBorders>
              <w:top w:val="nil"/>
            </w:tcBorders>
            <w:shd w:val="clear" w:color="auto" w:fill="FFFFFF" w:themeFill="background1"/>
            <w:noWrap/>
            <w:hideMark/>
          </w:tcPr>
          <w:p w14:paraId="6F61E2BA" w14:textId="77777777" w:rsidR="00F64DB2" w:rsidRPr="00F92706"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0,4</w:t>
            </w:r>
          </w:p>
        </w:tc>
        <w:tc>
          <w:tcPr>
            <w:tcW w:w="314" w:type="pct"/>
            <w:tcBorders>
              <w:top w:val="nil"/>
            </w:tcBorders>
            <w:shd w:val="clear" w:color="auto" w:fill="FFFFFF" w:themeFill="background1"/>
            <w:noWrap/>
            <w:hideMark/>
          </w:tcPr>
          <w:p w14:paraId="1943DA58" w14:textId="77777777" w:rsidR="00F64DB2" w:rsidRPr="00F92706" w:rsidRDefault="00F64DB2" w:rsidP="00D73C9A">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0,1</w:t>
            </w:r>
          </w:p>
        </w:tc>
      </w:tr>
      <w:tr w:rsidR="00F64DB2" w:rsidRPr="00F146A7" w14:paraId="71ADA8AB"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5FF3C223"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Нето буџетске позајмице</w:t>
            </w:r>
          </w:p>
        </w:tc>
        <w:tc>
          <w:tcPr>
            <w:tcW w:w="360" w:type="pct"/>
            <w:tcBorders>
              <w:top w:val="nil"/>
            </w:tcBorders>
            <w:shd w:val="clear" w:color="auto" w:fill="FFFFFF" w:themeFill="background1"/>
            <w:noWrap/>
            <w:hideMark/>
          </w:tcPr>
          <w:p w14:paraId="256B945B"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46,4</w:t>
            </w:r>
          </w:p>
        </w:tc>
        <w:tc>
          <w:tcPr>
            <w:tcW w:w="360" w:type="pct"/>
            <w:tcBorders>
              <w:top w:val="nil"/>
            </w:tcBorders>
            <w:shd w:val="clear" w:color="auto" w:fill="FFFFFF" w:themeFill="background1"/>
            <w:noWrap/>
            <w:hideMark/>
          </w:tcPr>
          <w:p w14:paraId="2B272028"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44,3</w:t>
            </w:r>
          </w:p>
        </w:tc>
        <w:tc>
          <w:tcPr>
            <w:tcW w:w="364" w:type="pct"/>
            <w:tcBorders>
              <w:top w:val="nil"/>
            </w:tcBorders>
            <w:shd w:val="clear" w:color="auto" w:fill="FFFFFF" w:themeFill="background1"/>
            <w:noWrap/>
          </w:tcPr>
          <w:p w14:paraId="170961BF"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2,1</w:t>
            </w:r>
          </w:p>
        </w:tc>
        <w:tc>
          <w:tcPr>
            <w:tcW w:w="352" w:type="pct"/>
            <w:tcBorders>
              <w:top w:val="nil"/>
            </w:tcBorders>
            <w:shd w:val="clear" w:color="auto" w:fill="FFFFFF" w:themeFill="background1"/>
            <w:noWrap/>
            <w:hideMark/>
          </w:tcPr>
          <w:p w14:paraId="5DF78D3D"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2,1</w:t>
            </w:r>
          </w:p>
        </w:tc>
        <w:tc>
          <w:tcPr>
            <w:tcW w:w="376" w:type="pct"/>
            <w:tcBorders>
              <w:top w:val="nil"/>
            </w:tcBorders>
            <w:shd w:val="clear" w:color="auto" w:fill="FFFFFF" w:themeFill="background1"/>
            <w:noWrap/>
            <w:hideMark/>
          </w:tcPr>
          <w:p w14:paraId="7CF2477B"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75AD3038"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101FBBF9"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2C7AFB07"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04FCFE88" w14:textId="77777777" w:rsidR="00F64DB2" w:rsidRPr="00F92706"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78BD69B7" w14:textId="77777777" w:rsidR="00F64DB2" w:rsidRPr="00F92706"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hideMark/>
          </w:tcPr>
          <w:p w14:paraId="158D882B" w14:textId="77777777" w:rsidR="00F64DB2" w:rsidRPr="00F92706" w:rsidRDefault="00F64DB2" w:rsidP="00D73C9A">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F146A7" w14:paraId="316D7FC4"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2E2C9A2A"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 xml:space="preserve">    Активиране гаранције</w:t>
            </w:r>
          </w:p>
        </w:tc>
        <w:tc>
          <w:tcPr>
            <w:tcW w:w="360" w:type="pct"/>
            <w:tcBorders>
              <w:top w:val="nil"/>
            </w:tcBorders>
            <w:shd w:val="clear" w:color="auto" w:fill="FFFFFF" w:themeFill="background1"/>
            <w:noWrap/>
            <w:hideMark/>
          </w:tcPr>
          <w:p w14:paraId="0023026C"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29,5</w:t>
            </w:r>
          </w:p>
        </w:tc>
        <w:tc>
          <w:tcPr>
            <w:tcW w:w="360" w:type="pct"/>
            <w:tcBorders>
              <w:top w:val="nil"/>
            </w:tcBorders>
            <w:shd w:val="clear" w:color="auto" w:fill="FFFFFF" w:themeFill="background1"/>
            <w:noWrap/>
            <w:hideMark/>
          </w:tcPr>
          <w:p w14:paraId="5A208F72"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29,5</w:t>
            </w:r>
          </w:p>
        </w:tc>
        <w:tc>
          <w:tcPr>
            <w:tcW w:w="364" w:type="pct"/>
            <w:tcBorders>
              <w:top w:val="nil"/>
            </w:tcBorders>
            <w:shd w:val="clear" w:color="auto" w:fill="FFFFFF" w:themeFill="background1"/>
            <w:noWrap/>
          </w:tcPr>
          <w:p w14:paraId="2E2BFAAF"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hideMark/>
          </w:tcPr>
          <w:p w14:paraId="683CCD82"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7FA4EE6E"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755BFBFA"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64DE9623"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4A32A158"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136484A3"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124128A0"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hideMark/>
          </w:tcPr>
          <w:p w14:paraId="68C03992" w14:textId="77777777" w:rsidR="00F64DB2" w:rsidRPr="00F92706"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F64DB2" w:rsidRPr="00DE058F" w14:paraId="0C2AB172"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BFBFBF" w:themeFill="background1" w:themeFillShade="BF"/>
            <w:noWrap/>
            <w:vAlign w:val="bottom"/>
            <w:hideMark/>
          </w:tcPr>
          <w:p w14:paraId="50CB40FE" w14:textId="77777777" w:rsidR="00F64DB2" w:rsidRPr="00DE058F" w:rsidRDefault="00F64DB2" w:rsidP="00D73C9A">
            <w:pPr>
              <w:tabs>
                <w:tab w:val="center" w:pos="4680"/>
                <w:tab w:val="right" w:pos="9360"/>
              </w:tabs>
              <w:rPr>
                <w:rFonts w:cstheme="minorHAnsi"/>
                <w:color w:val="002060"/>
                <w:sz w:val="14"/>
                <w:szCs w:val="14"/>
                <w:lang w:val="sr-Cyrl-CS"/>
              </w:rPr>
            </w:pPr>
            <w:r w:rsidRPr="00DE058F">
              <w:rPr>
                <w:rFonts w:cstheme="minorHAnsi"/>
                <w:color w:val="002060"/>
                <w:sz w:val="14"/>
                <w:szCs w:val="14"/>
                <w:lang w:val="sr-Cyrl-CS"/>
              </w:rPr>
              <w:t>Фискални резултат искљ. трансфере</w:t>
            </w:r>
          </w:p>
        </w:tc>
        <w:tc>
          <w:tcPr>
            <w:tcW w:w="360" w:type="pct"/>
            <w:tcBorders>
              <w:top w:val="nil"/>
            </w:tcBorders>
            <w:shd w:val="clear" w:color="auto" w:fill="BFBFBF" w:themeFill="background1" w:themeFillShade="BF"/>
            <w:noWrap/>
            <w:hideMark/>
          </w:tcPr>
          <w:p w14:paraId="2089325B"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-197,0</w:t>
            </w:r>
          </w:p>
        </w:tc>
        <w:tc>
          <w:tcPr>
            <w:tcW w:w="360" w:type="pct"/>
            <w:tcBorders>
              <w:top w:val="nil"/>
            </w:tcBorders>
            <w:shd w:val="clear" w:color="auto" w:fill="BFBFBF" w:themeFill="background1" w:themeFillShade="BF"/>
            <w:noWrap/>
            <w:hideMark/>
          </w:tcPr>
          <w:p w14:paraId="4A5D9DFB"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221,6</w:t>
            </w:r>
          </w:p>
        </w:tc>
        <w:tc>
          <w:tcPr>
            <w:tcW w:w="364" w:type="pct"/>
            <w:tcBorders>
              <w:top w:val="nil"/>
            </w:tcBorders>
            <w:shd w:val="clear" w:color="auto" w:fill="BFBFBF" w:themeFill="background1" w:themeFillShade="BF"/>
            <w:noWrap/>
            <w:hideMark/>
          </w:tcPr>
          <w:p w14:paraId="0482869F"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-75,9</w:t>
            </w:r>
          </w:p>
        </w:tc>
        <w:tc>
          <w:tcPr>
            <w:tcW w:w="352" w:type="pct"/>
            <w:tcBorders>
              <w:top w:val="nil"/>
            </w:tcBorders>
            <w:shd w:val="clear" w:color="auto" w:fill="BFBFBF" w:themeFill="background1" w:themeFillShade="BF"/>
            <w:noWrap/>
            <w:hideMark/>
          </w:tcPr>
          <w:p w14:paraId="1E732C79"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-50,7</w:t>
            </w:r>
          </w:p>
        </w:tc>
        <w:tc>
          <w:tcPr>
            <w:tcW w:w="376" w:type="pct"/>
            <w:tcBorders>
              <w:top w:val="nil"/>
            </w:tcBorders>
            <w:shd w:val="clear" w:color="auto" w:fill="BFBFBF" w:themeFill="background1" w:themeFillShade="BF"/>
            <w:noWrap/>
            <w:hideMark/>
          </w:tcPr>
          <w:p w14:paraId="437DE5F7"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-25,3</w:t>
            </w:r>
          </w:p>
        </w:tc>
        <w:tc>
          <w:tcPr>
            <w:tcW w:w="357" w:type="pct"/>
            <w:tcBorders>
              <w:top w:val="nil"/>
            </w:tcBorders>
            <w:shd w:val="clear" w:color="auto" w:fill="BFBFBF" w:themeFill="background1" w:themeFillShade="BF"/>
            <w:noWrap/>
            <w:hideMark/>
          </w:tcPr>
          <w:p w14:paraId="4FEBFD8F"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-18,7</w:t>
            </w:r>
          </w:p>
        </w:tc>
        <w:tc>
          <w:tcPr>
            <w:tcW w:w="376" w:type="pct"/>
            <w:tcBorders>
              <w:top w:val="nil"/>
            </w:tcBorders>
            <w:shd w:val="clear" w:color="auto" w:fill="BFBFBF" w:themeFill="background1" w:themeFillShade="BF"/>
            <w:noWrap/>
            <w:hideMark/>
          </w:tcPr>
          <w:p w14:paraId="2B6B4612"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-323,9</w:t>
            </w:r>
          </w:p>
        </w:tc>
        <w:tc>
          <w:tcPr>
            <w:tcW w:w="376" w:type="pct"/>
            <w:tcBorders>
              <w:top w:val="nil"/>
            </w:tcBorders>
            <w:shd w:val="clear" w:color="auto" w:fill="BFBFBF" w:themeFill="background1" w:themeFillShade="BF"/>
            <w:noWrap/>
            <w:hideMark/>
          </w:tcPr>
          <w:p w14:paraId="4D6BE253"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-151,5</w:t>
            </w:r>
          </w:p>
        </w:tc>
        <w:tc>
          <w:tcPr>
            <w:tcW w:w="376" w:type="pct"/>
            <w:tcBorders>
              <w:top w:val="nil"/>
            </w:tcBorders>
            <w:shd w:val="clear" w:color="auto" w:fill="BFBFBF" w:themeFill="background1" w:themeFillShade="BF"/>
            <w:noWrap/>
            <w:hideMark/>
          </w:tcPr>
          <w:p w14:paraId="3ED6766D"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-170,2</w:t>
            </w:r>
          </w:p>
        </w:tc>
        <w:tc>
          <w:tcPr>
            <w:tcW w:w="376" w:type="pct"/>
            <w:tcBorders>
              <w:top w:val="nil"/>
            </w:tcBorders>
            <w:shd w:val="clear" w:color="auto" w:fill="BFBFBF" w:themeFill="background1" w:themeFillShade="BF"/>
            <w:noWrap/>
            <w:hideMark/>
          </w:tcPr>
          <w:p w14:paraId="4489F922"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2,0</w:t>
            </w:r>
          </w:p>
        </w:tc>
        <w:tc>
          <w:tcPr>
            <w:tcW w:w="314" w:type="pct"/>
            <w:tcBorders>
              <w:top w:val="nil"/>
            </w:tcBorders>
            <w:shd w:val="clear" w:color="auto" w:fill="BFBFBF" w:themeFill="background1" w:themeFillShade="BF"/>
            <w:noWrap/>
            <w:hideMark/>
          </w:tcPr>
          <w:p w14:paraId="7C275667"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-4,2</w:t>
            </w:r>
          </w:p>
        </w:tc>
      </w:tr>
      <w:tr w:rsidR="00F64DB2" w:rsidRPr="00DE058F" w14:paraId="524CC622"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5CE617FD"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Трансфери од других нивоа власти</w:t>
            </w:r>
          </w:p>
        </w:tc>
        <w:tc>
          <w:tcPr>
            <w:tcW w:w="360" w:type="pct"/>
            <w:tcBorders>
              <w:top w:val="nil"/>
            </w:tcBorders>
            <w:shd w:val="clear" w:color="auto" w:fill="FFFFFF" w:themeFill="background1"/>
            <w:noWrap/>
            <w:hideMark/>
          </w:tcPr>
          <w:p w14:paraId="023319E2"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589,9</w:t>
            </w:r>
          </w:p>
        </w:tc>
        <w:tc>
          <w:tcPr>
            <w:tcW w:w="360" w:type="pct"/>
            <w:tcBorders>
              <w:top w:val="nil"/>
            </w:tcBorders>
            <w:shd w:val="clear" w:color="auto" w:fill="FFFFFF" w:themeFill="background1"/>
            <w:noWrap/>
            <w:hideMark/>
          </w:tcPr>
          <w:p w14:paraId="7D74A5D3"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23,2</w:t>
            </w:r>
          </w:p>
        </w:tc>
        <w:tc>
          <w:tcPr>
            <w:tcW w:w="364" w:type="pct"/>
            <w:tcBorders>
              <w:top w:val="nil"/>
            </w:tcBorders>
            <w:shd w:val="clear" w:color="auto" w:fill="FFFFFF" w:themeFill="background1"/>
            <w:noWrap/>
            <w:hideMark/>
          </w:tcPr>
          <w:p w14:paraId="7F0A8EBB"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116,0</w:t>
            </w:r>
          </w:p>
        </w:tc>
        <w:tc>
          <w:tcPr>
            <w:tcW w:w="352" w:type="pct"/>
            <w:tcBorders>
              <w:top w:val="nil"/>
            </w:tcBorders>
            <w:shd w:val="clear" w:color="auto" w:fill="FFFFFF" w:themeFill="background1"/>
            <w:noWrap/>
            <w:hideMark/>
          </w:tcPr>
          <w:p w14:paraId="53128F3F"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77,2</w:t>
            </w:r>
          </w:p>
        </w:tc>
        <w:tc>
          <w:tcPr>
            <w:tcW w:w="376" w:type="pct"/>
            <w:tcBorders>
              <w:top w:val="nil"/>
            </w:tcBorders>
            <w:shd w:val="clear" w:color="auto" w:fill="FFFFFF" w:themeFill="background1"/>
            <w:noWrap/>
            <w:hideMark/>
          </w:tcPr>
          <w:p w14:paraId="0A0E52B6"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38,8</w:t>
            </w:r>
          </w:p>
        </w:tc>
        <w:tc>
          <w:tcPr>
            <w:tcW w:w="357" w:type="pct"/>
            <w:tcBorders>
              <w:top w:val="nil"/>
            </w:tcBorders>
            <w:shd w:val="clear" w:color="auto" w:fill="FFFFFF" w:themeFill="background1"/>
            <w:noWrap/>
            <w:hideMark/>
          </w:tcPr>
          <w:p w14:paraId="6287B607"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18,7</w:t>
            </w:r>
          </w:p>
        </w:tc>
        <w:tc>
          <w:tcPr>
            <w:tcW w:w="376" w:type="pct"/>
            <w:tcBorders>
              <w:top w:val="nil"/>
            </w:tcBorders>
            <w:shd w:val="clear" w:color="auto" w:fill="FFFFFF" w:themeFill="background1"/>
            <w:noWrap/>
            <w:hideMark/>
          </w:tcPr>
          <w:p w14:paraId="0B5F274D"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432,1</w:t>
            </w:r>
          </w:p>
        </w:tc>
        <w:tc>
          <w:tcPr>
            <w:tcW w:w="376" w:type="pct"/>
            <w:tcBorders>
              <w:top w:val="nil"/>
            </w:tcBorders>
            <w:shd w:val="clear" w:color="auto" w:fill="FFFFFF" w:themeFill="background1"/>
            <w:noWrap/>
            <w:hideMark/>
          </w:tcPr>
          <w:p w14:paraId="5C737902"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247,9</w:t>
            </w:r>
          </w:p>
        </w:tc>
        <w:tc>
          <w:tcPr>
            <w:tcW w:w="376" w:type="pct"/>
            <w:tcBorders>
              <w:top w:val="nil"/>
            </w:tcBorders>
            <w:shd w:val="clear" w:color="auto" w:fill="FFFFFF" w:themeFill="background1"/>
            <w:noWrap/>
            <w:hideMark/>
          </w:tcPr>
          <w:p w14:paraId="54F618DE"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176,7</w:t>
            </w:r>
          </w:p>
        </w:tc>
        <w:tc>
          <w:tcPr>
            <w:tcW w:w="376" w:type="pct"/>
            <w:tcBorders>
              <w:top w:val="nil"/>
            </w:tcBorders>
            <w:shd w:val="clear" w:color="auto" w:fill="FFFFFF" w:themeFill="background1"/>
            <w:noWrap/>
            <w:hideMark/>
          </w:tcPr>
          <w:p w14:paraId="0024E002"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3,4</w:t>
            </w:r>
          </w:p>
        </w:tc>
        <w:tc>
          <w:tcPr>
            <w:tcW w:w="314" w:type="pct"/>
            <w:tcBorders>
              <w:top w:val="nil"/>
            </w:tcBorders>
            <w:shd w:val="clear" w:color="auto" w:fill="FFFFFF" w:themeFill="background1"/>
            <w:noWrap/>
            <w:hideMark/>
          </w:tcPr>
          <w:p w14:paraId="21B25AA9"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4,2</w:t>
            </w:r>
          </w:p>
        </w:tc>
      </w:tr>
      <w:tr w:rsidR="00F64DB2" w:rsidRPr="00DE058F" w14:paraId="4EFF7B4D"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6659EC2D"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Буџет Републике</w:t>
            </w:r>
          </w:p>
        </w:tc>
        <w:tc>
          <w:tcPr>
            <w:tcW w:w="360" w:type="pct"/>
            <w:tcBorders>
              <w:top w:val="nil"/>
            </w:tcBorders>
            <w:shd w:val="clear" w:color="auto" w:fill="FFFFFF" w:themeFill="background1"/>
            <w:noWrap/>
            <w:hideMark/>
          </w:tcPr>
          <w:p w14:paraId="22C674C8"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441,7</w:t>
            </w:r>
          </w:p>
        </w:tc>
        <w:tc>
          <w:tcPr>
            <w:tcW w:w="360" w:type="pct"/>
            <w:tcBorders>
              <w:top w:val="nil"/>
            </w:tcBorders>
            <w:shd w:val="clear" w:color="auto" w:fill="FFFFFF" w:themeFill="background1"/>
            <w:noWrap/>
            <w:hideMark/>
          </w:tcPr>
          <w:p w14:paraId="327AEEDB"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64" w:type="pct"/>
            <w:tcBorders>
              <w:top w:val="nil"/>
            </w:tcBorders>
            <w:shd w:val="clear" w:color="auto" w:fill="FFFFFF" w:themeFill="background1"/>
            <w:noWrap/>
            <w:hideMark/>
          </w:tcPr>
          <w:p w14:paraId="312A0500"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108,0</w:t>
            </w:r>
          </w:p>
        </w:tc>
        <w:tc>
          <w:tcPr>
            <w:tcW w:w="352" w:type="pct"/>
            <w:tcBorders>
              <w:top w:val="nil"/>
            </w:tcBorders>
            <w:shd w:val="clear" w:color="auto" w:fill="FFFFFF" w:themeFill="background1"/>
            <w:noWrap/>
            <w:hideMark/>
          </w:tcPr>
          <w:p w14:paraId="340EA8BE"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69,2</w:t>
            </w:r>
          </w:p>
        </w:tc>
        <w:tc>
          <w:tcPr>
            <w:tcW w:w="376" w:type="pct"/>
            <w:tcBorders>
              <w:top w:val="nil"/>
            </w:tcBorders>
            <w:shd w:val="clear" w:color="auto" w:fill="FFFFFF" w:themeFill="background1"/>
            <w:noWrap/>
            <w:hideMark/>
          </w:tcPr>
          <w:p w14:paraId="316C4F66"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38,8</w:t>
            </w:r>
          </w:p>
        </w:tc>
        <w:tc>
          <w:tcPr>
            <w:tcW w:w="357" w:type="pct"/>
            <w:tcBorders>
              <w:top w:val="nil"/>
            </w:tcBorders>
            <w:shd w:val="clear" w:color="auto" w:fill="FFFFFF" w:themeFill="background1"/>
            <w:noWrap/>
            <w:hideMark/>
          </w:tcPr>
          <w:p w14:paraId="232ED5BF"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18,7</w:t>
            </w:r>
          </w:p>
        </w:tc>
        <w:tc>
          <w:tcPr>
            <w:tcW w:w="376" w:type="pct"/>
            <w:tcBorders>
              <w:top w:val="nil"/>
            </w:tcBorders>
            <w:shd w:val="clear" w:color="auto" w:fill="FFFFFF" w:themeFill="background1"/>
            <w:noWrap/>
            <w:hideMark/>
          </w:tcPr>
          <w:p w14:paraId="56CAC41F"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315,0</w:t>
            </w:r>
          </w:p>
        </w:tc>
        <w:tc>
          <w:tcPr>
            <w:tcW w:w="376" w:type="pct"/>
            <w:tcBorders>
              <w:top w:val="nil"/>
            </w:tcBorders>
            <w:shd w:val="clear" w:color="auto" w:fill="FFFFFF" w:themeFill="background1"/>
            <w:noWrap/>
            <w:hideMark/>
          </w:tcPr>
          <w:p w14:paraId="3BD2BAE5"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237,6</w:t>
            </w:r>
          </w:p>
        </w:tc>
        <w:tc>
          <w:tcPr>
            <w:tcW w:w="376" w:type="pct"/>
            <w:tcBorders>
              <w:top w:val="nil"/>
            </w:tcBorders>
            <w:shd w:val="clear" w:color="auto" w:fill="FFFFFF" w:themeFill="background1"/>
            <w:noWrap/>
            <w:hideMark/>
          </w:tcPr>
          <w:p w14:paraId="1E58B0AB"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73,5</w:t>
            </w:r>
          </w:p>
        </w:tc>
        <w:tc>
          <w:tcPr>
            <w:tcW w:w="376" w:type="pct"/>
            <w:tcBorders>
              <w:top w:val="nil"/>
            </w:tcBorders>
            <w:shd w:val="clear" w:color="auto" w:fill="FFFFFF" w:themeFill="background1"/>
            <w:noWrap/>
            <w:hideMark/>
          </w:tcPr>
          <w:p w14:paraId="4B7E62EB"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3,4</w:t>
            </w:r>
          </w:p>
        </w:tc>
        <w:tc>
          <w:tcPr>
            <w:tcW w:w="314" w:type="pct"/>
            <w:tcBorders>
              <w:top w:val="nil"/>
            </w:tcBorders>
            <w:shd w:val="clear" w:color="auto" w:fill="FFFFFF" w:themeFill="background1"/>
            <w:noWrap/>
            <w:hideMark/>
          </w:tcPr>
          <w:p w14:paraId="4AA5A032"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0,5</w:t>
            </w:r>
          </w:p>
        </w:tc>
      </w:tr>
      <w:tr w:rsidR="00F64DB2" w:rsidRPr="00DE058F" w14:paraId="56F583E0"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A2A0A58"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Градови и општине</w:t>
            </w:r>
          </w:p>
        </w:tc>
        <w:tc>
          <w:tcPr>
            <w:tcW w:w="360" w:type="pct"/>
            <w:tcBorders>
              <w:top w:val="nil"/>
            </w:tcBorders>
            <w:shd w:val="clear" w:color="auto" w:fill="FFFFFF" w:themeFill="background1"/>
            <w:noWrap/>
          </w:tcPr>
          <w:p w14:paraId="79DBB5D8"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26,6</w:t>
            </w:r>
          </w:p>
        </w:tc>
        <w:tc>
          <w:tcPr>
            <w:tcW w:w="360" w:type="pct"/>
            <w:tcBorders>
              <w:top w:val="nil"/>
            </w:tcBorders>
            <w:shd w:val="clear" w:color="auto" w:fill="FFFFFF" w:themeFill="background1"/>
            <w:noWrap/>
            <w:hideMark/>
          </w:tcPr>
          <w:p w14:paraId="7CDC248A"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23,2</w:t>
            </w:r>
          </w:p>
        </w:tc>
        <w:tc>
          <w:tcPr>
            <w:tcW w:w="364" w:type="pct"/>
            <w:tcBorders>
              <w:top w:val="nil"/>
            </w:tcBorders>
            <w:shd w:val="clear" w:color="auto" w:fill="FFFFFF" w:themeFill="background1"/>
            <w:noWrap/>
            <w:hideMark/>
          </w:tcPr>
          <w:p w14:paraId="2472B2C1"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hideMark/>
          </w:tcPr>
          <w:p w14:paraId="5F4049E3"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405F7703"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296576FF"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3492E45D"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3,4</w:t>
            </w:r>
          </w:p>
        </w:tc>
        <w:tc>
          <w:tcPr>
            <w:tcW w:w="376" w:type="pct"/>
            <w:tcBorders>
              <w:top w:val="nil"/>
            </w:tcBorders>
            <w:shd w:val="clear" w:color="auto" w:fill="FFFFFF" w:themeFill="background1"/>
            <w:noWrap/>
            <w:hideMark/>
          </w:tcPr>
          <w:p w14:paraId="024F8175"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3F26056C"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3,4</w:t>
            </w:r>
          </w:p>
        </w:tc>
        <w:tc>
          <w:tcPr>
            <w:tcW w:w="376" w:type="pct"/>
            <w:tcBorders>
              <w:top w:val="nil"/>
            </w:tcBorders>
            <w:shd w:val="clear" w:color="auto" w:fill="FFFFFF" w:themeFill="background1"/>
            <w:noWrap/>
            <w:hideMark/>
          </w:tcPr>
          <w:p w14:paraId="30AAE89D"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hideMark/>
          </w:tcPr>
          <w:p w14:paraId="27AA9A7D"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F64DB2" w:rsidRPr="00DE058F" w14:paraId="11B37429"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23D119BE"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AП Војводина</w:t>
            </w:r>
          </w:p>
        </w:tc>
        <w:tc>
          <w:tcPr>
            <w:tcW w:w="360" w:type="pct"/>
            <w:tcBorders>
              <w:top w:val="nil"/>
            </w:tcBorders>
            <w:shd w:val="clear" w:color="auto" w:fill="FFFFFF" w:themeFill="background1"/>
            <w:noWrap/>
          </w:tcPr>
          <w:p w14:paraId="27D5610C"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13,5</w:t>
            </w:r>
          </w:p>
        </w:tc>
        <w:tc>
          <w:tcPr>
            <w:tcW w:w="360" w:type="pct"/>
            <w:tcBorders>
              <w:top w:val="nil"/>
            </w:tcBorders>
            <w:shd w:val="clear" w:color="auto" w:fill="FFFFFF" w:themeFill="background1"/>
            <w:noWrap/>
            <w:hideMark/>
          </w:tcPr>
          <w:p w14:paraId="3FF8C6BA"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64" w:type="pct"/>
            <w:tcBorders>
              <w:top w:val="nil"/>
            </w:tcBorders>
            <w:shd w:val="clear" w:color="auto" w:fill="FFFFFF" w:themeFill="background1"/>
            <w:noWrap/>
            <w:hideMark/>
          </w:tcPr>
          <w:p w14:paraId="45EC9E58"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8,0</w:t>
            </w:r>
          </w:p>
        </w:tc>
        <w:tc>
          <w:tcPr>
            <w:tcW w:w="352" w:type="pct"/>
            <w:tcBorders>
              <w:top w:val="nil"/>
            </w:tcBorders>
            <w:shd w:val="clear" w:color="auto" w:fill="FFFFFF" w:themeFill="background1"/>
            <w:noWrap/>
            <w:hideMark/>
          </w:tcPr>
          <w:p w14:paraId="21836878"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8,0</w:t>
            </w:r>
          </w:p>
        </w:tc>
        <w:tc>
          <w:tcPr>
            <w:tcW w:w="376" w:type="pct"/>
            <w:tcBorders>
              <w:top w:val="nil"/>
            </w:tcBorders>
            <w:shd w:val="clear" w:color="auto" w:fill="FFFFFF" w:themeFill="background1"/>
            <w:noWrap/>
            <w:hideMark/>
          </w:tcPr>
          <w:p w14:paraId="494B768B"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6F0FA01D"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457E6EC6"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5,5</w:t>
            </w:r>
          </w:p>
        </w:tc>
        <w:tc>
          <w:tcPr>
            <w:tcW w:w="376" w:type="pct"/>
            <w:tcBorders>
              <w:top w:val="nil"/>
            </w:tcBorders>
            <w:shd w:val="clear" w:color="auto" w:fill="FFFFFF" w:themeFill="background1"/>
            <w:noWrap/>
            <w:hideMark/>
          </w:tcPr>
          <w:p w14:paraId="1E6C6DAF"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40B89E8D"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5,5</w:t>
            </w:r>
          </w:p>
        </w:tc>
        <w:tc>
          <w:tcPr>
            <w:tcW w:w="376" w:type="pct"/>
            <w:tcBorders>
              <w:top w:val="nil"/>
            </w:tcBorders>
            <w:shd w:val="clear" w:color="auto" w:fill="FFFFFF" w:themeFill="background1"/>
            <w:noWrap/>
            <w:hideMark/>
          </w:tcPr>
          <w:p w14:paraId="05A7681C"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hideMark/>
          </w:tcPr>
          <w:p w14:paraId="0251A855"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DE058F" w14:paraId="794C9E5E"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2C7C13FA"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Фонд ПИО</w:t>
            </w:r>
          </w:p>
        </w:tc>
        <w:tc>
          <w:tcPr>
            <w:tcW w:w="360" w:type="pct"/>
            <w:tcBorders>
              <w:top w:val="nil"/>
            </w:tcBorders>
            <w:shd w:val="clear" w:color="auto" w:fill="FFFFFF" w:themeFill="background1"/>
            <w:noWrap/>
            <w:hideMark/>
          </w:tcPr>
          <w:p w14:paraId="2F172873"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96,4</w:t>
            </w:r>
          </w:p>
        </w:tc>
        <w:tc>
          <w:tcPr>
            <w:tcW w:w="360" w:type="pct"/>
            <w:tcBorders>
              <w:top w:val="nil"/>
            </w:tcBorders>
            <w:shd w:val="clear" w:color="auto" w:fill="FFFFFF" w:themeFill="background1"/>
            <w:noWrap/>
            <w:hideMark/>
          </w:tcPr>
          <w:p w14:paraId="26779A52"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64" w:type="pct"/>
            <w:tcBorders>
              <w:top w:val="nil"/>
            </w:tcBorders>
            <w:shd w:val="clear" w:color="auto" w:fill="FFFFFF" w:themeFill="background1"/>
            <w:noWrap/>
            <w:hideMark/>
          </w:tcPr>
          <w:p w14:paraId="55680DC2"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hideMark/>
          </w:tcPr>
          <w:p w14:paraId="13E4C0BE"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49C2F6C4"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57818A74"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1FA96866"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96,4</w:t>
            </w:r>
          </w:p>
        </w:tc>
        <w:tc>
          <w:tcPr>
            <w:tcW w:w="376" w:type="pct"/>
            <w:tcBorders>
              <w:top w:val="nil"/>
            </w:tcBorders>
            <w:shd w:val="clear" w:color="auto" w:fill="FFFFFF" w:themeFill="background1"/>
            <w:noWrap/>
          </w:tcPr>
          <w:p w14:paraId="4116C5E1"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21B224C1"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92,7</w:t>
            </w:r>
          </w:p>
        </w:tc>
        <w:tc>
          <w:tcPr>
            <w:tcW w:w="376" w:type="pct"/>
            <w:tcBorders>
              <w:top w:val="nil"/>
            </w:tcBorders>
            <w:shd w:val="clear" w:color="auto" w:fill="FFFFFF" w:themeFill="background1"/>
            <w:noWrap/>
          </w:tcPr>
          <w:p w14:paraId="4A38B5B0"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hideMark/>
          </w:tcPr>
          <w:p w14:paraId="7C9EF5E7"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3,7</w:t>
            </w:r>
          </w:p>
        </w:tc>
      </w:tr>
      <w:tr w:rsidR="00F64DB2" w:rsidRPr="00DE058F" w14:paraId="16F71AD7"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0B647B4E"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РФЗО</w:t>
            </w:r>
          </w:p>
        </w:tc>
        <w:tc>
          <w:tcPr>
            <w:tcW w:w="360" w:type="pct"/>
            <w:tcBorders>
              <w:top w:val="nil"/>
            </w:tcBorders>
            <w:shd w:val="clear" w:color="auto" w:fill="FFFFFF" w:themeFill="background1"/>
            <w:noWrap/>
            <w:hideMark/>
          </w:tcPr>
          <w:p w14:paraId="28DB1C41"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6,5</w:t>
            </w:r>
          </w:p>
        </w:tc>
        <w:tc>
          <w:tcPr>
            <w:tcW w:w="360" w:type="pct"/>
            <w:tcBorders>
              <w:top w:val="nil"/>
            </w:tcBorders>
            <w:shd w:val="clear" w:color="auto" w:fill="FFFFFF" w:themeFill="background1"/>
            <w:noWrap/>
            <w:hideMark/>
          </w:tcPr>
          <w:p w14:paraId="78D7B6F0"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64" w:type="pct"/>
            <w:tcBorders>
              <w:top w:val="nil"/>
            </w:tcBorders>
            <w:shd w:val="clear" w:color="auto" w:fill="FFFFFF" w:themeFill="background1"/>
            <w:noWrap/>
            <w:hideMark/>
          </w:tcPr>
          <w:p w14:paraId="0692006A"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hideMark/>
          </w:tcPr>
          <w:p w14:paraId="2A26934A"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24ED3AE0"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3BF877AB"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4613C239"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6,5</w:t>
            </w:r>
          </w:p>
        </w:tc>
        <w:tc>
          <w:tcPr>
            <w:tcW w:w="376" w:type="pct"/>
            <w:tcBorders>
              <w:top w:val="nil"/>
            </w:tcBorders>
            <w:shd w:val="clear" w:color="auto" w:fill="FFFFFF" w:themeFill="background1"/>
            <w:noWrap/>
            <w:hideMark/>
          </w:tcPr>
          <w:p w14:paraId="7F0EDC25"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6,5</w:t>
            </w:r>
          </w:p>
        </w:tc>
        <w:tc>
          <w:tcPr>
            <w:tcW w:w="376" w:type="pct"/>
            <w:tcBorders>
              <w:top w:val="nil"/>
            </w:tcBorders>
            <w:shd w:val="clear" w:color="auto" w:fill="FFFFFF" w:themeFill="background1"/>
            <w:noWrap/>
          </w:tcPr>
          <w:p w14:paraId="782076AB"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0,0</w:t>
            </w:r>
          </w:p>
        </w:tc>
        <w:tc>
          <w:tcPr>
            <w:tcW w:w="376" w:type="pct"/>
            <w:tcBorders>
              <w:top w:val="nil"/>
            </w:tcBorders>
            <w:shd w:val="clear" w:color="auto" w:fill="FFFFFF" w:themeFill="background1"/>
            <w:noWrap/>
          </w:tcPr>
          <w:p w14:paraId="10756873"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tcPr>
          <w:p w14:paraId="0334ADAB"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DE058F" w14:paraId="77E45CB7"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20CD79E9"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НСЗ</w:t>
            </w:r>
          </w:p>
        </w:tc>
        <w:tc>
          <w:tcPr>
            <w:tcW w:w="360" w:type="pct"/>
            <w:tcBorders>
              <w:top w:val="nil"/>
            </w:tcBorders>
            <w:shd w:val="clear" w:color="auto" w:fill="FFFFFF" w:themeFill="background1"/>
            <w:noWrap/>
            <w:hideMark/>
          </w:tcPr>
          <w:p w14:paraId="05CA94EC"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5,4</w:t>
            </w:r>
          </w:p>
        </w:tc>
        <w:tc>
          <w:tcPr>
            <w:tcW w:w="360" w:type="pct"/>
            <w:tcBorders>
              <w:top w:val="nil"/>
            </w:tcBorders>
            <w:shd w:val="clear" w:color="auto" w:fill="FFFFFF" w:themeFill="background1"/>
            <w:noWrap/>
            <w:hideMark/>
          </w:tcPr>
          <w:p w14:paraId="47BFDAD4"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64" w:type="pct"/>
            <w:tcBorders>
              <w:top w:val="nil"/>
            </w:tcBorders>
            <w:shd w:val="clear" w:color="auto" w:fill="FFFFFF" w:themeFill="background1"/>
            <w:noWrap/>
            <w:hideMark/>
          </w:tcPr>
          <w:p w14:paraId="263AE097"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hideMark/>
          </w:tcPr>
          <w:p w14:paraId="3BC6D813"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565C14DC"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25993276"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013199FC"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5,4</w:t>
            </w:r>
          </w:p>
        </w:tc>
        <w:tc>
          <w:tcPr>
            <w:tcW w:w="376" w:type="pct"/>
            <w:tcBorders>
              <w:top w:val="nil"/>
            </w:tcBorders>
            <w:shd w:val="clear" w:color="auto" w:fill="FFFFFF" w:themeFill="background1"/>
            <w:noWrap/>
            <w:hideMark/>
          </w:tcPr>
          <w:p w14:paraId="66ED061A"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3,8</w:t>
            </w:r>
          </w:p>
        </w:tc>
        <w:tc>
          <w:tcPr>
            <w:tcW w:w="376" w:type="pct"/>
            <w:tcBorders>
              <w:top w:val="nil"/>
            </w:tcBorders>
            <w:shd w:val="clear" w:color="auto" w:fill="FFFFFF" w:themeFill="background1"/>
            <w:noWrap/>
            <w:hideMark/>
          </w:tcPr>
          <w:p w14:paraId="2E0FFE12"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1,5</w:t>
            </w:r>
          </w:p>
        </w:tc>
        <w:tc>
          <w:tcPr>
            <w:tcW w:w="376" w:type="pct"/>
            <w:tcBorders>
              <w:top w:val="nil"/>
            </w:tcBorders>
            <w:shd w:val="clear" w:color="auto" w:fill="FFFFFF" w:themeFill="background1"/>
            <w:noWrap/>
          </w:tcPr>
          <w:p w14:paraId="3692C9B0"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tcPr>
          <w:p w14:paraId="385033EA"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F64DB2" w:rsidRPr="00DE058F" w14:paraId="0C0158BB"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0EC5C7FA"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Фонд СОВО</w:t>
            </w:r>
          </w:p>
        </w:tc>
        <w:tc>
          <w:tcPr>
            <w:tcW w:w="360" w:type="pct"/>
            <w:tcBorders>
              <w:top w:val="nil"/>
            </w:tcBorders>
            <w:shd w:val="clear" w:color="auto" w:fill="FFFFFF" w:themeFill="background1"/>
            <w:noWrap/>
          </w:tcPr>
          <w:p w14:paraId="54958016"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60" w:type="pct"/>
            <w:tcBorders>
              <w:top w:val="nil"/>
            </w:tcBorders>
            <w:shd w:val="clear" w:color="auto" w:fill="FFFFFF" w:themeFill="background1"/>
            <w:noWrap/>
            <w:hideMark/>
          </w:tcPr>
          <w:p w14:paraId="065FA3AA"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64" w:type="pct"/>
            <w:tcBorders>
              <w:top w:val="nil"/>
            </w:tcBorders>
            <w:shd w:val="clear" w:color="auto" w:fill="FFFFFF" w:themeFill="background1"/>
            <w:noWrap/>
            <w:hideMark/>
          </w:tcPr>
          <w:p w14:paraId="1E1651CE"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hideMark/>
          </w:tcPr>
          <w:p w14:paraId="594D0348"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7A83CAE0"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2D0AFEE5"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19E15310"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743C454E"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473BBFE4"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5A3D5FB9"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tcPr>
          <w:p w14:paraId="7F8E2A7F" w14:textId="77777777" w:rsidR="00F64DB2" w:rsidRPr="0026159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DE058F" w14:paraId="7B353F8E"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2AB5A486"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Остали нивои</w:t>
            </w:r>
          </w:p>
        </w:tc>
        <w:tc>
          <w:tcPr>
            <w:tcW w:w="360" w:type="pct"/>
            <w:tcBorders>
              <w:top w:val="nil"/>
            </w:tcBorders>
            <w:shd w:val="clear" w:color="auto" w:fill="FFFFFF" w:themeFill="background1"/>
            <w:noWrap/>
          </w:tcPr>
          <w:p w14:paraId="15757110"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60" w:type="pct"/>
            <w:tcBorders>
              <w:top w:val="nil"/>
            </w:tcBorders>
            <w:shd w:val="clear" w:color="auto" w:fill="FFFFFF" w:themeFill="background1"/>
            <w:noWrap/>
            <w:hideMark/>
          </w:tcPr>
          <w:p w14:paraId="557F381F"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64" w:type="pct"/>
            <w:tcBorders>
              <w:top w:val="nil"/>
            </w:tcBorders>
            <w:shd w:val="clear" w:color="auto" w:fill="FFFFFF" w:themeFill="background1"/>
            <w:noWrap/>
            <w:hideMark/>
          </w:tcPr>
          <w:p w14:paraId="0C98D7C7"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hideMark/>
          </w:tcPr>
          <w:p w14:paraId="5E9AB0F4"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6F835B4D"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1D5290EF"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038EF353"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1E196A1B"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50085511"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6AB43D0C"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tcPr>
          <w:p w14:paraId="1F96E754" w14:textId="77777777" w:rsidR="00F64DB2" w:rsidRPr="00261597"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F64DB2" w:rsidRPr="009B6B41" w14:paraId="51664A61"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44D413B6"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Трансфери другим нивоима власти</w:t>
            </w:r>
          </w:p>
        </w:tc>
        <w:tc>
          <w:tcPr>
            <w:tcW w:w="360" w:type="pct"/>
            <w:tcBorders>
              <w:top w:val="nil"/>
            </w:tcBorders>
            <w:shd w:val="clear" w:color="auto" w:fill="FFFFFF" w:themeFill="background1"/>
            <w:noWrap/>
            <w:hideMark/>
          </w:tcPr>
          <w:p w14:paraId="170500F7"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589,9</w:t>
            </w:r>
          </w:p>
        </w:tc>
        <w:tc>
          <w:tcPr>
            <w:tcW w:w="360" w:type="pct"/>
            <w:tcBorders>
              <w:top w:val="nil"/>
            </w:tcBorders>
            <w:shd w:val="clear" w:color="auto" w:fill="FFFFFF" w:themeFill="background1"/>
            <w:noWrap/>
            <w:hideMark/>
          </w:tcPr>
          <w:p w14:paraId="3602C106"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441,7</w:t>
            </w:r>
          </w:p>
        </w:tc>
        <w:tc>
          <w:tcPr>
            <w:tcW w:w="364" w:type="pct"/>
            <w:tcBorders>
              <w:top w:val="nil"/>
            </w:tcBorders>
            <w:shd w:val="clear" w:color="auto" w:fill="FFFFFF" w:themeFill="background1"/>
            <w:noWrap/>
            <w:hideMark/>
          </w:tcPr>
          <w:p w14:paraId="22B3CCFC"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40,1</w:t>
            </w:r>
          </w:p>
        </w:tc>
        <w:tc>
          <w:tcPr>
            <w:tcW w:w="352" w:type="pct"/>
            <w:tcBorders>
              <w:top w:val="nil"/>
            </w:tcBorders>
            <w:shd w:val="clear" w:color="auto" w:fill="FFFFFF" w:themeFill="background1"/>
            <w:noWrap/>
            <w:hideMark/>
          </w:tcPr>
          <w:p w14:paraId="66CBB629"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26,6</w:t>
            </w:r>
          </w:p>
        </w:tc>
        <w:tc>
          <w:tcPr>
            <w:tcW w:w="376" w:type="pct"/>
            <w:tcBorders>
              <w:top w:val="nil"/>
            </w:tcBorders>
            <w:shd w:val="clear" w:color="auto" w:fill="FFFFFF" w:themeFill="background1"/>
            <w:noWrap/>
          </w:tcPr>
          <w:p w14:paraId="30184233"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13,5</w:t>
            </w:r>
          </w:p>
        </w:tc>
        <w:tc>
          <w:tcPr>
            <w:tcW w:w="357" w:type="pct"/>
            <w:tcBorders>
              <w:top w:val="nil"/>
            </w:tcBorders>
            <w:shd w:val="clear" w:color="auto" w:fill="FFFFFF" w:themeFill="background1"/>
            <w:noWrap/>
          </w:tcPr>
          <w:p w14:paraId="2DB0694F"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63C4B9D0"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108,2</w:t>
            </w:r>
          </w:p>
        </w:tc>
        <w:tc>
          <w:tcPr>
            <w:tcW w:w="376" w:type="pct"/>
            <w:tcBorders>
              <w:top w:val="nil"/>
            </w:tcBorders>
            <w:shd w:val="clear" w:color="auto" w:fill="FFFFFF" w:themeFill="background1"/>
            <w:noWrap/>
            <w:hideMark/>
          </w:tcPr>
          <w:p w14:paraId="0D1950A9"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96,4</w:t>
            </w:r>
          </w:p>
        </w:tc>
        <w:tc>
          <w:tcPr>
            <w:tcW w:w="376" w:type="pct"/>
            <w:tcBorders>
              <w:top w:val="nil"/>
            </w:tcBorders>
            <w:shd w:val="clear" w:color="auto" w:fill="FFFFFF" w:themeFill="background1"/>
            <w:noWrap/>
            <w:hideMark/>
          </w:tcPr>
          <w:p w14:paraId="1F380CAF"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6,5</w:t>
            </w:r>
          </w:p>
        </w:tc>
        <w:tc>
          <w:tcPr>
            <w:tcW w:w="376" w:type="pct"/>
            <w:tcBorders>
              <w:top w:val="nil"/>
            </w:tcBorders>
            <w:shd w:val="clear" w:color="auto" w:fill="FFFFFF" w:themeFill="background1"/>
            <w:noWrap/>
            <w:hideMark/>
          </w:tcPr>
          <w:p w14:paraId="444B4C46"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5,4</w:t>
            </w:r>
          </w:p>
        </w:tc>
        <w:tc>
          <w:tcPr>
            <w:tcW w:w="314" w:type="pct"/>
            <w:tcBorders>
              <w:top w:val="nil"/>
            </w:tcBorders>
            <w:shd w:val="clear" w:color="auto" w:fill="FFFFFF" w:themeFill="background1"/>
            <w:noWrap/>
          </w:tcPr>
          <w:p w14:paraId="17B9E3D6"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9B6B41" w14:paraId="325B22F8"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5C404992"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Буџет Републике</w:t>
            </w:r>
          </w:p>
        </w:tc>
        <w:tc>
          <w:tcPr>
            <w:tcW w:w="360" w:type="pct"/>
            <w:tcBorders>
              <w:top w:val="nil"/>
            </w:tcBorders>
            <w:shd w:val="clear" w:color="auto" w:fill="FFFFFF" w:themeFill="background1"/>
            <w:noWrap/>
            <w:hideMark/>
          </w:tcPr>
          <w:p w14:paraId="29535A2E"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23,2</w:t>
            </w:r>
          </w:p>
        </w:tc>
        <w:tc>
          <w:tcPr>
            <w:tcW w:w="360" w:type="pct"/>
            <w:tcBorders>
              <w:top w:val="nil"/>
            </w:tcBorders>
            <w:shd w:val="clear" w:color="auto" w:fill="FFFFFF" w:themeFill="background1"/>
            <w:noWrap/>
            <w:hideMark/>
          </w:tcPr>
          <w:p w14:paraId="7DB75F03"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64" w:type="pct"/>
            <w:tcBorders>
              <w:top w:val="nil"/>
            </w:tcBorders>
            <w:shd w:val="clear" w:color="auto" w:fill="FFFFFF" w:themeFill="background1"/>
            <w:noWrap/>
            <w:hideMark/>
          </w:tcPr>
          <w:p w14:paraId="7EC50127"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23,2</w:t>
            </w:r>
          </w:p>
        </w:tc>
        <w:tc>
          <w:tcPr>
            <w:tcW w:w="352" w:type="pct"/>
            <w:tcBorders>
              <w:top w:val="nil"/>
            </w:tcBorders>
            <w:shd w:val="clear" w:color="auto" w:fill="FFFFFF" w:themeFill="background1"/>
            <w:noWrap/>
            <w:hideMark/>
          </w:tcPr>
          <w:p w14:paraId="66CA3A2A"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23,2</w:t>
            </w:r>
          </w:p>
        </w:tc>
        <w:tc>
          <w:tcPr>
            <w:tcW w:w="376" w:type="pct"/>
            <w:tcBorders>
              <w:top w:val="nil"/>
            </w:tcBorders>
            <w:shd w:val="clear" w:color="auto" w:fill="FFFFFF" w:themeFill="background1"/>
            <w:noWrap/>
            <w:hideMark/>
          </w:tcPr>
          <w:p w14:paraId="772646FB"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127DF057"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0479F57A"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55CB01D1"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6811871D"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03795BB9"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hideMark/>
          </w:tcPr>
          <w:p w14:paraId="61C0892B"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F64DB2" w:rsidRPr="009B6B41" w14:paraId="3EF42AA5"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6D595098"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Градови и општине</w:t>
            </w:r>
          </w:p>
        </w:tc>
        <w:tc>
          <w:tcPr>
            <w:tcW w:w="360" w:type="pct"/>
            <w:tcBorders>
              <w:top w:val="nil"/>
            </w:tcBorders>
            <w:shd w:val="clear" w:color="auto" w:fill="FFFFFF" w:themeFill="background1"/>
            <w:noWrap/>
            <w:hideMark/>
          </w:tcPr>
          <w:p w14:paraId="1675C285"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77,2</w:t>
            </w:r>
          </w:p>
        </w:tc>
        <w:tc>
          <w:tcPr>
            <w:tcW w:w="360" w:type="pct"/>
            <w:tcBorders>
              <w:top w:val="nil"/>
            </w:tcBorders>
            <w:shd w:val="clear" w:color="auto" w:fill="FFFFFF" w:themeFill="background1"/>
            <w:noWrap/>
            <w:hideMark/>
          </w:tcPr>
          <w:p w14:paraId="3EB41FFD"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69,2</w:t>
            </w:r>
          </w:p>
        </w:tc>
        <w:tc>
          <w:tcPr>
            <w:tcW w:w="364" w:type="pct"/>
            <w:tcBorders>
              <w:top w:val="nil"/>
            </w:tcBorders>
            <w:shd w:val="clear" w:color="auto" w:fill="FFFFFF" w:themeFill="background1"/>
            <w:noWrap/>
            <w:hideMark/>
          </w:tcPr>
          <w:p w14:paraId="1F3C052E"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8,0</w:t>
            </w:r>
          </w:p>
        </w:tc>
        <w:tc>
          <w:tcPr>
            <w:tcW w:w="352" w:type="pct"/>
            <w:tcBorders>
              <w:top w:val="nil"/>
            </w:tcBorders>
            <w:shd w:val="clear" w:color="auto" w:fill="FFFFFF" w:themeFill="background1"/>
            <w:noWrap/>
          </w:tcPr>
          <w:p w14:paraId="5C9F6823"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6A6AE9EB"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8,0</w:t>
            </w:r>
          </w:p>
        </w:tc>
        <w:tc>
          <w:tcPr>
            <w:tcW w:w="357" w:type="pct"/>
            <w:tcBorders>
              <w:top w:val="nil"/>
            </w:tcBorders>
            <w:shd w:val="clear" w:color="auto" w:fill="FFFFFF" w:themeFill="background1"/>
            <w:noWrap/>
            <w:hideMark/>
          </w:tcPr>
          <w:p w14:paraId="229CC918"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73DB66B2"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42FFB7B8"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6737EDD3"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67ABABA4"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hideMark/>
          </w:tcPr>
          <w:p w14:paraId="3FE49350"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9B6B41" w14:paraId="6303AC29"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814D9D4"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AП Војводина</w:t>
            </w:r>
          </w:p>
        </w:tc>
        <w:tc>
          <w:tcPr>
            <w:tcW w:w="360" w:type="pct"/>
            <w:tcBorders>
              <w:top w:val="nil"/>
            </w:tcBorders>
            <w:shd w:val="clear" w:color="auto" w:fill="FFFFFF" w:themeFill="background1"/>
            <w:noWrap/>
            <w:hideMark/>
          </w:tcPr>
          <w:p w14:paraId="12F56459"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38,8</w:t>
            </w:r>
          </w:p>
        </w:tc>
        <w:tc>
          <w:tcPr>
            <w:tcW w:w="360" w:type="pct"/>
            <w:tcBorders>
              <w:top w:val="nil"/>
            </w:tcBorders>
            <w:shd w:val="clear" w:color="auto" w:fill="FFFFFF" w:themeFill="background1"/>
            <w:noWrap/>
            <w:hideMark/>
          </w:tcPr>
          <w:p w14:paraId="6B176500"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38,8</w:t>
            </w:r>
          </w:p>
        </w:tc>
        <w:tc>
          <w:tcPr>
            <w:tcW w:w="364" w:type="pct"/>
            <w:tcBorders>
              <w:top w:val="nil"/>
            </w:tcBorders>
            <w:shd w:val="clear" w:color="auto" w:fill="FFFFFF" w:themeFill="background1"/>
            <w:noWrap/>
            <w:hideMark/>
          </w:tcPr>
          <w:p w14:paraId="7B8A9374"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tcPr>
          <w:p w14:paraId="0E47BD0F"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712C9BEC"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5766A4C5"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17CBF31C"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063A2EF9"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0128C9F9"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14D8FBD3"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hideMark/>
          </w:tcPr>
          <w:p w14:paraId="63418121"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F64DB2" w:rsidRPr="009B6B41" w14:paraId="48873A8B"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1EF088E6"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Фонд ПИО</w:t>
            </w:r>
          </w:p>
        </w:tc>
        <w:tc>
          <w:tcPr>
            <w:tcW w:w="360" w:type="pct"/>
            <w:tcBorders>
              <w:top w:val="nil"/>
            </w:tcBorders>
            <w:shd w:val="clear" w:color="auto" w:fill="FFFFFF" w:themeFill="background1"/>
            <w:noWrap/>
            <w:hideMark/>
          </w:tcPr>
          <w:p w14:paraId="0CC09788"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247,9</w:t>
            </w:r>
          </w:p>
        </w:tc>
        <w:tc>
          <w:tcPr>
            <w:tcW w:w="360" w:type="pct"/>
            <w:tcBorders>
              <w:top w:val="nil"/>
            </w:tcBorders>
            <w:shd w:val="clear" w:color="auto" w:fill="FFFFFF" w:themeFill="background1"/>
            <w:noWrap/>
            <w:hideMark/>
          </w:tcPr>
          <w:p w14:paraId="5381E3D1"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237,6</w:t>
            </w:r>
          </w:p>
        </w:tc>
        <w:tc>
          <w:tcPr>
            <w:tcW w:w="364" w:type="pct"/>
            <w:tcBorders>
              <w:top w:val="nil"/>
            </w:tcBorders>
            <w:shd w:val="clear" w:color="auto" w:fill="FFFFFF" w:themeFill="background1"/>
            <w:noWrap/>
            <w:hideMark/>
          </w:tcPr>
          <w:p w14:paraId="390DB798"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tcPr>
          <w:p w14:paraId="5E4926EC"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37670A5F"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0705A1CD"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7E1CED4A"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10,3</w:t>
            </w:r>
          </w:p>
        </w:tc>
        <w:tc>
          <w:tcPr>
            <w:tcW w:w="376" w:type="pct"/>
            <w:tcBorders>
              <w:top w:val="nil"/>
            </w:tcBorders>
            <w:shd w:val="clear" w:color="auto" w:fill="FFFFFF" w:themeFill="background1"/>
            <w:noWrap/>
          </w:tcPr>
          <w:p w14:paraId="36C83C73"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3AC3D853"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6,5</w:t>
            </w:r>
          </w:p>
        </w:tc>
        <w:tc>
          <w:tcPr>
            <w:tcW w:w="376" w:type="pct"/>
            <w:tcBorders>
              <w:top w:val="nil"/>
            </w:tcBorders>
            <w:shd w:val="clear" w:color="auto" w:fill="FFFFFF" w:themeFill="background1"/>
            <w:noWrap/>
            <w:hideMark/>
          </w:tcPr>
          <w:p w14:paraId="064ECC1C"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3,8</w:t>
            </w:r>
          </w:p>
        </w:tc>
        <w:tc>
          <w:tcPr>
            <w:tcW w:w="314" w:type="pct"/>
            <w:tcBorders>
              <w:top w:val="nil"/>
            </w:tcBorders>
            <w:shd w:val="clear" w:color="auto" w:fill="FFFFFF" w:themeFill="background1"/>
            <w:noWrap/>
          </w:tcPr>
          <w:p w14:paraId="17F90D7D"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9B6B41" w14:paraId="55B7A542"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06DDC0F0"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РФЗО</w:t>
            </w:r>
          </w:p>
        </w:tc>
        <w:tc>
          <w:tcPr>
            <w:tcW w:w="360" w:type="pct"/>
            <w:tcBorders>
              <w:top w:val="nil"/>
            </w:tcBorders>
            <w:shd w:val="clear" w:color="auto" w:fill="FFFFFF" w:themeFill="background1"/>
            <w:noWrap/>
            <w:hideMark/>
          </w:tcPr>
          <w:p w14:paraId="043F73E2"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167,8</w:t>
            </w:r>
          </w:p>
        </w:tc>
        <w:tc>
          <w:tcPr>
            <w:tcW w:w="360" w:type="pct"/>
            <w:tcBorders>
              <w:top w:val="nil"/>
            </w:tcBorders>
            <w:shd w:val="clear" w:color="auto" w:fill="FFFFFF" w:themeFill="background1"/>
            <w:noWrap/>
            <w:hideMark/>
          </w:tcPr>
          <w:p w14:paraId="114D5D87"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73,5</w:t>
            </w:r>
          </w:p>
        </w:tc>
        <w:tc>
          <w:tcPr>
            <w:tcW w:w="364" w:type="pct"/>
            <w:tcBorders>
              <w:top w:val="nil"/>
            </w:tcBorders>
            <w:shd w:val="clear" w:color="auto" w:fill="FFFFFF" w:themeFill="background1"/>
            <w:noWrap/>
            <w:hideMark/>
          </w:tcPr>
          <w:p w14:paraId="6009AEE6"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hideMark/>
          </w:tcPr>
          <w:p w14:paraId="6E87A9DC"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3,4</w:t>
            </w:r>
          </w:p>
        </w:tc>
        <w:tc>
          <w:tcPr>
            <w:tcW w:w="376" w:type="pct"/>
            <w:tcBorders>
              <w:top w:val="nil"/>
            </w:tcBorders>
            <w:shd w:val="clear" w:color="auto" w:fill="FFFFFF" w:themeFill="background1"/>
            <w:noWrap/>
            <w:hideMark/>
          </w:tcPr>
          <w:p w14:paraId="658C43DF"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5,5</w:t>
            </w:r>
          </w:p>
        </w:tc>
        <w:tc>
          <w:tcPr>
            <w:tcW w:w="357" w:type="pct"/>
            <w:tcBorders>
              <w:top w:val="nil"/>
            </w:tcBorders>
            <w:shd w:val="clear" w:color="auto" w:fill="FFFFFF" w:themeFill="background1"/>
            <w:noWrap/>
            <w:hideMark/>
          </w:tcPr>
          <w:p w14:paraId="5114B207"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21FEA597"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94,3</w:t>
            </w:r>
          </w:p>
        </w:tc>
        <w:tc>
          <w:tcPr>
            <w:tcW w:w="376" w:type="pct"/>
            <w:tcBorders>
              <w:top w:val="nil"/>
            </w:tcBorders>
            <w:shd w:val="clear" w:color="auto" w:fill="FFFFFF" w:themeFill="background1"/>
            <w:noWrap/>
            <w:hideMark/>
          </w:tcPr>
          <w:p w14:paraId="41234CAD"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92,7</w:t>
            </w:r>
          </w:p>
        </w:tc>
        <w:tc>
          <w:tcPr>
            <w:tcW w:w="376" w:type="pct"/>
            <w:tcBorders>
              <w:top w:val="nil"/>
            </w:tcBorders>
            <w:shd w:val="clear" w:color="auto" w:fill="FFFFFF" w:themeFill="background1"/>
            <w:noWrap/>
          </w:tcPr>
          <w:p w14:paraId="024152E2"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1F1546E6"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1,5</w:t>
            </w:r>
          </w:p>
        </w:tc>
        <w:tc>
          <w:tcPr>
            <w:tcW w:w="314" w:type="pct"/>
            <w:tcBorders>
              <w:top w:val="nil"/>
            </w:tcBorders>
            <w:shd w:val="clear" w:color="auto" w:fill="FFFFFF" w:themeFill="background1"/>
            <w:noWrap/>
          </w:tcPr>
          <w:p w14:paraId="0E4DB223"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F64DB2" w:rsidRPr="009B6B41" w14:paraId="344CDE2E"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014BA5D4"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НСЗ</w:t>
            </w:r>
          </w:p>
        </w:tc>
        <w:tc>
          <w:tcPr>
            <w:tcW w:w="360" w:type="pct"/>
            <w:tcBorders>
              <w:top w:val="nil"/>
            </w:tcBorders>
            <w:shd w:val="clear" w:color="auto" w:fill="FFFFFF" w:themeFill="background1"/>
            <w:noWrap/>
            <w:hideMark/>
          </w:tcPr>
          <w:p w14:paraId="4E25691E"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3,4</w:t>
            </w:r>
          </w:p>
        </w:tc>
        <w:tc>
          <w:tcPr>
            <w:tcW w:w="360" w:type="pct"/>
            <w:tcBorders>
              <w:top w:val="nil"/>
            </w:tcBorders>
            <w:shd w:val="clear" w:color="auto" w:fill="FFFFFF" w:themeFill="background1"/>
            <w:noWrap/>
            <w:hideMark/>
          </w:tcPr>
          <w:p w14:paraId="0C3E7919"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3,4</w:t>
            </w:r>
          </w:p>
        </w:tc>
        <w:tc>
          <w:tcPr>
            <w:tcW w:w="364" w:type="pct"/>
            <w:tcBorders>
              <w:top w:val="nil"/>
            </w:tcBorders>
            <w:shd w:val="clear" w:color="auto" w:fill="FFFFFF" w:themeFill="background1"/>
            <w:noWrap/>
            <w:hideMark/>
          </w:tcPr>
          <w:p w14:paraId="53B860D0"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tcPr>
          <w:p w14:paraId="6366F642"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000234FF"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6FB7C724"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785FAC3C"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095F60AD"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2B0C8F76"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1BE867B4"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tcPr>
          <w:p w14:paraId="3DDF22F5"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9B6B41" w14:paraId="1FFDC2D2"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03F46800"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Фонд СОВО</w:t>
            </w:r>
          </w:p>
        </w:tc>
        <w:tc>
          <w:tcPr>
            <w:tcW w:w="360" w:type="pct"/>
            <w:tcBorders>
              <w:top w:val="nil"/>
            </w:tcBorders>
            <w:shd w:val="clear" w:color="auto" w:fill="FFFFFF" w:themeFill="background1"/>
            <w:noWrap/>
            <w:hideMark/>
          </w:tcPr>
          <w:p w14:paraId="524680F2"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4,2</w:t>
            </w:r>
          </w:p>
        </w:tc>
        <w:tc>
          <w:tcPr>
            <w:tcW w:w="360" w:type="pct"/>
            <w:tcBorders>
              <w:top w:val="nil"/>
            </w:tcBorders>
            <w:shd w:val="clear" w:color="auto" w:fill="FFFFFF" w:themeFill="background1"/>
            <w:noWrap/>
            <w:hideMark/>
          </w:tcPr>
          <w:p w14:paraId="75CD9F8C"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0,5</w:t>
            </w:r>
          </w:p>
        </w:tc>
        <w:tc>
          <w:tcPr>
            <w:tcW w:w="364" w:type="pct"/>
            <w:tcBorders>
              <w:top w:val="nil"/>
            </w:tcBorders>
            <w:shd w:val="clear" w:color="auto" w:fill="FFFFFF" w:themeFill="background1"/>
            <w:noWrap/>
            <w:hideMark/>
          </w:tcPr>
          <w:p w14:paraId="6C6EC3AE"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tcPr>
          <w:p w14:paraId="7055D3EF"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27B05D0E"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33EEA4D9"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hideMark/>
          </w:tcPr>
          <w:p w14:paraId="6536EC9A"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3,7</w:t>
            </w:r>
          </w:p>
        </w:tc>
        <w:tc>
          <w:tcPr>
            <w:tcW w:w="376" w:type="pct"/>
            <w:tcBorders>
              <w:top w:val="nil"/>
            </w:tcBorders>
            <w:shd w:val="clear" w:color="auto" w:fill="FFFFFF" w:themeFill="background1"/>
            <w:noWrap/>
            <w:hideMark/>
          </w:tcPr>
          <w:p w14:paraId="071FACA3"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3,7</w:t>
            </w:r>
          </w:p>
        </w:tc>
        <w:tc>
          <w:tcPr>
            <w:tcW w:w="376" w:type="pct"/>
            <w:tcBorders>
              <w:top w:val="nil"/>
            </w:tcBorders>
            <w:shd w:val="clear" w:color="auto" w:fill="FFFFFF" w:themeFill="background1"/>
            <w:noWrap/>
          </w:tcPr>
          <w:p w14:paraId="652E90C6"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4674F889"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tcPr>
          <w:p w14:paraId="106F7C3C"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F64DB2" w:rsidRPr="009B6B41" w14:paraId="56607ECD"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6527AE88"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Остали нивои</w:t>
            </w:r>
          </w:p>
        </w:tc>
        <w:tc>
          <w:tcPr>
            <w:tcW w:w="360" w:type="pct"/>
            <w:tcBorders>
              <w:top w:val="nil"/>
            </w:tcBorders>
            <w:shd w:val="clear" w:color="auto" w:fill="FFFFFF" w:themeFill="background1"/>
            <w:noWrap/>
            <w:hideMark/>
          </w:tcPr>
          <w:p w14:paraId="3E5F72BF"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18,7</w:t>
            </w:r>
          </w:p>
        </w:tc>
        <w:tc>
          <w:tcPr>
            <w:tcW w:w="360" w:type="pct"/>
            <w:tcBorders>
              <w:top w:val="nil"/>
            </w:tcBorders>
            <w:shd w:val="clear" w:color="auto" w:fill="FFFFFF" w:themeFill="background1"/>
            <w:noWrap/>
            <w:hideMark/>
          </w:tcPr>
          <w:p w14:paraId="6EC1CCF8"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18,7</w:t>
            </w:r>
          </w:p>
        </w:tc>
        <w:tc>
          <w:tcPr>
            <w:tcW w:w="364" w:type="pct"/>
            <w:tcBorders>
              <w:top w:val="nil"/>
            </w:tcBorders>
            <w:shd w:val="clear" w:color="auto" w:fill="FFFFFF" w:themeFill="background1"/>
            <w:noWrap/>
            <w:hideMark/>
          </w:tcPr>
          <w:p w14:paraId="1BE14028"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2" w:type="pct"/>
            <w:tcBorders>
              <w:top w:val="nil"/>
            </w:tcBorders>
            <w:shd w:val="clear" w:color="auto" w:fill="FFFFFF" w:themeFill="background1"/>
            <w:noWrap/>
          </w:tcPr>
          <w:p w14:paraId="2B66EDF6"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26C3CF62"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7" w:type="pct"/>
            <w:tcBorders>
              <w:top w:val="nil"/>
            </w:tcBorders>
            <w:shd w:val="clear" w:color="auto" w:fill="FFFFFF" w:themeFill="background1"/>
            <w:noWrap/>
            <w:hideMark/>
          </w:tcPr>
          <w:p w14:paraId="40F7B459"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79CE9AB0"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06114269"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5F2D5BFB"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6" w:type="pct"/>
            <w:tcBorders>
              <w:top w:val="nil"/>
            </w:tcBorders>
            <w:shd w:val="clear" w:color="auto" w:fill="FFFFFF" w:themeFill="background1"/>
            <w:noWrap/>
          </w:tcPr>
          <w:p w14:paraId="6A2EA1F8"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14" w:type="pct"/>
            <w:tcBorders>
              <w:top w:val="nil"/>
            </w:tcBorders>
            <w:shd w:val="clear" w:color="auto" w:fill="FFFFFF" w:themeFill="background1"/>
            <w:noWrap/>
          </w:tcPr>
          <w:p w14:paraId="1A08959E" w14:textId="77777777" w:rsidR="00F64DB2" w:rsidRPr="009B6B41"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F64DB2" w:rsidRPr="009B6B41" w14:paraId="54D3A6F2" w14:textId="77777777" w:rsidTr="00D73C9A">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4EED6559" w14:textId="77777777" w:rsidR="00F64DB2" w:rsidRPr="00DE058F" w:rsidRDefault="00F64DB2" w:rsidP="00D73C9A">
            <w:pPr>
              <w:tabs>
                <w:tab w:val="center" w:pos="4680"/>
                <w:tab w:val="right" w:pos="9360"/>
              </w:tabs>
              <w:rPr>
                <w:rFonts w:cstheme="minorHAnsi"/>
                <w:b w:val="0"/>
                <w:color w:val="002060"/>
                <w:sz w:val="14"/>
                <w:szCs w:val="14"/>
                <w:lang w:val="sr-Cyrl-CS"/>
              </w:rPr>
            </w:pPr>
            <w:r w:rsidRPr="00DE058F">
              <w:rPr>
                <w:rFonts w:cstheme="minorHAnsi"/>
                <w:b w:val="0"/>
                <w:color w:val="002060"/>
                <w:sz w:val="14"/>
                <w:szCs w:val="14"/>
                <w:lang w:val="sr-Cyrl-CS"/>
              </w:rPr>
              <w:t>Нето трансфери другим нивоима власти</w:t>
            </w:r>
          </w:p>
        </w:tc>
        <w:tc>
          <w:tcPr>
            <w:tcW w:w="360" w:type="pct"/>
            <w:tcBorders>
              <w:top w:val="nil"/>
            </w:tcBorders>
            <w:shd w:val="clear" w:color="auto" w:fill="FFFFFF" w:themeFill="background1"/>
            <w:noWrap/>
          </w:tcPr>
          <w:p w14:paraId="0455F03C"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60" w:type="pct"/>
            <w:tcBorders>
              <w:top w:val="nil"/>
            </w:tcBorders>
            <w:shd w:val="clear" w:color="auto" w:fill="FFFFFF" w:themeFill="background1"/>
            <w:noWrap/>
            <w:hideMark/>
          </w:tcPr>
          <w:p w14:paraId="6FEDECA9"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-418,5</w:t>
            </w:r>
          </w:p>
        </w:tc>
        <w:tc>
          <w:tcPr>
            <w:tcW w:w="364" w:type="pct"/>
            <w:tcBorders>
              <w:top w:val="nil"/>
            </w:tcBorders>
            <w:shd w:val="clear" w:color="auto" w:fill="FFFFFF" w:themeFill="background1"/>
            <w:noWrap/>
            <w:hideMark/>
          </w:tcPr>
          <w:p w14:paraId="159CF872"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75,9</w:t>
            </w:r>
          </w:p>
        </w:tc>
        <w:tc>
          <w:tcPr>
            <w:tcW w:w="352" w:type="pct"/>
            <w:tcBorders>
              <w:top w:val="nil"/>
            </w:tcBorders>
            <w:shd w:val="clear" w:color="auto" w:fill="FFFFFF" w:themeFill="background1"/>
            <w:noWrap/>
            <w:hideMark/>
          </w:tcPr>
          <w:p w14:paraId="41F3FA5E"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50,7</w:t>
            </w:r>
          </w:p>
        </w:tc>
        <w:tc>
          <w:tcPr>
            <w:tcW w:w="376" w:type="pct"/>
            <w:tcBorders>
              <w:top w:val="nil"/>
            </w:tcBorders>
            <w:shd w:val="clear" w:color="auto" w:fill="FFFFFF" w:themeFill="background1"/>
            <w:noWrap/>
            <w:hideMark/>
          </w:tcPr>
          <w:p w14:paraId="47D8B087"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25,3</w:t>
            </w:r>
          </w:p>
        </w:tc>
        <w:tc>
          <w:tcPr>
            <w:tcW w:w="357" w:type="pct"/>
            <w:tcBorders>
              <w:top w:val="nil"/>
            </w:tcBorders>
            <w:shd w:val="clear" w:color="auto" w:fill="FFFFFF" w:themeFill="background1"/>
            <w:noWrap/>
            <w:hideMark/>
          </w:tcPr>
          <w:p w14:paraId="5EF916B7"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18,7</w:t>
            </w:r>
          </w:p>
        </w:tc>
        <w:tc>
          <w:tcPr>
            <w:tcW w:w="376" w:type="pct"/>
            <w:tcBorders>
              <w:top w:val="nil"/>
            </w:tcBorders>
            <w:shd w:val="clear" w:color="auto" w:fill="FFFFFF" w:themeFill="background1"/>
            <w:noWrap/>
            <w:hideMark/>
          </w:tcPr>
          <w:p w14:paraId="14E944FF"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323,9</w:t>
            </w:r>
          </w:p>
        </w:tc>
        <w:tc>
          <w:tcPr>
            <w:tcW w:w="376" w:type="pct"/>
            <w:tcBorders>
              <w:top w:val="nil"/>
            </w:tcBorders>
            <w:shd w:val="clear" w:color="auto" w:fill="FFFFFF" w:themeFill="background1"/>
            <w:noWrap/>
            <w:hideMark/>
          </w:tcPr>
          <w:p w14:paraId="5408AE4C"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151,5</w:t>
            </w:r>
          </w:p>
        </w:tc>
        <w:tc>
          <w:tcPr>
            <w:tcW w:w="376" w:type="pct"/>
            <w:tcBorders>
              <w:top w:val="nil"/>
            </w:tcBorders>
            <w:shd w:val="clear" w:color="auto" w:fill="FFFFFF" w:themeFill="background1"/>
            <w:noWrap/>
            <w:hideMark/>
          </w:tcPr>
          <w:p w14:paraId="6C137445"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170,2</w:t>
            </w:r>
          </w:p>
        </w:tc>
        <w:tc>
          <w:tcPr>
            <w:tcW w:w="376" w:type="pct"/>
            <w:tcBorders>
              <w:top w:val="nil"/>
            </w:tcBorders>
            <w:shd w:val="clear" w:color="auto" w:fill="FFFFFF" w:themeFill="background1"/>
            <w:noWrap/>
            <w:hideMark/>
          </w:tcPr>
          <w:p w14:paraId="41607307"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-2,0</w:t>
            </w:r>
          </w:p>
        </w:tc>
        <w:tc>
          <w:tcPr>
            <w:tcW w:w="314" w:type="pct"/>
            <w:tcBorders>
              <w:top w:val="nil"/>
            </w:tcBorders>
            <w:shd w:val="clear" w:color="auto" w:fill="FFFFFF" w:themeFill="background1"/>
            <w:noWrap/>
            <w:hideMark/>
          </w:tcPr>
          <w:p w14:paraId="2C29A60A" w14:textId="77777777" w:rsidR="00F64DB2" w:rsidRPr="009B6B41" w:rsidRDefault="00F64DB2" w:rsidP="00D73C9A">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F146A7">
              <w:rPr>
                <w:rFonts w:cstheme="minorHAnsi"/>
                <w:color w:val="002060"/>
                <w:sz w:val="14"/>
                <w:szCs w:val="14"/>
                <w:lang w:val="sr-Cyrl-CS"/>
              </w:rPr>
              <w:t>4,2</w:t>
            </w:r>
          </w:p>
        </w:tc>
      </w:tr>
      <w:tr w:rsidR="00F64DB2" w:rsidRPr="00DE058F" w14:paraId="013B47E2" w14:textId="77777777" w:rsidTr="00D73C9A">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bottom w:val="single" w:sz="4" w:space="0" w:color="auto"/>
            </w:tcBorders>
            <w:shd w:val="clear" w:color="auto" w:fill="BFBFBF" w:themeFill="background1" w:themeFillShade="BF"/>
            <w:noWrap/>
            <w:vAlign w:val="bottom"/>
            <w:hideMark/>
          </w:tcPr>
          <w:p w14:paraId="56B87F88" w14:textId="77777777" w:rsidR="00F64DB2" w:rsidRPr="00DE058F" w:rsidRDefault="00F64DB2" w:rsidP="00D73C9A">
            <w:pPr>
              <w:tabs>
                <w:tab w:val="center" w:pos="4680"/>
                <w:tab w:val="right" w:pos="9360"/>
              </w:tabs>
              <w:rPr>
                <w:rFonts w:cstheme="minorHAnsi"/>
                <w:color w:val="002060"/>
                <w:sz w:val="14"/>
                <w:szCs w:val="14"/>
                <w:lang w:val="sr-Cyrl-CS"/>
              </w:rPr>
            </w:pPr>
            <w:r w:rsidRPr="00DE058F">
              <w:rPr>
                <w:rFonts w:cstheme="minorHAnsi"/>
                <w:color w:val="002060"/>
                <w:sz w:val="14"/>
                <w:szCs w:val="14"/>
                <w:lang w:val="sr-Cyrl-CS"/>
              </w:rPr>
              <w:t>Фискални резултат</w:t>
            </w:r>
          </w:p>
        </w:tc>
        <w:tc>
          <w:tcPr>
            <w:tcW w:w="360" w:type="pct"/>
            <w:tcBorders>
              <w:top w:val="nil"/>
              <w:bottom w:val="single" w:sz="4" w:space="0" w:color="auto"/>
            </w:tcBorders>
            <w:shd w:val="clear" w:color="auto" w:fill="BFBFBF" w:themeFill="background1" w:themeFillShade="BF"/>
            <w:noWrap/>
            <w:hideMark/>
          </w:tcPr>
          <w:p w14:paraId="7F017AA4"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-197,0</w:t>
            </w:r>
          </w:p>
        </w:tc>
        <w:tc>
          <w:tcPr>
            <w:tcW w:w="360" w:type="pct"/>
            <w:tcBorders>
              <w:top w:val="nil"/>
              <w:bottom w:val="single" w:sz="4" w:space="0" w:color="auto"/>
            </w:tcBorders>
            <w:shd w:val="clear" w:color="auto" w:fill="BFBFBF" w:themeFill="background1" w:themeFillShade="BF"/>
            <w:noWrap/>
            <w:hideMark/>
          </w:tcPr>
          <w:p w14:paraId="76CAD78B"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-197,0</w:t>
            </w:r>
          </w:p>
        </w:tc>
        <w:tc>
          <w:tcPr>
            <w:tcW w:w="364" w:type="pct"/>
            <w:tcBorders>
              <w:top w:val="nil"/>
              <w:bottom w:val="single" w:sz="4" w:space="0" w:color="auto"/>
            </w:tcBorders>
            <w:shd w:val="clear" w:color="auto" w:fill="BFBFBF" w:themeFill="background1" w:themeFillShade="BF"/>
            <w:noWrap/>
            <w:hideMark/>
          </w:tcPr>
          <w:p w14:paraId="5EBBD3F9"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0,0</w:t>
            </w:r>
          </w:p>
        </w:tc>
        <w:tc>
          <w:tcPr>
            <w:tcW w:w="352" w:type="pct"/>
            <w:tcBorders>
              <w:top w:val="nil"/>
              <w:bottom w:val="single" w:sz="4" w:space="0" w:color="auto"/>
            </w:tcBorders>
            <w:shd w:val="clear" w:color="auto" w:fill="BFBFBF" w:themeFill="background1" w:themeFillShade="BF"/>
            <w:noWrap/>
            <w:hideMark/>
          </w:tcPr>
          <w:p w14:paraId="66BFE79F"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0,0</w:t>
            </w:r>
          </w:p>
        </w:tc>
        <w:tc>
          <w:tcPr>
            <w:tcW w:w="376" w:type="pct"/>
            <w:tcBorders>
              <w:top w:val="nil"/>
              <w:bottom w:val="single" w:sz="4" w:space="0" w:color="auto"/>
            </w:tcBorders>
            <w:shd w:val="clear" w:color="auto" w:fill="BFBFBF" w:themeFill="background1" w:themeFillShade="BF"/>
            <w:noWrap/>
            <w:hideMark/>
          </w:tcPr>
          <w:p w14:paraId="6B25BBBD"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0,0</w:t>
            </w:r>
          </w:p>
        </w:tc>
        <w:tc>
          <w:tcPr>
            <w:tcW w:w="357" w:type="pct"/>
            <w:tcBorders>
              <w:top w:val="nil"/>
              <w:bottom w:val="single" w:sz="4" w:space="0" w:color="auto"/>
            </w:tcBorders>
            <w:shd w:val="clear" w:color="auto" w:fill="BFBFBF" w:themeFill="background1" w:themeFillShade="BF"/>
            <w:noWrap/>
            <w:hideMark/>
          </w:tcPr>
          <w:p w14:paraId="21A040F7"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0,0</w:t>
            </w:r>
          </w:p>
        </w:tc>
        <w:tc>
          <w:tcPr>
            <w:tcW w:w="376" w:type="pct"/>
            <w:tcBorders>
              <w:top w:val="nil"/>
              <w:bottom w:val="single" w:sz="4" w:space="0" w:color="auto"/>
            </w:tcBorders>
            <w:shd w:val="clear" w:color="auto" w:fill="BFBFBF" w:themeFill="background1" w:themeFillShade="BF"/>
            <w:noWrap/>
            <w:hideMark/>
          </w:tcPr>
          <w:p w14:paraId="1BE90E96"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0,0</w:t>
            </w:r>
          </w:p>
        </w:tc>
        <w:tc>
          <w:tcPr>
            <w:tcW w:w="376" w:type="pct"/>
            <w:tcBorders>
              <w:top w:val="nil"/>
              <w:bottom w:val="single" w:sz="4" w:space="0" w:color="auto"/>
            </w:tcBorders>
            <w:shd w:val="clear" w:color="auto" w:fill="BFBFBF" w:themeFill="background1" w:themeFillShade="BF"/>
            <w:noWrap/>
            <w:hideMark/>
          </w:tcPr>
          <w:p w14:paraId="56E15593"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0,0</w:t>
            </w:r>
          </w:p>
        </w:tc>
        <w:tc>
          <w:tcPr>
            <w:tcW w:w="376" w:type="pct"/>
            <w:tcBorders>
              <w:top w:val="nil"/>
              <w:bottom w:val="single" w:sz="4" w:space="0" w:color="auto"/>
            </w:tcBorders>
            <w:shd w:val="clear" w:color="auto" w:fill="BFBFBF" w:themeFill="background1" w:themeFillShade="BF"/>
            <w:noWrap/>
            <w:hideMark/>
          </w:tcPr>
          <w:p w14:paraId="1D9CD460"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0,0</w:t>
            </w:r>
          </w:p>
        </w:tc>
        <w:tc>
          <w:tcPr>
            <w:tcW w:w="376" w:type="pct"/>
            <w:tcBorders>
              <w:top w:val="nil"/>
              <w:bottom w:val="single" w:sz="4" w:space="0" w:color="auto"/>
            </w:tcBorders>
            <w:shd w:val="clear" w:color="auto" w:fill="BFBFBF" w:themeFill="background1" w:themeFillShade="BF"/>
            <w:noWrap/>
            <w:hideMark/>
          </w:tcPr>
          <w:p w14:paraId="248C36E7"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0,0</w:t>
            </w:r>
          </w:p>
        </w:tc>
        <w:tc>
          <w:tcPr>
            <w:tcW w:w="314" w:type="pct"/>
            <w:tcBorders>
              <w:top w:val="nil"/>
              <w:bottom w:val="single" w:sz="4" w:space="0" w:color="auto"/>
            </w:tcBorders>
            <w:shd w:val="clear" w:color="auto" w:fill="BFBFBF" w:themeFill="background1" w:themeFillShade="BF"/>
            <w:noWrap/>
            <w:hideMark/>
          </w:tcPr>
          <w:p w14:paraId="3222EF18" w14:textId="77777777" w:rsidR="00F64DB2" w:rsidRPr="00F146A7" w:rsidRDefault="00F64DB2" w:rsidP="00D73C9A">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F146A7">
              <w:rPr>
                <w:rFonts w:cstheme="minorHAnsi"/>
                <w:b/>
                <w:color w:val="002060"/>
                <w:sz w:val="14"/>
                <w:szCs w:val="14"/>
                <w:lang w:val="sr-Cyrl-CS"/>
              </w:rPr>
              <w:t>0,0</w:t>
            </w:r>
          </w:p>
        </w:tc>
      </w:tr>
    </w:tbl>
    <w:p w14:paraId="5A416C9C" w14:textId="77777777" w:rsidR="00F64DB2" w:rsidRPr="00DE058F" w:rsidRDefault="00F64DB2" w:rsidP="00BF6FDD">
      <w:pPr>
        <w:tabs>
          <w:tab w:val="center" w:pos="4680"/>
          <w:tab w:val="right" w:pos="9360"/>
        </w:tabs>
        <w:spacing w:before="40" w:after="60" w:line="240" w:lineRule="auto"/>
        <w:ind w:right="340"/>
        <w:rPr>
          <w:rFonts w:cstheme="minorHAnsi"/>
          <w:sz w:val="16"/>
          <w:szCs w:val="16"/>
          <w:lang w:val="sr-Cyrl-CS"/>
        </w:rPr>
      </w:pPr>
      <w:r w:rsidRPr="00DE058F">
        <w:rPr>
          <w:rFonts w:cstheme="minorHAnsi"/>
          <w:sz w:val="16"/>
          <w:szCs w:val="16"/>
          <w:lang w:val="sr-Cyrl-CS"/>
        </w:rPr>
        <w:t>У табели је приказан оквирни износ прихода и расхода у 202</w:t>
      </w:r>
      <w:r>
        <w:rPr>
          <w:rFonts w:cstheme="minorHAnsi"/>
          <w:sz w:val="16"/>
          <w:szCs w:val="16"/>
        </w:rPr>
        <w:t>4</w:t>
      </w:r>
      <w:r w:rsidRPr="00DE058F">
        <w:rPr>
          <w:rFonts w:cstheme="minorHAnsi"/>
          <w:sz w:val="16"/>
          <w:szCs w:val="16"/>
          <w:lang w:val="sr-Cyrl-CS"/>
        </w:rPr>
        <w:t>. години који је у већој мери заснован на статистичкој методологији рачуна јавних финансија него на рачуноводственој. Будући да током буџетског процеса може доћи до измена у висини и структури појединих категорија, ови износи нису законски обавезујући.</w:t>
      </w:r>
    </w:p>
    <w:p w14:paraId="1AF08FC4" w14:textId="77777777" w:rsidR="00F64DB2" w:rsidRPr="00500481" w:rsidRDefault="00F64DB2" w:rsidP="00BF6FDD">
      <w:pPr>
        <w:tabs>
          <w:tab w:val="center" w:pos="4680"/>
          <w:tab w:val="right" w:pos="9360"/>
        </w:tabs>
        <w:spacing w:before="40" w:after="60" w:line="240" w:lineRule="auto"/>
        <w:ind w:right="340"/>
        <w:rPr>
          <w:color w:val="2F5496" w:themeColor="accent1" w:themeShade="BF"/>
          <w:sz w:val="14"/>
          <w:szCs w:val="26"/>
          <w:lang w:val="sr-Cyrl-RS"/>
        </w:rPr>
      </w:pPr>
      <w:r w:rsidRPr="00DE058F">
        <w:rPr>
          <w:rFonts w:cstheme="minorHAnsi"/>
          <w:sz w:val="16"/>
          <w:szCs w:val="16"/>
          <w:lang w:val="sr-Cyrl-CS"/>
        </w:rPr>
        <w:t>* Буџет је приказан без дела сопствених прихода индиректних буџетских корисника и из њих финансираних расхода, који нису обухваћени информационим системом извршења буџета.</w:t>
      </w:r>
      <w:bookmarkEnd w:id="79"/>
      <w:bookmarkEnd w:id="80"/>
      <w:bookmarkEnd w:id="81"/>
      <w:bookmarkEnd w:id="82"/>
    </w:p>
    <w:sectPr w:rsidR="00F64DB2" w:rsidRPr="00500481" w:rsidSect="003911D0">
      <w:headerReference w:type="even" r:id="rId219"/>
      <w:headerReference w:type="default" r:id="rId220"/>
      <w:footerReference w:type="even" r:id="rId221"/>
      <w:footerReference w:type="default" r:id="rId222"/>
      <w:headerReference w:type="first" r:id="rId223"/>
      <w:footerReference w:type="first" r:id="rId224"/>
      <w:pgSz w:w="15840" w:h="12240" w:orient="landscape" w:code="1"/>
      <w:pgMar w:top="680" w:right="567" w:bottom="680" w:left="567" w:header="510" w:footer="39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F72249" w14:textId="77777777" w:rsidR="00B7710E" w:rsidRDefault="00B7710E" w:rsidP="00BF7F6A">
      <w:pPr>
        <w:spacing w:after="0" w:line="240" w:lineRule="auto"/>
      </w:pPr>
      <w:r>
        <w:separator/>
      </w:r>
    </w:p>
  </w:endnote>
  <w:endnote w:type="continuationSeparator" w:id="0">
    <w:p w14:paraId="70900DAC" w14:textId="77777777" w:rsidR="00B7710E" w:rsidRDefault="00B7710E" w:rsidP="00BF7F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unga">
    <w:panose1 w:val="00000400000000000000"/>
    <w:charset w:val="00"/>
    <w:family w:val="swiss"/>
    <w:pitch w:val="variable"/>
    <w:sig w:usb0="004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82836409"/>
      <w:docPartObj>
        <w:docPartGallery w:val="Page Numbers (Bottom of Page)"/>
        <w:docPartUnique/>
      </w:docPartObj>
    </w:sdtPr>
    <w:sdtEndPr>
      <w:rPr>
        <w:noProof/>
      </w:rPr>
    </w:sdtEndPr>
    <w:sdtContent>
      <w:p w14:paraId="644C14B6" w14:textId="3D03B8ED" w:rsidR="00BD501F" w:rsidRDefault="00BD501F">
        <w:pPr>
          <w:pStyle w:val="Footer"/>
        </w:pPr>
        <w:r>
          <w:fldChar w:fldCharType="begin"/>
        </w:r>
        <w:r>
          <w:instrText xml:space="preserve"> PAGE   \* MERGEFORMAT </w:instrText>
        </w:r>
        <w:r>
          <w:fldChar w:fldCharType="separate"/>
        </w:r>
        <w:r w:rsidR="00500481">
          <w:rPr>
            <w:noProof/>
          </w:rPr>
          <w:t>2</w:t>
        </w:r>
        <w:r>
          <w:rPr>
            <w:noProof/>
          </w:rPr>
          <w:fldChar w:fldCharType="end"/>
        </w:r>
      </w:p>
    </w:sdtContent>
  </w:sdt>
  <w:p w14:paraId="55C38346" w14:textId="77777777" w:rsidR="00BD501F" w:rsidRDefault="00BD501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1318995"/>
      <w:docPartObj>
        <w:docPartGallery w:val="Page Numbers (Bottom of Page)"/>
        <w:docPartUnique/>
      </w:docPartObj>
    </w:sdtPr>
    <w:sdtEndPr>
      <w:rPr>
        <w:noProof/>
      </w:rPr>
    </w:sdtEndPr>
    <w:sdtContent>
      <w:p w14:paraId="0E4BE234" w14:textId="77777777" w:rsidR="00BD501F" w:rsidRDefault="00BD501F">
        <w:pPr>
          <w:pStyle w:val="Footer"/>
        </w:pPr>
        <w:r>
          <w:fldChar w:fldCharType="begin"/>
        </w:r>
        <w:r>
          <w:instrText xml:space="preserve"> PAGE   \* MERGEFORMAT </w:instrText>
        </w:r>
        <w:r>
          <w:fldChar w:fldCharType="separate"/>
        </w:r>
        <w:r>
          <w:rPr>
            <w:noProof/>
          </w:rPr>
          <w:t>2</w:t>
        </w:r>
        <w:r>
          <w:rPr>
            <w:noProof/>
          </w:rPr>
          <w:fldChar w:fldCharType="end"/>
        </w:r>
      </w:p>
    </w:sdtContent>
  </w:sdt>
  <w:p w14:paraId="10319021" w14:textId="77777777" w:rsidR="00BD501F" w:rsidRDefault="00BD501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92492817"/>
      <w:docPartObj>
        <w:docPartGallery w:val="Page Numbers (Bottom of Page)"/>
        <w:docPartUnique/>
      </w:docPartObj>
    </w:sdtPr>
    <w:sdtEndPr>
      <w:rPr>
        <w:noProof/>
      </w:rPr>
    </w:sdtEndPr>
    <w:sdtContent>
      <w:p w14:paraId="7EC2FAD9" w14:textId="0F79E07F" w:rsidR="00BD501F" w:rsidRDefault="00BD501F">
        <w:pPr>
          <w:pStyle w:val="Footer"/>
        </w:pPr>
        <w:r>
          <w:fldChar w:fldCharType="begin"/>
        </w:r>
        <w:r>
          <w:instrText xml:space="preserve"> PAGE   \* MERGEFORMAT </w:instrText>
        </w:r>
        <w:r>
          <w:fldChar w:fldCharType="separate"/>
        </w:r>
        <w:r>
          <w:rPr>
            <w:noProof/>
          </w:rPr>
          <w:t>2</w:t>
        </w:r>
        <w:r>
          <w:rPr>
            <w:noProof/>
          </w:rPr>
          <w:fldChar w:fldCharType="end"/>
        </w:r>
      </w:p>
    </w:sdtContent>
  </w:sdt>
  <w:p w14:paraId="191E4C66" w14:textId="77777777" w:rsidR="00BD501F" w:rsidRDefault="00BD501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46688203"/>
      <w:docPartObj>
        <w:docPartGallery w:val="Page Numbers (Bottom of Page)"/>
        <w:docPartUnique/>
      </w:docPartObj>
    </w:sdtPr>
    <w:sdtEndPr>
      <w:rPr>
        <w:noProof/>
      </w:rPr>
    </w:sdtEndPr>
    <w:sdtContent>
      <w:p w14:paraId="2D11852D" w14:textId="77777777" w:rsidR="00BD501F" w:rsidRDefault="00BD501F">
        <w:pPr>
          <w:pStyle w:val="Footer"/>
          <w:jc w:val="right"/>
        </w:pPr>
        <w:r>
          <w:fldChar w:fldCharType="begin"/>
        </w:r>
        <w:r>
          <w:instrText xml:space="preserve"> PAGE   \* MERGEFORMAT </w:instrText>
        </w:r>
        <w:r>
          <w:fldChar w:fldCharType="separate"/>
        </w:r>
        <w:r>
          <w:rPr>
            <w:noProof/>
          </w:rPr>
          <w:t>6</w:t>
        </w:r>
        <w:r>
          <w:rPr>
            <w:noProof/>
          </w:rPr>
          <w:fldChar w:fldCharType="end"/>
        </w:r>
      </w:p>
    </w:sdtContent>
  </w:sdt>
  <w:p w14:paraId="142ECD17" w14:textId="77777777" w:rsidR="00BD501F" w:rsidRDefault="00BD501F">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63908428"/>
      <w:docPartObj>
        <w:docPartGallery w:val="Page Numbers (Bottom of Page)"/>
        <w:docPartUnique/>
      </w:docPartObj>
    </w:sdtPr>
    <w:sdtEndPr>
      <w:rPr>
        <w:noProof/>
      </w:rPr>
    </w:sdtEndPr>
    <w:sdtContent>
      <w:p w14:paraId="327CF690" w14:textId="01F31B1A" w:rsidR="00BD501F" w:rsidRDefault="00BD501F" w:rsidP="002D6E55">
        <w:pPr>
          <w:pStyle w:val="Footer"/>
          <w:jc w:val="left"/>
        </w:pPr>
        <w:r>
          <w:fldChar w:fldCharType="begin"/>
        </w:r>
        <w:r>
          <w:instrText xml:space="preserve"> PAGE   \* MERGEFORMAT </w:instrText>
        </w:r>
        <w:r>
          <w:fldChar w:fldCharType="separate"/>
        </w:r>
        <w:r w:rsidR="00500481">
          <w:rPr>
            <w:noProof/>
          </w:rPr>
          <w:t>4</w:t>
        </w:r>
        <w:r>
          <w:rPr>
            <w:noProof/>
          </w:rPr>
          <w:fldChar w:fldCharType="end"/>
        </w:r>
      </w:p>
    </w:sdtContent>
  </w:sdt>
  <w:p w14:paraId="7F0BCD7F" w14:textId="77777777" w:rsidR="00BD501F" w:rsidRDefault="00BD501F">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90384799"/>
      <w:docPartObj>
        <w:docPartGallery w:val="Page Numbers (Bottom of Page)"/>
        <w:docPartUnique/>
      </w:docPartObj>
    </w:sdtPr>
    <w:sdtEndPr>
      <w:rPr>
        <w:noProof/>
      </w:rPr>
    </w:sdtEndPr>
    <w:sdtContent>
      <w:p w14:paraId="20DD1487" w14:textId="0BAE8302" w:rsidR="00BD501F" w:rsidRDefault="00BD501F">
        <w:pPr>
          <w:pStyle w:val="Footer"/>
        </w:pPr>
        <w:r>
          <w:fldChar w:fldCharType="begin"/>
        </w:r>
        <w:r>
          <w:instrText xml:space="preserve"> PAGE   \* MERGEFORMAT </w:instrText>
        </w:r>
        <w:r>
          <w:fldChar w:fldCharType="separate"/>
        </w:r>
        <w:r>
          <w:rPr>
            <w:noProof/>
          </w:rPr>
          <w:t>2</w:t>
        </w:r>
        <w:r>
          <w:rPr>
            <w:noProof/>
          </w:rPr>
          <w:fldChar w:fldCharType="end"/>
        </w:r>
      </w:p>
    </w:sdtContent>
  </w:sdt>
  <w:p w14:paraId="5C695403" w14:textId="77777777" w:rsidR="00BD501F" w:rsidRDefault="00BD501F">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044388"/>
      <w:docPartObj>
        <w:docPartGallery w:val="Page Numbers (Bottom of Page)"/>
        <w:docPartUnique/>
      </w:docPartObj>
    </w:sdtPr>
    <w:sdtEndPr>
      <w:rPr>
        <w:noProof/>
      </w:rPr>
    </w:sdtEndPr>
    <w:sdtContent>
      <w:p w14:paraId="6959C5B9" w14:textId="40A15A35" w:rsidR="00BD501F" w:rsidRDefault="00BD501F">
        <w:pPr>
          <w:pStyle w:val="Footer"/>
        </w:pPr>
        <w:r>
          <w:fldChar w:fldCharType="begin"/>
        </w:r>
        <w:r>
          <w:instrText xml:space="preserve"> PAGE   \* MERGEFORMAT </w:instrText>
        </w:r>
        <w:r>
          <w:fldChar w:fldCharType="separate"/>
        </w:r>
        <w:r w:rsidR="00500481">
          <w:rPr>
            <w:noProof/>
          </w:rPr>
          <w:t>7</w:t>
        </w:r>
        <w:r>
          <w:rPr>
            <w:noProof/>
          </w:rPr>
          <w:fldChar w:fldCharType="end"/>
        </w:r>
      </w:p>
    </w:sdtContent>
  </w:sdt>
  <w:p w14:paraId="34032745" w14:textId="77777777" w:rsidR="00BD501F" w:rsidRPr="00287EFB" w:rsidRDefault="00BD501F" w:rsidP="002D6E55">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23940F" w14:textId="77777777" w:rsidR="00BD501F" w:rsidRDefault="00BD501F">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44846751"/>
      <w:docPartObj>
        <w:docPartGallery w:val="Page Numbers (Bottom of Page)"/>
        <w:docPartUnique/>
      </w:docPartObj>
    </w:sdtPr>
    <w:sdtEndPr>
      <w:rPr>
        <w:noProof/>
      </w:rPr>
    </w:sdtEndPr>
    <w:sdtContent>
      <w:p w14:paraId="5E352947" w14:textId="0A7D636E" w:rsidR="00BD501F" w:rsidRDefault="00BD501F">
        <w:pPr>
          <w:pStyle w:val="Footer"/>
        </w:pPr>
        <w:r>
          <w:fldChar w:fldCharType="begin"/>
        </w:r>
        <w:r>
          <w:instrText xml:space="preserve"> PAGE   \* MERGEFORMAT </w:instrText>
        </w:r>
        <w:r>
          <w:fldChar w:fldCharType="separate"/>
        </w:r>
        <w:r w:rsidR="00500481">
          <w:rPr>
            <w:noProof/>
          </w:rPr>
          <w:t>8</w:t>
        </w:r>
        <w:r>
          <w:rPr>
            <w:noProof/>
          </w:rPr>
          <w:fldChar w:fldCharType="end"/>
        </w:r>
      </w:p>
    </w:sdtContent>
  </w:sdt>
  <w:p w14:paraId="387D66FB" w14:textId="77777777" w:rsidR="00BD501F" w:rsidRPr="00287EFB" w:rsidRDefault="00BD501F" w:rsidP="00C130D2">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3892054"/>
      <w:docPartObj>
        <w:docPartGallery w:val="Page Numbers (Bottom of Page)"/>
        <w:docPartUnique/>
      </w:docPartObj>
    </w:sdtPr>
    <w:sdtEndPr>
      <w:rPr>
        <w:noProof/>
      </w:rPr>
    </w:sdtEndPr>
    <w:sdtContent>
      <w:p w14:paraId="0711CE83" w14:textId="48E21515" w:rsidR="00BD501F" w:rsidRDefault="00BD501F">
        <w:pPr>
          <w:pStyle w:val="Footer"/>
        </w:pPr>
        <w:r>
          <w:fldChar w:fldCharType="begin"/>
        </w:r>
        <w:r>
          <w:instrText xml:space="preserve"> PAGE   \* MERGEFORMAT </w:instrText>
        </w:r>
        <w:r>
          <w:fldChar w:fldCharType="separate"/>
        </w:r>
        <w:r w:rsidR="00500481">
          <w:rPr>
            <w:noProof/>
          </w:rPr>
          <w:t>29</w:t>
        </w:r>
        <w:r>
          <w:rPr>
            <w:noProof/>
          </w:rPr>
          <w:fldChar w:fldCharType="end"/>
        </w:r>
      </w:p>
    </w:sdtContent>
  </w:sdt>
  <w:p w14:paraId="512C254C" w14:textId="77777777" w:rsidR="00BD501F" w:rsidRDefault="00BD501F">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90821"/>
      <w:docPartObj>
        <w:docPartGallery w:val="Page Numbers (Bottom of Page)"/>
        <w:docPartUnique/>
      </w:docPartObj>
    </w:sdtPr>
    <w:sdtEndPr>
      <w:rPr>
        <w:noProof/>
      </w:rPr>
    </w:sdtEndPr>
    <w:sdtContent>
      <w:p w14:paraId="4E2679CD" w14:textId="40A23154" w:rsidR="00BD501F" w:rsidRDefault="00BD501F">
        <w:pPr>
          <w:pStyle w:val="Footer"/>
        </w:pPr>
        <w:r>
          <w:fldChar w:fldCharType="begin"/>
        </w:r>
        <w:r>
          <w:instrText xml:space="preserve"> PAGE   \* MERGEFORMAT </w:instrText>
        </w:r>
        <w:r>
          <w:fldChar w:fldCharType="separate"/>
        </w:r>
        <w:r w:rsidR="00500481">
          <w:rPr>
            <w:noProof/>
          </w:rPr>
          <w:t>16</w:t>
        </w:r>
        <w:r>
          <w:rPr>
            <w:noProof/>
          </w:rPr>
          <w:fldChar w:fldCharType="end"/>
        </w:r>
      </w:p>
    </w:sdtContent>
  </w:sdt>
  <w:p w14:paraId="351B89EF" w14:textId="77777777" w:rsidR="00BD501F" w:rsidRPr="00287EFB" w:rsidRDefault="00BD501F" w:rsidP="00C130D2">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2901128"/>
      <w:docPartObj>
        <w:docPartGallery w:val="Page Numbers (Bottom of Page)"/>
        <w:docPartUnique/>
      </w:docPartObj>
    </w:sdtPr>
    <w:sdtEndPr>
      <w:rPr>
        <w:noProof/>
      </w:rPr>
    </w:sdtEndPr>
    <w:sdtContent>
      <w:p w14:paraId="34B3CC75" w14:textId="485AC843" w:rsidR="00BD501F" w:rsidRDefault="00BD501F">
        <w:pPr>
          <w:pStyle w:val="Footer"/>
        </w:pPr>
        <w:r>
          <w:fldChar w:fldCharType="begin"/>
        </w:r>
        <w:r>
          <w:instrText xml:space="preserve"> PAGE   \* MERGEFORMAT </w:instrText>
        </w:r>
        <w:r>
          <w:fldChar w:fldCharType="separate"/>
        </w:r>
        <w:r w:rsidR="00500481">
          <w:rPr>
            <w:noProof/>
          </w:rPr>
          <w:t>17</w:t>
        </w:r>
        <w:r>
          <w:rPr>
            <w:noProof/>
          </w:rPr>
          <w:fldChar w:fldCharType="end"/>
        </w:r>
      </w:p>
    </w:sdtContent>
  </w:sdt>
  <w:p w14:paraId="70B77F64" w14:textId="77777777" w:rsidR="00BD501F" w:rsidRPr="00287EFB" w:rsidRDefault="00BD501F" w:rsidP="00C130D2">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92648693"/>
      <w:docPartObj>
        <w:docPartGallery w:val="Page Numbers (Bottom of Page)"/>
        <w:docPartUnique/>
      </w:docPartObj>
    </w:sdtPr>
    <w:sdtEndPr>
      <w:rPr>
        <w:noProof/>
      </w:rPr>
    </w:sdtEndPr>
    <w:sdtContent>
      <w:p w14:paraId="4C195E3A" w14:textId="4CC7A3ED" w:rsidR="00BD501F" w:rsidRDefault="00BD501F">
        <w:pPr>
          <w:pStyle w:val="Footer"/>
        </w:pPr>
        <w:r>
          <w:fldChar w:fldCharType="begin"/>
        </w:r>
        <w:r>
          <w:instrText xml:space="preserve"> PAGE   \* MERGEFORMAT </w:instrText>
        </w:r>
        <w:r>
          <w:fldChar w:fldCharType="separate"/>
        </w:r>
        <w:r w:rsidR="00500481">
          <w:rPr>
            <w:noProof/>
          </w:rPr>
          <w:t>27</w:t>
        </w:r>
        <w:r>
          <w:rPr>
            <w:noProof/>
          </w:rPr>
          <w:fldChar w:fldCharType="end"/>
        </w:r>
      </w:p>
    </w:sdtContent>
  </w:sdt>
  <w:p w14:paraId="0440AD51" w14:textId="77777777" w:rsidR="00BD501F" w:rsidRPr="00287EFB" w:rsidRDefault="00BD501F" w:rsidP="00C130D2">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68862087"/>
      <w:docPartObj>
        <w:docPartGallery w:val="Page Numbers (Bottom of Page)"/>
        <w:docPartUnique/>
      </w:docPartObj>
    </w:sdtPr>
    <w:sdtEndPr>
      <w:rPr>
        <w:noProof/>
      </w:rPr>
    </w:sdtEndPr>
    <w:sdtContent>
      <w:p w14:paraId="071DD72C" w14:textId="77777777" w:rsidR="00BD501F" w:rsidRPr="001B7E15" w:rsidRDefault="00BD501F" w:rsidP="00C130D2">
        <w:pPr>
          <w:pStyle w:val="Footer"/>
          <w:jc w:val="right"/>
        </w:pPr>
        <w:r w:rsidRPr="001B7E15">
          <w:fldChar w:fldCharType="begin"/>
        </w:r>
        <w:r w:rsidRPr="001B7E15">
          <w:instrText xml:space="preserve"> PAGE   \* MERGEFORMAT </w:instrText>
        </w:r>
        <w:r w:rsidRPr="001B7E15">
          <w:fldChar w:fldCharType="separate"/>
        </w:r>
        <w:r>
          <w:rPr>
            <w:noProof/>
          </w:rPr>
          <w:t>2</w:t>
        </w:r>
        <w:r w:rsidRPr="001B7E15">
          <w:rPr>
            <w:noProof/>
          </w:rPr>
          <w:fldChar w:fldCharType="end"/>
        </w:r>
      </w:p>
    </w:sdtContent>
  </w:sdt>
  <w:p w14:paraId="1ED457DA" w14:textId="77777777" w:rsidR="00BD501F" w:rsidRPr="00231623" w:rsidRDefault="00BD501F" w:rsidP="00231623">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4654684"/>
      <w:docPartObj>
        <w:docPartGallery w:val="Page Numbers (Bottom of Page)"/>
        <w:docPartUnique/>
      </w:docPartObj>
    </w:sdtPr>
    <w:sdtEndPr>
      <w:rPr>
        <w:noProof/>
      </w:rPr>
    </w:sdtEndPr>
    <w:sdtContent>
      <w:p w14:paraId="1AA574D8" w14:textId="74755809" w:rsidR="00BD501F" w:rsidRPr="001B7E15" w:rsidRDefault="00BD501F" w:rsidP="00C130D2">
        <w:pPr>
          <w:pStyle w:val="Footer"/>
        </w:pPr>
        <w:r w:rsidRPr="001B7E15">
          <w:fldChar w:fldCharType="begin"/>
        </w:r>
        <w:r w:rsidRPr="001B7E15">
          <w:instrText xml:space="preserve"> PAGE   \* MERGEFORMAT </w:instrText>
        </w:r>
        <w:r w:rsidRPr="001B7E15">
          <w:fldChar w:fldCharType="separate"/>
        </w:r>
        <w:r w:rsidR="00500481">
          <w:rPr>
            <w:noProof/>
          </w:rPr>
          <w:t>28</w:t>
        </w:r>
        <w:r w:rsidRPr="001B7E15">
          <w:rPr>
            <w:noProof/>
          </w:rPr>
          <w:fldChar w:fldCharType="end"/>
        </w:r>
      </w:p>
    </w:sdtContent>
  </w:sdt>
  <w:p w14:paraId="5880545D" w14:textId="77777777" w:rsidR="00BD501F" w:rsidRPr="00725FF8" w:rsidRDefault="00BD501F" w:rsidP="00C130D2">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31775734"/>
      <w:docPartObj>
        <w:docPartGallery w:val="Page Numbers (Bottom of Page)"/>
        <w:docPartUnique/>
      </w:docPartObj>
    </w:sdtPr>
    <w:sdtEndPr>
      <w:rPr>
        <w:noProof/>
      </w:rPr>
    </w:sdtEndPr>
    <w:sdtContent>
      <w:p w14:paraId="0C3CA4EF" w14:textId="77777777" w:rsidR="00BD501F" w:rsidRPr="001B7E15" w:rsidRDefault="00BD501F"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0D902989" w14:textId="77777777" w:rsidR="00BD501F" w:rsidRPr="00231623" w:rsidRDefault="00BD501F" w:rsidP="00231623">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71641143"/>
      <w:docPartObj>
        <w:docPartGallery w:val="Page Numbers (Bottom of Page)"/>
        <w:docPartUnique/>
      </w:docPartObj>
    </w:sdtPr>
    <w:sdtEndPr>
      <w:rPr>
        <w:noProof/>
      </w:rPr>
    </w:sdtEndPr>
    <w:sdtContent>
      <w:p w14:paraId="139E9D30" w14:textId="77777777" w:rsidR="00BD501F" w:rsidRPr="001B7E15" w:rsidRDefault="00BD501F" w:rsidP="00C130D2">
        <w:pPr>
          <w:pStyle w:val="Footer"/>
        </w:pPr>
        <w:r w:rsidRPr="001B7E15">
          <w:fldChar w:fldCharType="begin"/>
        </w:r>
        <w:r w:rsidRPr="001B7E15">
          <w:instrText xml:space="preserve"> PAGE   \* MERGEFORMAT </w:instrText>
        </w:r>
        <w:r w:rsidRPr="001B7E15">
          <w:fldChar w:fldCharType="separate"/>
        </w:r>
        <w:r>
          <w:rPr>
            <w:noProof/>
          </w:rPr>
          <w:t>2</w:t>
        </w:r>
        <w:r w:rsidRPr="001B7E15">
          <w:rPr>
            <w:noProof/>
          </w:rPr>
          <w:fldChar w:fldCharType="end"/>
        </w:r>
      </w:p>
    </w:sdtContent>
  </w:sdt>
  <w:p w14:paraId="4700EBD1" w14:textId="77777777" w:rsidR="00BD501F" w:rsidRPr="00725FF8" w:rsidRDefault="00BD501F" w:rsidP="00C130D2">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42888015"/>
      <w:docPartObj>
        <w:docPartGallery w:val="Page Numbers (Bottom of Page)"/>
        <w:docPartUnique/>
      </w:docPartObj>
    </w:sdtPr>
    <w:sdtEndPr>
      <w:rPr>
        <w:noProof/>
      </w:rPr>
    </w:sdtEndPr>
    <w:sdtContent>
      <w:p w14:paraId="40919232" w14:textId="77777777" w:rsidR="00BD501F" w:rsidRPr="001B7E15" w:rsidRDefault="00BD501F"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2BA25C63" w14:textId="77777777" w:rsidR="00BD501F" w:rsidRPr="00231623" w:rsidRDefault="00BD501F" w:rsidP="00C130D2">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7367517"/>
      <w:docPartObj>
        <w:docPartGallery w:val="Page Numbers (Bottom of Page)"/>
        <w:docPartUnique/>
      </w:docPartObj>
    </w:sdtPr>
    <w:sdtEndPr>
      <w:rPr>
        <w:noProof/>
      </w:rPr>
    </w:sdtEndPr>
    <w:sdtContent>
      <w:p w14:paraId="4FCC36DC" w14:textId="77777777" w:rsidR="00BD501F" w:rsidRDefault="00BD501F" w:rsidP="00C130D2">
        <w:pPr>
          <w:pStyle w:val="Footer"/>
          <w:rPr>
            <w:noProof/>
          </w:rPr>
        </w:pPr>
        <w:r w:rsidRPr="001B7E15">
          <w:fldChar w:fldCharType="begin"/>
        </w:r>
        <w:r w:rsidRPr="001B7E15">
          <w:instrText xml:space="preserve"> PAGE   \* MERGEFORMAT </w:instrText>
        </w:r>
        <w:r w:rsidRPr="001B7E15">
          <w:fldChar w:fldCharType="separate"/>
        </w:r>
        <w:r>
          <w:rPr>
            <w:noProof/>
          </w:rPr>
          <w:t>2</w:t>
        </w:r>
        <w:r w:rsidRPr="001B7E15">
          <w:rPr>
            <w:noProof/>
          </w:rPr>
          <w:fldChar w:fldCharType="end"/>
        </w:r>
      </w:p>
    </w:sdtContent>
  </w:sdt>
  <w:p w14:paraId="68616E69" w14:textId="77777777" w:rsidR="00BD501F" w:rsidRPr="00956C60" w:rsidRDefault="00BD501F" w:rsidP="00956C60">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1109205"/>
      <w:docPartObj>
        <w:docPartGallery w:val="Page Numbers (Bottom of Page)"/>
        <w:docPartUnique/>
      </w:docPartObj>
    </w:sdtPr>
    <w:sdtEndPr>
      <w:rPr>
        <w:noProof/>
      </w:rPr>
    </w:sdtEndPr>
    <w:sdtContent>
      <w:p w14:paraId="761AE17E" w14:textId="77777777" w:rsidR="00BD501F" w:rsidRPr="001B7E15" w:rsidRDefault="00BD501F"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004994B7" w14:textId="77777777" w:rsidR="00BD501F" w:rsidRPr="00231623" w:rsidRDefault="00BD501F" w:rsidP="00231623">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05561542"/>
      <w:docPartObj>
        <w:docPartGallery w:val="Page Numbers (Bottom of Page)"/>
        <w:docPartUnique/>
      </w:docPartObj>
    </w:sdtPr>
    <w:sdtEndPr>
      <w:rPr>
        <w:noProof/>
      </w:rPr>
    </w:sdtEndPr>
    <w:sdtContent>
      <w:p w14:paraId="64DE05E2" w14:textId="28CB932D" w:rsidR="00BD501F" w:rsidRPr="001B7E15" w:rsidRDefault="00BD501F" w:rsidP="00C130D2">
        <w:pPr>
          <w:pStyle w:val="Footer"/>
        </w:pPr>
        <w:r w:rsidRPr="001B7E15">
          <w:fldChar w:fldCharType="begin"/>
        </w:r>
        <w:r w:rsidRPr="001B7E15">
          <w:instrText xml:space="preserve"> PAGE   \* MERGEFORMAT </w:instrText>
        </w:r>
        <w:r w:rsidRPr="001B7E15">
          <w:fldChar w:fldCharType="separate"/>
        </w:r>
        <w:r w:rsidR="00500481">
          <w:rPr>
            <w:noProof/>
          </w:rPr>
          <w:t>34</w:t>
        </w:r>
        <w:r w:rsidRPr="001B7E15">
          <w:rPr>
            <w:noProof/>
          </w:rPr>
          <w:fldChar w:fldCharType="end"/>
        </w:r>
      </w:p>
    </w:sdtContent>
  </w:sdt>
  <w:p w14:paraId="34949CDF" w14:textId="77777777" w:rsidR="00BD501F" w:rsidRPr="00725FF8" w:rsidRDefault="00BD501F" w:rsidP="00C130D2">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008135"/>
      <w:docPartObj>
        <w:docPartGallery w:val="Page Numbers (Bottom of Page)"/>
        <w:docPartUnique/>
      </w:docPartObj>
    </w:sdtPr>
    <w:sdtEndPr>
      <w:rPr>
        <w:noProof/>
      </w:rPr>
    </w:sdtEndPr>
    <w:sdtContent>
      <w:p w14:paraId="69FCE361" w14:textId="77777777" w:rsidR="00BD501F" w:rsidRPr="001B7E15" w:rsidRDefault="00BD501F" w:rsidP="00C130D2">
        <w:pPr>
          <w:pStyle w:val="Footer"/>
          <w:jc w:val="right"/>
        </w:pPr>
        <w:r w:rsidRPr="001B7E15">
          <w:fldChar w:fldCharType="begin"/>
        </w:r>
        <w:r w:rsidRPr="001B7E15">
          <w:instrText xml:space="preserve"> PAGE   \* MERGEFORMAT </w:instrText>
        </w:r>
        <w:r w:rsidRPr="001B7E15">
          <w:fldChar w:fldCharType="separate"/>
        </w:r>
        <w:r>
          <w:rPr>
            <w:noProof/>
          </w:rPr>
          <w:t>8</w:t>
        </w:r>
        <w:r w:rsidRPr="001B7E15">
          <w:rPr>
            <w:noProof/>
          </w:rPr>
          <w:fldChar w:fldCharType="end"/>
        </w:r>
      </w:p>
    </w:sdtContent>
  </w:sdt>
  <w:p w14:paraId="25ABFDE5" w14:textId="77777777" w:rsidR="00BD501F" w:rsidRPr="00231623" w:rsidRDefault="00BD501F" w:rsidP="00231623">
    <w:pPr>
      <w:pStyle w:val="Footer"/>
    </w:pPr>
  </w:p>
  <w:p w14:paraId="5238051E" w14:textId="77777777" w:rsidR="00BD501F" w:rsidRDefault="00BD501F"/>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73308284"/>
      <w:docPartObj>
        <w:docPartGallery w:val="Page Numbers (Bottom of Page)"/>
        <w:docPartUnique/>
      </w:docPartObj>
    </w:sdtPr>
    <w:sdtEndPr>
      <w:rPr>
        <w:noProof/>
      </w:rPr>
    </w:sdtEndPr>
    <w:sdtContent>
      <w:p w14:paraId="2BE1DEEA" w14:textId="77777777" w:rsidR="00BD501F" w:rsidRPr="001B7E15" w:rsidRDefault="00BD501F" w:rsidP="00C130D2">
        <w:pPr>
          <w:pStyle w:val="Footer"/>
        </w:pPr>
        <w:r w:rsidRPr="001B7E15">
          <w:fldChar w:fldCharType="begin"/>
        </w:r>
        <w:r w:rsidRPr="001B7E15">
          <w:instrText xml:space="preserve"> PAGE   \* MERGEFORMAT </w:instrText>
        </w:r>
        <w:r w:rsidRPr="001B7E15">
          <w:fldChar w:fldCharType="separate"/>
        </w:r>
        <w:r>
          <w:rPr>
            <w:noProof/>
          </w:rPr>
          <w:t>8</w:t>
        </w:r>
        <w:r w:rsidRPr="001B7E15">
          <w:rPr>
            <w:noProof/>
          </w:rPr>
          <w:fldChar w:fldCharType="end"/>
        </w:r>
      </w:p>
    </w:sdtContent>
  </w:sdt>
  <w:p w14:paraId="13318769" w14:textId="77777777" w:rsidR="00BD501F" w:rsidRPr="00725FF8" w:rsidRDefault="00BD501F" w:rsidP="00C130D2">
    <w:pPr>
      <w:pStyle w:val="Footer"/>
    </w:pPr>
  </w:p>
  <w:p w14:paraId="6E2476CC" w14:textId="77777777" w:rsidR="00BD501F" w:rsidRDefault="00BD501F"/>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05564734"/>
      <w:docPartObj>
        <w:docPartGallery w:val="Page Numbers (Bottom of Page)"/>
        <w:docPartUnique/>
      </w:docPartObj>
    </w:sdtPr>
    <w:sdtEndPr>
      <w:rPr>
        <w:noProof/>
      </w:rPr>
    </w:sdtEndPr>
    <w:sdtContent>
      <w:p w14:paraId="226929F1" w14:textId="77777777" w:rsidR="00BD501F" w:rsidRPr="001B7E15" w:rsidRDefault="00BD501F"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377AC490" w14:textId="77777777" w:rsidR="00BD501F" w:rsidRPr="00231623" w:rsidRDefault="00BD501F" w:rsidP="00C130D2">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30074376"/>
      <w:docPartObj>
        <w:docPartGallery w:val="Page Numbers (Bottom of Page)"/>
        <w:docPartUnique/>
      </w:docPartObj>
    </w:sdtPr>
    <w:sdtEndPr>
      <w:rPr>
        <w:noProof/>
      </w:rPr>
    </w:sdtEndPr>
    <w:sdtContent>
      <w:p w14:paraId="0125E22A" w14:textId="77777777" w:rsidR="00BD501F" w:rsidRDefault="00BD501F" w:rsidP="00C130D2">
        <w:pPr>
          <w:pStyle w:val="Footer"/>
          <w:rPr>
            <w:noProof/>
          </w:rPr>
        </w:pPr>
        <w:r w:rsidRPr="001B7E15">
          <w:fldChar w:fldCharType="begin"/>
        </w:r>
        <w:r w:rsidRPr="001B7E15">
          <w:instrText xml:space="preserve"> PAGE   \* MERGEFORMAT </w:instrText>
        </w:r>
        <w:r w:rsidRPr="001B7E15">
          <w:fldChar w:fldCharType="separate"/>
        </w:r>
        <w:r>
          <w:rPr>
            <w:noProof/>
          </w:rPr>
          <w:t>8</w:t>
        </w:r>
        <w:r w:rsidRPr="001B7E15">
          <w:rPr>
            <w:noProof/>
          </w:rPr>
          <w:fldChar w:fldCharType="end"/>
        </w:r>
      </w:p>
    </w:sdtContent>
  </w:sdt>
  <w:p w14:paraId="25620927" w14:textId="77777777" w:rsidR="00BD501F" w:rsidRPr="00956C60" w:rsidRDefault="00BD501F" w:rsidP="00956C60">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5217734"/>
      <w:docPartObj>
        <w:docPartGallery w:val="Page Numbers (Bottom of Page)"/>
        <w:docPartUnique/>
      </w:docPartObj>
    </w:sdtPr>
    <w:sdtEndPr>
      <w:rPr>
        <w:noProof/>
      </w:rPr>
    </w:sdtEndPr>
    <w:sdtContent>
      <w:p w14:paraId="152D69A8" w14:textId="77777777" w:rsidR="00BD501F" w:rsidRPr="001B7E15" w:rsidRDefault="00BD501F"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0A3B15C5" w14:textId="77777777" w:rsidR="00BD501F" w:rsidRPr="00231623" w:rsidRDefault="00BD501F" w:rsidP="00C130D2">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22816122"/>
      <w:docPartObj>
        <w:docPartGallery w:val="Page Numbers (Bottom of Page)"/>
        <w:docPartUnique/>
      </w:docPartObj>
    </w:sdtPr>
    <w:sdtEndPr>
      <w:rPr>
        <w:noProof/>
      </w:rPr>
    </w:sdtEndPr>
    <w:sdtContent>
      <w:p w14:paraId="10EA9C39" w14:textId="7C3F2C13" w:rsidR="00BD501F" w:rsidRDefault="00BD501F" w:rsidP="00C130D2">
        <w:pPr>
          <w:pStyle w:val="Footer"/>
          <w:rPr>
            <w:noProof/>
          </w:rPr>
        </w:pPr>
        <w:r w:rsidRPr="001B7E15">
          <w:fldChar w:fldCharType="begin"/>
        </w:r>
        <w:r w:rsidRPr="001B7E15">
          <w:instrText xml:space="preserve"> PAGE   \* MERGEFORMAT </w:instrText>
        </w:r>
        <w:r w:rsidRPr="001B7E15">
          <w:fldChar w:fldCharType="separate"/>
        </w:r>
        <w:r w:rsidR="00500481">
          <w:rPr>
            <w:noProof/>
          </w:rPr>
          <w:t>37</w:t>
        </w:r>
        <w:r w:rsidRPr="001B7E15">
          <w:rPr>
            <w:noProof/>
          </w:rPr>
          <w:fldChar w:fldCharType="end"/>
        </w:r>
      </w:p>
    </w:sdtContent>
  </w:sdt>
  <w:p w14:paraId="1377E324" w14:textId="77777777" w:rsidR="00BD501F" w:rsidRPr="00956C60" w:rsidRDefault="00BD501F" w:rsidP="00956C60">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38377574"/>
      <w:docPartObj>
        <w:docPartGallery w:val="Page Numbers (Bottom of Page)"/>
        <w:docPartUnique/>
      </w:docPartObj>
    </w:sdtPr>
    <w:sdtEndPr>
      <w:rPr>
        <w:noProof/>
      </w:rPr>
    </w:sdtEndPr>
    <w:sdtContent>
      <w:p w14:paraId="5D5F20F6" w14:textId="77777777" w:rsidR="00BD501F" w:rsidRPr="001B7E15" w:rsidRDefault="00BD501F"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25805D5A" w14:textId="77777777" w:rsidR="00BD501F" w:rsidRPr="00231623" w:rsidRDefault="00BD501F" w:rsidP="00C130D2">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26603696"/>
      <w:docPartObj>
        <w:docPartGallery w:val="Page Numbers (Bottom of Page)"/>
        <w:docPartUnique/>
      </w:docPartObj>
    </w:sdtPr>
    <w:sdtEndPr>
      <w:rPr>
        <w:noProof/>
      </w:rPr>
    </w:sdtEndPr>
    <w:sdtContent>
      <w:p w14:paraId="74141185" w14:textId="77777777" w:rsidR="00BD501F" w:rsidRDefault="00BD501F" w:rsidP="00C130D2">
        <w:pPr>
          <w:pStyle w:val="Footer"/>
          <w:rPr>
            <w:noProof/>
          </w:rPr>
        </w:pPr>
        <w:r w:rsidRPr="001B7E15">
          <w:fldChar w:fldCharType="begin"/>
        </w:r>
        <w:r w:rsidRPr="001B7E15">
          <w:instrText xml:space="preserve"> PAGE   \* MERGEFORMAT </w:instrText>
        </w:r>
        <w:r w:rsidRPr="001B7E15">
          <w:fldChar w:fldCharType="separate"/>
        </w:r>
        <w:r>
          <w:rPr>
            <w:noProof/>
          </w:rPr>
          <w:t>9</w:t>
        </w:r>
        <w:r w:rsidRPr="001B7E15">
          <w:rPr>
            <w:noProof/>
          </w:rPr>
          <w:fldChar w:fldCharType="end"/>
        </w:r>
      </w:p>
    </w:sdtContent>
  </w:sdt>
  <w:p w14:paraId="40F10843" w14:textId="77777777" w:rsidR="00BD501F" w:rsidRPr="00956C60" w:rsidRDefault="00BD501F" w:rsidP="00956C60">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1220299"/>
      <w:docPartObj>
        <w:docPartGallery w:val="Page Numbers (Bottom of Page)"/>
        <w:docPartUnique/>
      </w:docPartObj>
    </w:sdtPr>
    <w:sdtEndPr>
      <w:rPr>
        <w:noProof/>
      </w:rPr>
    </w:sdtEndPr>
    <w:sdtContent>
      <w:p w14:paraId="19641918" w14:textId="77777777" w:rsidR="00BD501F" w:rsidRPr="001B7E15" w:rsidRDefault="00BD501F"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30237115" w14:textId="77777777" w:rsidR="00BD501F" w:rsidRPr="00231623" w:rsidRDefault="00BD501F" w:rsidP="00C130D2">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24446140"/>
      <w:docPartObj>
        <w:docPartGallery w:val="Page Numbers (Bottom of Page)"/>
        <w:docPartUnique/>
      </w:docPartObj>
    </w:sdtPr>
    <w:sdtEndPr>
      <w:rPr>
        <w:noProof/>
      </w:rPr>
    </w:sdtEndPr>
    <w:sdtContent>
      <w:p w14:paraId="10FB77F5" w14:textId="77777777" w:rsidR="00BD501F" w:rsidRDefault="00BD501F" w:rsidP="00C130D2">
        <w:pPr>
          <w:pStyle w:val="Footer"/>
          <w:rPr>
            <w:noProof/>
          </w:rPr>
        </w:pPr>
        <w:r w:rsidRPr="001B7E15">
          <w:fldChar w:fldCharType="begin"/>
        </w:r>
        <w:r w:rsidRPr="001B7E15">
          <w:instrText xml:space="preserve"> PAGE   \* MERGEFORMAT </w:instrText>
        </w:r>
        <w:r w:rsidRPr="001B7E15">
          <w:fldChar w:fldCharType="separate"/>
        </w:r>
        <w:r>
          <w:rPr>
            <w:noProof/>
          </w:rPr>
          <w:t>38</w:t>
        </w:r>
        <w:r w:rsidRPr="001B7E15">
          <w:rPr>
            <w:noProof/>
          </w:rPr>
          <w:fldChar w:fldCharType="end"/>
        </w:r>
      </w:p>
    </w:sdtContent>
  </w:sdt>
  <w:p w14:paraId="1A359C91" w14:textId="77777777" w:rsidR="00BD501F" w:rsidRPr="00956C60" w:rsidRDefault="00BD501F" w:rsidP="00956C60">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77659858"/>
      <w:docPartObj>
        <w:docPartGallery w:val="Page Numbers (Bottom of Page)"/>
        <w:docPartUnique/>
      </w:docPartObj>
    </w:sdtPr>
    <w:sdtEndPr>
      <w:rPr>
        <w:noProof/>
      </w:rPr>
    </w:sdtEndPr>
    <w:sdtContent>
      <w:p w14:paraId="15F95E9E" w14:textId="77777777" w:rsidR="00BD501F" w:rsidRPr="001B7E15" w:rsidRDefault="00BD501F" w:rsidP="00C130D2">
        <w:pPr>
          <w:pStyle w:val="Footer"/>
          <w:jc w:val="right"/>
        </w:pPr>
        <w:r w:rsidRPr="001B7E15">
          <w:fldChar w:fldCharType="begin"/>
        </w:r>
        <w:r w:rsidRPr="001B7E15">
          <w:instrText xml:space="preserve"> PAGE   \* MERGEFORMAT </w:instrText>
        </w:r>
        <w:r w:rsidRPr="001B7E15">
          <w:fldChar w:fldCharType="separate"/>
        </w:r>
        <w:r>
          <w:rPr>
            <w:noProof/>
          </w:rPr>
          <w:t>4</w:t>
        </w:r>
        <w:r w:rsidRPr="001B7E15">
          <w:rPr>
            <w:noProof/>
          </w:rPr>
          <w:fldChar w:fldCharType="end"/>
        </w:r>
      </w:p>
    </w:sdtContent>
  </w:sdt>
  <w:p w14:paraId="1AAF9557" w14:textId="77777777" w:rsidR="00BD501F" w:rsidRPr="00231623" w:rsidRDefault="00BD501F" w:rsidP="00C130D2">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5535924"/>
      <w:docPartObj>
        <w:docPartGallery w:val="Page Numbers (Bottom of Page)"/>
        <w:docPartUnique/>
      </w:docPartObj>
    </w:sdtPr>
    <w:sdtEndPr>
      <w:rPr>
        <w:noProof/>
      </w:rPr>
    </w:sdtEndPr>
    <w:sdtContent>
      <w:p w14:paraId="046EA7A7" w14:textId="6D6DB53F" w:rsidR="00BD501F" w:rsidRDefault="00BD501F" w:rsidP="00C130D2">
        <w:pPr>
          <w:pStyle w:val="Footer"/>
          <w:rPr>
            <w:noProof/>
          </w:rPr>
        </w:pPr>
        <w:r w:rsidRPr="001B7E15">
          <w:fldChar w:fldCharType="begin"/>
        </w:r>
        <w:r w:rsidRPr="001B7E15">
          <w:instrText xml:space="preserve"> PAGE   \* MERGEFORMAT </w:instrText>
        </w:r>
        <w:r w:rsidRPr="001B7E15">
          <w:fldChar w:fldCharType="separate"/>
        </w:r>
        <w:r w:rsidR="00500481">
          <w:rPr>
            <w:noProof/>
          </w:rPr>
          <w:t>42</w:t>
        </w:r>
        <w:r w:rsidRPr="001B7E15">
          <w:rPr>
            <w:noProof/>
          </w:rPr>
          <w:fldChar w:fldCharType="end"/>
        </w:r>
      </w:p>
    </w:sdtContent>
  </w:sdt>
  <w:p w14:paraId="2422551C" w14:textId="77777777" w:rsidR="00BD501F" w:rsidRPr="00956C60" w:rsidRDefault="00BD501F" w:rsidP="00956C60">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36434843"/>
      <w:docPartObj>
        <w:docPartGallery w:val="Page Numbers (Bottom of Page)"/>
        <w:docPartUnique/>
      </w:docPartObj>
    </w:sdtPr>
    <w:sdtEndPr>
      <w:rPr>
        <w:noProof/>
      </w:rPr>
    </w:sdtEndPr>
    <w:sdtContent>
      <w:p w14:paraId="3224D648" w14:textId="77777777" w:rsidR="00BD501F" w:rsidRPr="001B7E15" w:rsidRDefault="00BD501F" w:rsidP="00C130D2">
        <w:pPr>
          <w:pStyle w:val="Footer"/>
          <w:jc w:val="right"/>
        </w:pPr>
        <w:r w:rsidRPr="001B7E15">
          <w:fldChar w:fldCharType="begin"/>
        </w:r>
        <w:r w:rsidRPr="001B7E15">
          <w:instrText xml:space="preserve"> PAGE   \* MERGEFORMAT </w:instrText>
        </w:r>
        <w:r w:rsidRPr="001B7E15">
          <w:fldChar w:fldCharType="separate"/>
        </w:r>
        <w:r>
          <w:rPr>
            <w:noProof/>
          </w:rPr>
          <w:t>4</w:t>
        </w:r>
        <w:r w:rsidRPr="001B7E15">
          <w:rPr>
            <w:noProof/>
          </w:rPr>
          <w:fldChar w:fldCharType="end"/>
        </w:r>
      </w:p>
    </w:sdtContent>
  </w:sdt>
  <w:p w14:paraId="4A3D57CE" w14:textId="77777777" w:rsidR="00BD501F" w:rsidRPr="00231623" w:rsidRDefault="00BD501F" w:rsidP="00C130D2">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3149981"/>
      <w:docPartObj>
        <w:docPartGallery w:val="Page Numbers (Bottom of Page)"/>
        <w:docPartUnique/>
      </w:docPartObj>
    </w:sdtPr>
    <w:sdtEndPr>
      <w:rPr>
        <w:noProof/>
      </w:rPr>
    </w:sdtEndPr>
    <w:sdtContent>
      <w:p w14:paraId="74387FF5" w14:textId="1BDE6F5A" w:rsidR="00BD501F" w:rsidRDefault="00BD501F" w:rsidP="00C130D2">
        <w:pPr>
          <w:pStyle w:val="Footer"/>
          <w:rPr>
            <w:noProof/>
          </w:rPr>
        </w:pPr>
        <w:r w:rsidRPr="001B7E15">
          <w:fldChar w:fldCharType="begin"/>
        </w:r>
        <w:r w:rsidRPr="001B7E15">
          <w:instrText xml:space="preserve"> PAGE   \* MERGEFORMAT </w:instrText>
        </w:r>
        <w:r w:rsidRPr="001B7E15">
          <w:fldChar w:fldCharType="separate"/>
        </w:r>
        <w:r w:rsidR="00500481">
          <w:rPr>
            <w:noProof/>
          </w:rPr>
          <w:t>44</w:t>
        </w:r>
        <w:r w:rsidRPr="001B7E15">
          <w:rPr>
            <w:noProof/>
          </w:rPr>
          <w:fldChar w:fldCharType="end"/>
        </w:r>
      </w:p>
    </w:sdtContent>
  </w:sdt>
  <w:p w14:paraId="3691C201" w14:textId="77777777" w:rsidR="00BD501F" w:rsidRPr="00956C60" w:rsidRDefault="00BD501F" w:rsidP="00956C60">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9490390"/>
      <w:docPartObj>
        <w:docPartGallery w:val="Page Numbers (Bottom of Page)"/>
        <w:docPartUnique/>
      </w:docPartObj>
    </w:sdtPr>
    <w:sdtEndPr>
      <w:rPr>
        <w:noProof/>
      </w:rPr>
    </w:sdtEndPr>
    <w:sdtContent>
      <w:p w14:paraId="415EE59F" w14:textId="44377F29" w:rsidR="00BD501F" w:rsidRDefault="00BD501F">
        <w:pPr>
          <w:pStyle w:val="Footer"/>
        </w:pPr>
        <w:r>
          <w:fldChar w:fldCharType="begin"/>
        </w:r>
        <w:r>
          <w:instrText xml:space="preserve"> PAGE   \* MERGEFORMAT </w:instrText>
        </w:r>
        <w:r>
          <w:fldChar w:fldCharType="separate"/>
        </w:r>
        <w:r w:rsidR="00500481">
          <w:rPr>
            <w:noProof/>
          </w:rPr>
          <w:t>45</w:t>
        </w:r>
        <w:r>
          <w:rPr>
            <w:noProof/>
          </w:rPr>
          <w:fldChar w:fldCharType="end"/>
        </w:r>
      </w:p>
    </w:sdtContent>
  </w:sdt>
  <w:p w14:paraId="709BD801" w14:textId="77777777" w:rsidR="00BD501F" w:rsidRDefault="00BD501F">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3391148"/>
      <w:docPartObj>
        <w:docPartGallery w:val="Page Numbers (Bottom of Page)"/>
        <w:docPartUnique/>
      </w:docPartObj>
    </w:sdtPr>
    <w:sdtEndPr>
      <w:rPr>
        <w:noProof/>
      </w:rPr>
    </w:sdtEndPr>
    <w:sdtContent>
      <w:p w14:paraId="6BA7CBBC" w14:textId="304EA805" w:rsidR="00BD501F" w:rsidRDefault="00BD501F">
        <w:pPr>
          <w:pStyle w:val="Footer"/>
        </w:pPr>
        <w:r>
          <w:fldChar w:fldCharType="begin"/>
        </w:r>
        <w:r>
          <w:instrText xml:space="preserve"> PAGE   \* MERGEFORMAT </w:instrText>
        </w:r>
        <w:r>
          <w:fldChar w:fldCharType="separate"/>
        </w:r>
        <w:r w:rsidR="00500481">
          <w:rPr>
            <w:noProof/>
          </w:rPr>
          <w:t>77</w:t>
        </w:r>
        <w:r>
          <w:rPr>
            <w:noProof/>
          </w:rPr>
          <w:fldChar w:fldCharType="end"/>
        </w:r>
      </w:p>
    </w:sdtContent>
  </w:sdt>
  <w:p w14:paraId="1F3FD938" w14:textId="77777777" w:rsidR="00BD501F" w:rsidRDefault="00BD501F">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0375241"/>
      <w:docPartObj>
        <w:docPartGallery w:val="Page Numbers (Bottom of Page)"/>
        <w:docPartUnique/>
      </w:docPartObj>
    </w:sdtPr>
    <w:sdtEndPr>
      <w:rPr>
        <w:noProof/>
      </w:rPr>
    </w:sdtEndPr>
    <w:sdtContent>
      <w:p w14:paraId="3D48DC1C" w14:textId="77777777" w:rsidR="00BD501F" w:rsidRPr="001B7E15" w:rsidRDefault="00BD501F" w:rsidP="00C130D2">
        <w:pPr>
          <w:pStyle w:val="Footer"/>
          <w:jc w:val="right"/>
        </w:pPr>
        <w:r w:rsidRPr="001B7E15">
          <w:fldChar w:fldCharType="begin"/>
        </w:r>
        <w:r w:rsidRPr="001B7E15">
          <w:instrText xml:space="preserve"> PAGE   \* MERGEFORMAT </w:instrText>
        </w:r>
        <w:r w:rsidRPr="001B7E15">
          <w:fldChar w:fldCharType="separate"/>
        </w:r>
        <w:r>
          <w:rPr>
            <w:noProof/>
          </w:rPr>
          <w:t>12</w:t>
        </w:r>
        <w:r w:rsidRPr="001B7E15">
          <w:rPr>
            <w:noProof/>
          </w:rPr>
          <w:fldChar w:fldCharType="end"/>
        </w:r>
      </w:p>
    </w:sdtContent>
  </w:sdt>
  <w:p w14:paraId="2F30E07C" w14:textId="77777777" w:rsidR="00BD501F" w:rsidRPr="00231623" w:rsidRDefault="00BD501F" w:rsidP="00C130D2">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04761709"/>
      <w:docPartObj>
        <w:docPartGallery w:val="Page Numbers (Bottom of Page)"/>
        <w:docPartUnique/>
      </w:docPartObj>
    </w:sdtPr>
    <w:sdtEndPr>
      <w:rPr>
        <w:noProof/>
      </w:rPr>
    </w:sdtEndPr>
    <w:sdtContent>
      <w:p w14:paraId="61409C8F" w14:textId="365E604B" w:rsidR="00BD501F" w:rsidRDefault="00BD501F" w:rsidP="00C130D2">
        <w:pPr>
          <w:pStyle w:val="Footer"/>
          <w:rPr>
            <w:noProof/>
          </w:rPr>
        </w:pPr>
        <w:r w:rsidRPr="001B7E15">
          <w:fldChar w:fldCharType="begin"/>
        </w:r>
        <w:r w:rsidRPr="001B7E15">
          <w:instrText xml:space="preserve"> PAGE   \* MERGEFORMAT </w:instrText>
        </w:r>
        <w:r w:rsidRPr="001B7E15">
          <w:fldChar w:fldCharType="separate"/>
        </w:r>
        <w:r w:rsidR="00500481">
          <w:rPr>
            <w:noProof/>
          </w:rPr>
          <w:t>49</w:t>
        </w:r>
        <w:r w:rsidRPr="001B7E15">
          <w:rPr>
            <w:noProof/>
          </w:rPr>
          <w:fldChar w:fldCharType="end"/>
        </w:r>
      </w:p>
    </w:sdtContent>
  </w:sdt>
  <w:p w14:paraId="06C30BFF" w14:textId="77777777" w:rsidR="00BD501F" w:rsidRPr="00956C60" w:rsidRDefault="00BD501F" w:rsidP="00956C60">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3590447"/>
      <w:docPartObj>
        <w:docPartGallery w:val="Page Numbers (Bottom of Page)"/>
        <w:docPartUnique/>
      </w:docPartObj>
    </w:sdtPr>
    <w:sdtEndPr>
      <w:rPr>
        <w:noProof/>
      </w:rPr>
    </w:sdtEndPr>
    <w:sdtContent>
      <w:p w14:paraId="6C9BA274" w14:textId="77777777" w:rsidR="00BD501F" w:rsidRPr="001B7E15" w:rsidRDefault="00BD501F" w:rsidP="002A2551">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29B42737" w14:textId="77777777" w:rsidR="00BD501F" w:rsidRPr="00231623" w:rsidRDefault="00BD501F" w:rsidP="002A2551">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0397868"/>
      <w:docPartObj>
        <w:docPartGallery w:val="Page Numbers (Bottom of Page)"/>
        <w:docPartUnique/>
      </w:docPartObj>
    </w:sdtPr>
    <w:sdtEndPr>
      <w:rPr>
        <w:noProof/>
      </w:rPr>
    </w:sdtEndPr>
    <w:sdtContent>
      <w:p w14:paraId="68FF20AB" w14:textId="25ACDC16" w:rsidR="00BD501F" w:rsidRDefault="00BD501F" w:rsidP="002A2551">
        <w:pPr>
          <w:pStyle w:val="Footer"/>
          <w:rPr>
            <w:noProof/>
          </w:rPr>
        </w:pPr>
        <w:r w:rsidRPr="001B7E15">
          <w:fldChar w:fldCharType="begin"/>
        </w:r>
        <w:r w:rsidRPr="001B7E15">
          <w:instrText xml:space="preserve"> PAGE   \* MERGEFORMAT </w:instrText>
        </w:r>
        <w:r w:rsidRPr="001B7E15">
          <w:fldChar w:fldCharType="separate"/>
        </w:r>
        <w:r w:rsidR="00500481">
          <w:rPr>
            <w:noProof/>
          </w:rPr>
          <w:t>58</w:t>
        </w:r>
        <w:r w:rsidRPr="001B7E15">
          <w:rPr>
            <w:noProof/>
          </w:rPr>
          <w:fldChar w:fldCharType="end"/>
        </w:r>
      </w:p>
    </w:sdtContent>
  </w:sdt>
  <w:p w14:paraId="1E953A08" w14:textId="77777777" w:rsidR="00BD501F" w:rsidRPr="00956C60" w:rsidRDefault="00BD501F" w:rsidP="002A2551">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9116022"/>
      <w:docPartObj>
        <w:docPartGallery w:val="Page Numbers (Bottom of Page)"/>
        <w:docPartUnique/>
      </w:docPartObj>
    </w:sdtPr>
    <w:sdtEndPr>
      <w:rPr>
        <w:noProof/>
      </w:rPr>
    </w:sdtEndPr>
    <w:sdtContent>
      <w:p w14:paraId="3E69136A" w14:textId="77777777" w:rsidR="00BD501F" w:rsidRPr="001B7E15" w:rsidRDefault="00BD501F" w:rsidP="002A2551">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601AAD63" w14:textId="77777777" w:rsidR="00BD501F" w:rsidRPr="00231623" w:rsidRDefault="00BD501F" w:rsidP="002A2551">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6350315"/>
      <w:docPartObj>
        <w:docPartGallery w:val="Page Numbers (Bottom of Page)"/>
        <w:docPartUnique/>
      </w:docPartObj>
    </w:sdtPr>
    <w:sdtEndPr>
      <w:rPr>
        <w:noProof/>
      </w:rPr>
    </w:sdtEndPr>
    <w:sdtContent>
      <w:p w14:paraId="4A99F01A" w14:textId="4101F16C" w:rsidR="00BD501F" w:rsidRDefault="00BD501F" w:rsidP="002A2551">
        <w:pPr>
          <w:pStyle w:val="Footer"/>
          <w:rPr>
            <w:noProof/>
          </w:rPr>
        </w:pPr>
        <w:r w:rsidRPr="001B7E15">
          <w:fldChar w:fldCharType="begin"/>
        </w:r>
        <w:r w:rsidRPr="001B7E15">
          <w:instrText xml:space="preserve"> PAGE   \* MERGEFORMAT </w:instrText>
        </w:r>
        <w:r w:rsidRPr="001B7E15">
          <w:fldChar w:fldCharType="separate"/>
        </w:r>
        <w:r w:rsidR="00500481">
          <w:rPr>
            <w:noProof/>
          </w:rPr>
          <w:t>69</w:t>
        </w:r>
        <w:r w:rsidRPr="001B7E15">
          <w:rPr>
            <w:noProof/>
          </w:rPr>
          <w:fldChar w:fldCharType="end"/>
        </w:r>
      </w:p>
    </w:sdtContent>
  </w:sdt>
  <w:p w14:paraId="0E9CEF96" w14:textId="77777777" w:rsidR="00BD501F" w:rsidRPr="00956C60" w:rsidRDefault="00BD501F" w:rsidP="002A2551">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0594641"/>
      <w:docPartObj>
        <w:docPartGallery w:val="Page Numbers (Bottom of Page)"/>
        <w:docPartUnique/>
      </w:docPartObj>
    </w:sdtPr>
    <w:sdtEndPr>
      <w:rPr>
        <w:noProof/>
      </w:rPr>
    </w:sdtEndPr>
    <w:sdtContent>
      <w:p w14:paraId="1AA13385" w14:textId="77777777" w:rsidR="00BD501F" w:rsidRPr="001B7E15" w:rsidRDefault="00BD501F" w:rsidP="000D3688">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354236BB" w14:textId="77777777" w:rsidR="00BD501F" w:rsidRPr="00231623" w:rsidRDefault="00BD501F" w:rsidP="000D3688">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1081999"/>
      <w:docPartObj>
        <w:docPartGallery w:val="Page Numbers (Bottom of Page)"/>
        <w:docPartUnique/>
      </w:docPartObj>
    </w:sdtPr>
    <w:sdtEndPr>
      <w:rPr>
        <w:noProof/>
      </w:rPr>
    </w:sdtEndPr>
    <w:sdtContent>
      <w:p w14:paraId="048262EE" w14:textId="28A37174" w:rsidR="00BD501F" w:rsidRDefault="00BD501F" w:rsidP="000D3688">
        <w:pPr>
          <w:pStyle w:val="Footer"/>
          <w:rPr>
            <w:noProof/>
          </w:rPr>
        </w:pPr>
        <w:r w:rsidRPr="001B7E15">
          <w:fldChar w:fldCharType="begin"/>
        </w:r>
        <w:r w:rsidRPr="001B7E15">
          <w:instrText xml:space="preserve"> PAGE   \* MERGEFORMAT </w:instrText>
        </w:r>
        <w:r w:rsidRPr="001B7E15">
          <w:fldChar w:fldCharType="separate"/>
        </w:r>
        <w:r w:rsidR="00500481">
          <w:rPr>
            <w:noProof/>
          </w:rPr>
          <w:t>72</w:t>
        </w:r>
        <w:r w:rsidRPr="001B7E15">
          <w:rPr>
            <w:noProof/>
          </w:rPr>
          <w:fldChar w:fldCharType="end"/>
        </w:r>
      </w:p>
    </w:sdtContent>
  </w:sdt>
  <w:p w14:paraId="1919E548" w14:textId="77777777" w:rsidR="00BD501F" w:rsidRPr="00956C60" w:rsidRDefault="00BD501F" w:rsidP="000D3688">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0377238"/>
      <w:docPartObj>
        <w:docPartGallery w:val="Page Numbers (Bottom of Page)"/>
        <w:docPartUnique/>
      </w:docPartObj>
    </w:sdtPr>
    <w:sdtEndPr>
      <w:rPr>
        <w:noProof/>
      </w:rPr>
    </w:sdtEndPr>
    <w:sdtContent>
      <w:p w14:paraId="67138006" w14:textId="77777777" w:rsidR="00BD501F" w:rsidRPr="001B7E15" w:rsidRDefault="00BD501F"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72235D63" w14:textId="77777777" w:rsidR="00BD501F" w:rsidRPr="00231623" w:rsidRDefault="00BD501F" w:rsidP="00231623">
    <w:pPr>
      <w:pStyle w:val="Footer"/>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9369222"/>
      <w:docPartObj>
        <w:docPartGallery w:val="Page Numbers (Bottom of Page)"/>
        <w:docPartUnique/>
      </w:docPartObj>
    </w:sdtPr>
    <w:sdtEndPr>
      <w:rPr>
        <w:noProof/>
      </w:rPr>
    </w:sdtEndPr>
    <w:sdtContent>
      <w:p w14:paraId="3252A717" w14:textId="77777777" w:rsidR="00BD501F" w:rsidRPr="001B7E15" w:rsidRDefault="00BD501F" w:rsidP="00C130D2">
        <w:pPr>
          <w:pStyle w:val="Footer"/>
        </w:pPr>
        <w:r w:rsidRPr="001B7E15">
          <w:fldChar w:fldCharType="begin"/>
        </w:r>
        <w:r w:rsidRPr="001B7E15">
          <w:instrText xml:space="preserve"> PAGE   \* MERGEFORMAT </w:instrText>
        </w:r>
        <w:r w:rsidRPr="001B7E15">
          <w:fldChar w:fldCharType="separate"/>
        </w:r>
        <w:r>
          <w:rPr>
            <w:noProof/>
          </w:rPr>
          <w:t>46</w:t>
        </w:r>
        <w:r w:rsidRPr="001B7E15">
          <w:rPr>
            <w:noProof/>
          </w:rPr>
          <w:fldChar w:fldCharType="end"/>
        </w:r>
      </w:p>
    </w:sdtContent>
  </w:sdt>
  <w:p w14:paraId="27E0F2ED" w14:textId="77777777" w:rsidR="00BD501F" w:rsidRPr="00725FF8" w:rsidRDefault="00BD501F" w:rsidP="00C130D2">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7254257"/>
      <w:docPartObj>
        <w:docPartGallery w:val="Page Numbers (Bottom of Page)"/>
        <w:docPartUnique/>
      </w:docPartObj>
    </w:sdtPr>
    <w:sdtEndPr>
      <w:rPr>
        <w:noProof/>
      </w:rPr>
    </w:sdtEndPr>
    <w:sdtContent>
      <w:p w14:paraId="702F61E3" w14:textId="77777777" w:rsidR="00BD501F" w:rsidRPr="001B7E15" w:rsidRDefault="00BD501F" w:rsidP="000D3688">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64CB4064" w14:textId="77777777" w:rsidR="00BD501F" w:rsidRPr="00231623" w:rsidRDefault="00BD501F" w:rsidP="000D3688">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25409187"/>
      <w:docPartObj>
        <w:docPartGallery w:val="Page Numbers (Bottom of Page)"/>
        <w:docPartUnique/>
      </w:docPartObj>
    </w:sdtPr>
    <w:sdtEndPr>
      <w:rPr>
        <w:noProof/>
      </w:rPr>
    </w:sdtEndPr>
    <w:sdtContent>
      <w:p w14:paraId="0BD412BD" w14:textId="2619FC0A" w:rsidR="00BD501F" w:rsidRDefault="00BD501F" w:rsidP="000D3688">
        <w:pPr>
          <w:pStyle w:val="Footer"/>
          <w:rPr>
            <w:noProof/>
          </w:rPr>
        </w:pPr>
        <w:r w:rsidRPr="001B7E15">
          <w:fldChar w:fldCharType="begin"/>
        </w:r>
        <w:r w:rsidRPr="001B7E15">
          <w:instrText xml:space="preserve"> PAGE   \* MERGEFORMAT </w:instrText>
        </w:r>
        <w:r w:rsidRPr="001B7E15">
          <w:fldChar w:fldCharType="separate"/>
        </w:r>
        <w:r w:rsidR="00500481">
          <w:rPr>
            <w:noProof/>
          </w:rPr>
          <w:t>75</w:t>
        </w:r>
        <w:r w:rsidRPr="001B7E15">
          <w:rPr>
            <w:noProof/>
          </w:rPr>
          <w:fldChar w:fldCharType="end"/>
        </w:r>
      </w:p>
    </w:sdtContent>
  </w:sdt>
  <w:p w14:paraId="61DF9C46" w14:textId="77777777" w:rsidR="00BD501F" w:rsidRPr="00956C60" w:rsidRDefault="00BD501F" w:rsidP="000D3688">
    <w:pPr>
      <w:pStyle w:val="Footer"/>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0547478"/>
      <w:docPartObj>
        <w:docPartGallery w:val="Page Numbers (Bottom of Page)"/>
        <w:docPartUnique/>
      </w:docPartObj>
    </w:sdtPr>
    <w:sdtEndPr>
      <w:rPr>
        <w:noProof/>
      </w:rPr>
    </w:sdtEndPr>
    <w:sdtContent>
      <w:sdt>
        <w:sdtPr>
          <w:id w:val="991600081"/>
          <w:docPartObj>
            <w:docPartGallery w:val="Page Numbers (Bottom of Page)"/>
            <w:docPartUnique/>
          </w:docPartObj>
        </w:sdtPr>
        <w:sdtEndPr>
          <w:rPr>
            <w:noProof/>
          </w:rPr>
        </w:sdtEndPr>
        <w:sdtContent>
          <w:p w14:paraId="6DF690C3" w14:textId="77777777" w:rsidR="00BD501F" w:rsidRPr="00F061F2" w:rsidRDefault="00BD501F" w:rsidP="00C130D2">
            <w:pPr>
              <w:pStyle w:val="Footer"/>
              <w:jc w:val="right"/>
            </w:pPr>
            <w:r w:rsidRPr="001B7E15">
              <w:fldChar w:fldCharType="begin"/>
            </w:r>
            <w:r w:rsidRPr="001B7E15">
              <w:instrText xml:space="preserve"> PAGE   \* MERGEFORMAT </w:instrText>
            </w:r>
            <w:r w:rsidRPr="001B7E15">
              <w:fldChar w:fldCharType="separate"/>
            </w:r>
            <w:r>
              <w:rPr>
                <w:noProof/>
              </w:rPr>
              <w:t>88</w:t>
            </w:r>
            <w:r w:rsidRPr="001B7E15">
              <w:rPr>
                <w:noProof/>
              </w:rPr>
              <w:fldChar w:fldCharType="end"/>
            </w:r>
          </w:p>
        </w:sdtContent>
      </w:sdt>
    </w:sdtContent>
  </w:sdt>
  <w:p w14:paraId="271C7689" w14:textId="77777777" w:rsidR="00BD501F" w:rsidRDefault="00BD501F" w:rsidP="00542CA2">
    <w:pPr>
      <w:spacing w:after="0"/>
    </w:pPr>
  </w:p>
  <w:p w14:paraId="09FC3C9D" w14:textId="77777777" w:rsidR="00BD501F" w:rsidRDefault="00BD501F"/>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96752272"/>
      <w:docPartObj>
        <w:docPartGallery w:val="Page Numbers (Bottom of Page)"/>
        <w:docPartUnique/>
      </w:docPartObj>
    </w:sdtPr>
    <w:sdtEndPr>
      <w:rPr>
        <w:noProof/>
      </w:rPr>
    </w:sdtEndPr>
    <w:sdtContent>
      <w:sdt>
        <w:sdtPr>
          <w:id w:val="529988748"/>
          <w:docPartObj>
            <w:docPartGallery w:val="Page Numbers (Bottom of Page)"/>
            <w:docPartUnique/>
          </w:docPartObj>
        </w:sdtPr>
        <w:sdtEndPr>
          <w:rPr>
            <w:noProof/>
          </w:rPr>
        </w:sdtEndPr>
        <w:sdtContent>
          <w:p w14:paraId="2E3C1EBC" w14:textId="360941B9" w:rsidR="00BD501F" w:rsidRPr="00F061F2" w:rsidRDefault="00BD501F" w:rsidP="00523B7B">
            <w:pPr>
              <w:pStyle w:val="Footer"/>
              <w:rPr>
                <w:noProof/>
              </w:rPr>
            </w:pPr>
            <w:r w:rsidRPr="001B7E15">
              <w:fldChar w:fldCharType="begin"/>
            </w:r>
            <w:r w:rsidRPr="001B7E15">
              <w:instrText xml:space="preserve"> PAGE   \* MERGEFORMAT </w:instrText>
            </w:r>
            <w:r w:rsidRPr="001B7E15">
              <w:fldChar w:fldCharType="separate"/>
            </w:r>
            <w:r w:rsidR="00500481">
              <w:rPr>
                <w:noProof/>
              </w:rPr>
              <w:t>82</w:t>
            </w:r>
            <w:r w:rsidRPr="001B7E15">
              <w:rPr>
                <w:noProof/>
              </w:rPr>
              <w:fldChar w:fldCharType="end"/>
            </w:r>
          </w:p>
        </w:sdtContent>
      </w:sdt>
    </w:sdtContent>
  </w:sdt>
  <w:p w14:paraId="5373D189" w14:textId="77777777" w:rsidR="00BD501F" w:rsidRDefault="00BD501F" w:rsidP="00523B7B">
    <w:pPr>
      <w:spacing w:after="0"/>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1DCFF" w14:textId="77777777" w:rsidR="00BD501F" w:rsidRDefault="00BD501F">
    <w:pPr>
      <w:pStyle w:val="Foote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3361313"/>
      <w:docPartObj>
        <w:docPartGallery w:val="Page Numbers (Bottom of Page)"/>
        <w:docPartUnique/>
      </w:docPartObj>
    </w:sdtPr>
    <w:sdtEndPr>
      <w:rPr>
        <w:noProof/>
      </w:rPr>
    </w:sdtEndPr>
    <w:sdtContent>
      <w:p w14:paraId="4615D9C7" w14:textId="04F4B746" w:rsidR="00BD501F" w:rsidRDefault="00BD501F">
        <w:pPr>
          <w:pStyle w:val="Footer"/>
        </w:pPr>
        <w:r>
          <w:fldChar w:fldCharType="begin"/>
        </w:r>
        <w:r>
          <w:instrText xml:space="preserve"> PAGE   \* MERGEFORMAT </w:instrText>
        </w:r>
        <w:r>
          <w:fldChar w:fldCharType="separate"/>
        </w:r>
        <w:r w:rsidR="00500481">
          <w:rPr>
            <w:noProof/>
          </w:rPr>
          <w:t>95</w:t>
        </w:r>
        <w:r>
          <w:rPr>
            <w:noProof/>
          </w:rPr>
          <w:fldChar w:fldCharType="end"/>
        </w:r>
      </w:p>
    </w:sdtContent>
  </w:sdt>
  <w:p w14:paraId="4F509177" w14:textId="77777777" w:rsidR="00BD501F" w:rsidRPr="00287EFB" w:rsidRDefault="00BD501F" w:rsidP="00C130D2">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33508765"/>
      <w:docPartObj>
        <w:docPartGallery w:val="Page Numbers (Bottom of Page)"/>
        <w:docPartUnique/>
      </w:docPartObj>
    </w:sdtPr>
    <w:sdtEndPr>
      <w:rPr>
        <w:noProof/>
      </w:rPr>
    </w:sdtEndPr>
    <w:sdtContent>
      <w:p w14:paraId="4F39D00C" w14:textId="16062052" w:rsidR="00BD501F" w:rsidRDefault="00BD501F">
        <w:pPr>
          <w:pStyle w:val="Footer"/>
        </w:pPr>
        <w:r>
          <w:fldChar w:fldCharType="begin"/>
        </w:r>
        <w:r>
          <w:instrText xml:space="preserve"> PAGE   \* MERGEFORMAT </w:instrText>
        </w:r>
        <w:r>
          <w:fldChar w:fldCharType="separate"/>
        </w:r>
        <w:r w:rsidR="00500481">
          <w:rPr>
            <w:noProof/>
          </w:rPr>
          <w:t>85</w:t>
        </w:r>
        <w:r>
          <w:rPr>
            <w:noProof/>
          </w:rPr>
          <w:fldChar w:fldCharType="end"/>
        </w:r>
      </w:p>
    </w:sdtContent>
  </w:sdt>
  <w:p w14:paraId="77EF32D3" w14:textId="77777777" w:rsidR="00BD501F" w:rsidRDefault="00BD501F">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F701C" w14:textId="77777777" w:rsidR="00BD501F" w:rsidRDefault="00BD501F">
    <w:pPr>
      <w:pStyle w:val="Footer"/>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5421217"/>
      <w:docPartObj>
        <w:docPartGallery w:val="Page Numbers (Bottom of Page)"/>
        <w:docPartUnique/>
      </w:docPartObj>
    </w:sdtPr>
    <w:sdtEndPr>
      <w:rPr>
        <w:noProof/>
      </w:rPr>
    </w:sdtEndPr>
    <w:sdtContent>
      <w:p w14:paraId="773BC8A1" w14:textId="427E66D2" w:rsidR="00BD501F" w:rsidRDefault="00BD501F">
        <w:pPr>
          <w:pStyle w:val="Footer"/>
        </w:pPr>
        <w:r>
          <w:fldChar w:fldCharType="begin"/>
        </w:r>
        <w:r>
          <w:instrText xml:space="preserve"> PAGE   \* MERGEFORMAT </w:instrText>
        </w:r>
        <w:r>
          <w:fldChar w:fldCharType="separate"/>
        </w:r>
        <w:r>
          <w:rPr>
            <w:noProof/>
          </w:rPr>
          <w:t>100</w:t>
        </w:r>
        <w:r>
          <w:rPr>
            <w:noProof/>
          </w:rPr>
          <w:fldChar w:fldCharType="end"/>
        </w:r>
      </w:p>
    </w:sdtContent>
  </w:sdt>
  <w:p w14:paraId="4B8CB176" w14:textId="77777777" w:rsidR="00BD501F" w:rsidRPr="00287EFB" w:rsidRDefault="00BD501F" w:rsidP="00C130D2">
    <w:pPr>
      <w:pStyle w:val="Footer"/>
    </w:pP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31559265"/>
      <w:docPartObj>
        <w:docPartGallery w:val="Page Numbers (Bottom of Page)"/>
        <w:docPartUnique/>
      </w:docPartObj>
    </w:sdtPr>
    <w:sdtEndPr>
      <w:rPr>
        <w:noProof/>
      </w:rPr>
    </w:sdtEndPr>
    <w:sdtContent>
      <w:p w14:paraId="762AE203" w14:textId="72772DAD" w:rsidR="00BD501F" w:rsidRDefault="00BD501F">
        <w:pPr>
          <w:pStyle w:val="Footer"/>
        </w:pPr>
        <w:r>
          <w:fldChar w:fldCharType="begin"/>
        </w:r>
        <w:r>
          <w:instrText xml:space="preserve"> PAGE   \* MERGEFORMAT </w:instrText>
        </w:r>
        <w:r>
          <w:fldChar w:fldCharType="separate"/>
        </w:r>
        <w:r w:rsidR="00500481">
          <w:rPr>
            <w:noProof/>
          </w:rPr>
          <w:t>97</w:t>
        </w:r>
        <w:r>
          <w:rPr>
            <w:noProof/>
          </w:rPr>
          <w:fldChar w:fldCharType="end"/>
        </w:r>
      </w:p>
    </w:sdtContent>
  </w:sdt>
  <w:p w14:paraId="662D8F63" w14:textId="77777777" w:rsidR="00BD501F" w:rsidRDefault="00BD501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373EBD" w14:textId="77777777" w:rsidR="00B7710E" w:rsidRDefault="00B7710E" w:rsidP="00BF7F6A">
      <w:pPr>
        <w:spacing w:after="0" w:line="240" w:lineRule="auto"/>
      </w:pPr>
      <w:r>
        <w:separator/>
      </w:r>
    </w:p>
  </w:footnote>
  <w:footnote w:type="continuationSeparator" w:id="0">
    <w:p w14:paraId="77DB5882" w14:textId="77777777" w:rsidR="00B7710E" w:rsidRDefault="00B7710E" w:rsidP="00BF7F6A">
      <w:pPr>
        <w:spacing w:after="0" w:line="240" w:lineRule="auto"/>
      </w:pPr>
      <w:r>
        <w:continuationSeparator/>
      </w:r>
    </w:p>
  </w:footnote>
  <w:footnote w:id="1">
    <w:p w14:paraId="3797800E" w14:textId="77777777" w:rsidR="00BD501F" w:rsidRPr="0084550C" w:rsidRDefault="00BD501F">
      <w:pPr>
        <w:pStyle w:val="FootnoteText"/>
        <w:rPr>
          <w:sz w:val="16"/>
          <w:lang w:val="sr-Cyrl-RS"/>
        </w:rPr>
      </w:pPr>
      <w:r w:rsidRPr="0084550C">
        <w:rPr>
          <w:rStyle w:val="FootnoteReference"/>
          <w:sz w:val="16"/>
        </w:rPr>
        <w:footnoteRef/>
      </w:r>
      <w:r w:rsidRPr="0084550C">
        <w:rPr>
          <w:sz w:val="16"/>
        </w:rPr>
        <w:t xml:space="preserve"> </w:t>
      </w:r>
      <w:r w:rsidRPr="0084550C">
        <w:rPr>
          <w:sz w:val="16"/>
          <w:lang w:val="sr-Cyrl-RS"/>
        </w:rPr>
        <w:t>Методологија обрачуна индикатора дата је у раду „Модел за процену месечног БДП применом техника темпоралне дезагрегације</w:t>
      </w:r>
      <w:r w:rsidRPr="00243425">
        <w:rPr>
          <w:sz w:val="16"/>
          <w:lang w:val="sr-Cyrl-RS"/>
        </w:rPr>
        <w:t>”</w:t>
      </w:r>
      <w:r w:rsidRPr="0084550C">
        <w:rPr>
          <w:sz w:val="16"/>
          <w:lang w:val="sr-Cyrl-RS"/>
        </w:rPr>
        <w:t xml:space="preserve"> који је објављен на веб страници Министарства финансија</w:t>
      </w:r>
      <w:r>
        <w:rPr>
          <w:sz w:val="16"/>
          <w:lang w:val="sr-Cyrl-RS"/>
        </w:rPr>
        <w:t>:</w:t>
      </w:r>
      <w:r w:rsidRPr="0084550C">
        <w:rPr>
          <w:sz w:val="16"/>
          <w:lang w:val="sr-Cyrl-RS"/>
        </w:rPr>
        <w:t xml:space="preserve"> </w:t>
      </w:r>
      <w:hyperlink r:id="rId1" w:history="1">
        <w:r w:rsidRPr="0084550C">
          <w:rPr>
            <w:rStyle w:val="Hyperlink"/>
            <w:sz w:val="16"/>
            <w:lang w:val="sr-Cyrl-RS"/>
          </w:rPr>
          <w:t>https://www.mfin.gov.rs//upload/media/ZzkTpV_601696edb3a9a.pdf</w:t>
        </w:r>
      </w:hyperlink>
    </w:p>
  </w:footnote>
  <w:footnote w:id="2">
    <w:p w14:paraId="25CAD4C7" w14:textId="77777777" w:rsidR="00BD501F" w:rsidRPr="00985406" w:rsidRDefault="00BD501F">
      <w:pPr>
        <w:pStyle w:val="FootnoteText"/>
        <w:rPr>
          <w:lang w:val="sr-Cyrl-RS"/>
        </w:rPr>
      </w:pPr>
      <w:r>
        <w:rPr>
          <w:rStyle w:val="FootnoteReference"/>
        </w:rPr>
        <w:footnoteRef/>
      </w:r>
      <w:r w:rsidRPr="000979D4">
        <w:rPr>
          <w:lang w:val="sr-Cyrl-RS"/>
        </w:rPr>
        <w:t xml:space="preserve"> </w:t>
      </w:r>
      <w:r w:rsidRPr="00B422BC">
        <w:rPr>
          <w:sz w:val="16"/>
          <w:lang w:val="sr-Cyrl-RS"/>
        </w:rPr>
        <w:t>Подаци се односе збирно за Народну Републику Кину, Макао, Хонг Конг и Кинеску Провинцију Тајван.</w:t>
      </w:r>
    </w:p>
  </w:footnote>
  <w:footnote w:id="3">
    <w:p w14:paraId="0E1E88BC" w14:textId="77777777" w:rsidR="00BD501F" w:rsidRPr="000B7C51" w:rsidRDefault="00BD501F">
      <w:pPr>
        <w:pStyle w:val="FootnoteText"/>
        <w:rPr>
          <w:sz w:val="16"/>
          <w:szCs w:val="16"/>
          <w:lang w:val="sr-Cyrl-RS"/>
        </w:rPr>
      </w:pPr>
      <w:r w:rsidRPr="000B7C51">
        <w:rPr>
          <w:rStyle w:val="FootnoteReference"/>
          <w:sz w:val="16"/>
          <w:szCs w:val="16"/>
        </w:rPr>
        <w:footnoteRef/>
      </w:r>
      <w:r w:rsidRPr="000979D4">
        <w:rPr>
          <w:sz w:val="16"/>
          <w:szCs w:val="16"/>
          <w:lang w:val="sr-Cyrl-RS"/>
        </w:rPr>
        <w:t xml:space="preserve"> </w:t>
      </w:r>
      <w:r w:rsidRPr="000B7C51">
        <w:rPr>
          <w:sz w:val="16"/>
          <w:szCs w:val="16"/>
          <w:lang w:val="sr-Cyrl-RS"/>
        </w:rPr>
        <w:t>Нови ентитити могу се укључити или искључити из обухвата сектора државе у складу са статистичким критеријумима и међународним стандардима који их одређују.</w:t>
      </w:r>
    </w:p>
  </w:footnote>
  <w:footnote w:id="4">
    <w:p w14:paraId="44704659" w14:textId="77777777" w:rsidR="00BD501F" w:rsidRPr="002F6B52" w:rsidRDefault="00BD501F" w:rsidP="00C130D2">
      <w:pPr>
        <w:pStyle w:val="FootnoteText"/>
        <w:rPr>
          <w:rFonts w:cstheme="minorHAnsi"/>
          <w:sz w:val="16"/>
          <w:szCs w:val="16"/>
          <w:lang w:val="sr-Cyrl-RS"/>
        </w:rPr>
      </w:pPr>
      <w:r w:rsidRPr="002F6B52">
        <w:rPr>
          <w:rStyle w:val="FootnoteReference"/>
          <w:rFonts w:cstheme="minorHAnsi"/>
          <w:sz w:val="16"/>
          <w:szCs w:val="16"/>
          <w:lang w:val="sr-Cyrl-RS"/>
        </w:rPr>
        <w:footnoteRef/>
      </w:r>
      <w:r>
        <w:rPr>
          <w:rFonts w:cstheme="minorHAnsi"/>
          <w:sz w:val="16"/>
          <w:szCs w:val="16"/>
          <w:lang w:val="sr-Cyrl-RS"/>
        </w:rPr>
        <w:t xml:space="preserve"> Фискална стратегија за 2024. годину са пројекцијама за 2025. и 2026</w:t>
      </w:r>
      <w:r w:rsidRPr="002F6B52">
        <w:rPr>
          <w:rFonts w:cstheme="minorHAnsi"/>
          <w:sz w:val="16"/>
          <w:szCs w:val="16"/>
          <w:lang w:val="sr-Cyrl-RS"/>
        </w:rPr>
        <w:t>. годину.</w:t>
      </w:r>
    </w:p>
  </w:footnote>
  <w:footnote w:id="5">
    <w:p w14:paraId="074CB18F" w14:textId="77777777" w:rsidR="00BD501F" w:rsidRPr="002F6B52" w:rsidRDefault="00BD501F" w:rsidP="00132FA9">
      <w:pPr>
        <w:pStyle w:val="FootnoteText"/>
        <w:rPr>
          <w:rFonts w:cstheme="minorHAnsi"/>
          <w:spacing w:val="-2"/>
          <w:sz w:val="16"/>
          <w:szCs w:val="16"/>
          <w:lang w:val="sr-Cyrl-RS"/>
        </w:rPr>
      </w:pPr>
      <w:r w:rsidRPr="00CB04CB">
        <w:rPr>
          <w:rStyle w:val="FootnoteReference"/>
          <w:rFonts w:cstheme="minorHAnsi"/>
          <w:spacing w:val="-2"/>
          <w:sz w:val="16"/>
          <w:szCs w:val="16"/>
          <w:lang w:val="sr-Cyrl-RS"/>
        </w:rPr>
        <w:footnoteRef/>
      </w:r>
      <w:r w:rsidRPr="00CB04CB">
        <w:rPr>
          <w:rFonts w:cstheme="minorHAnsi"/>
          <w:spacing w:val="-2"/>
          <w:sz w:val="16"/>
          <w:szCs w:val="16"/>
          <w:lang w:val="sr-Cyrl-RS"/>
        </w:rPr>
        <w:t xml:space="preserve"> Детаљнији приказ структурних реформи по приоритетним областима је саставни део Програма економских реформи у периоду 202</w:t>
      </w:r>
      <w:r>
        <w:rPr>
          <w:rFonts w:cstheme="minorHAnsi"/>
          <w:spacing w:val="-2"/>
          <w:sz w:val="16"/>
          <w:szCs w:val="16"/>
          <w:lang w:val="sr-Cyrl-RS"/>
        </w:rPr>
        <w:t>3</w:t>
      </w:r>
      <w:r w:rsidRPr="00CB04CB">
        <w:rPr>
          <w:rFonts w:cstheme="minorHAnsi"/>
          <w:spacing w:val="-2"/>
          <w:sz w:val="16"/>
          <w:szCs w:val="16"/>
          <w:lang w:val="sr-Cyrl-RS"/>
        </w:rPr>
        <w:t>–202</w:t>
      </w:r>
      <w:r>
        <w:rPr>
          <w:rFonts w:cstheme="minorHAnsi"/>
          <w:spacing w:val="-2"/>
          <w:sz w:val="16"/>
          <w:szCs w:val="16"/>
          <w:lang w:val="sr-Cyrl-RS"/>
        </w:rPr>
        <w:t>5</w:t>
      </w:r>
      <w:r w:rsidRPr="00CB04CB">
        <w:rPr>
          <w:rFonts w:cstheme="minorHAnsi"/>
          <w:spacing w:val="-2"/>
          <w:sz w:val="16"/>
          <w:szCs w:val="16"/>
          <w:lang w:val="sr-Cyrl-RS"/>
        </w:rPr>
        <w:t>.</w:t>
      </w:r>
    </w:p>
  </w:footnote>
  <w:footnote w:id="6">
    <w:p w14:paraId="0D90678C" w14:textId="77777777" w:rsidR="00BD501F" w:rsidRPr="002F6B52" w:rsidRDefault="00BD501F" w:rsidP="002A2551">
      <w:pPr>
        <w:pStyle w:val="FootnoteText"/>
        <w:rPr>
          <w:rFonts w:cstheme="minorHAnsi"/>
          <w:sz w:val="16"/>
          <w:szCs w:val="16"/>
          <w:lang w:val="sr-Cyrl-RS"/>
        </w:rPr>
      </w:pPr>
      <w:r w:rsidRPr="002F6B52">
        <w:rPr>
          <w:rStyle w:val="FootnoteReference"/>
          <w:rFonts w:cstheme="minorHAnsi"/>
          <w:sz w:val="16"/>
          <w:szCs w:val="16"/>
          <w:lang w:val="sr-Cyrl-RS"/>
        </w:rPr>
        <w:footnoteRef/>
      </w:r>
      <w:r w:rsidRPr="002F6B52">
        <w:rPr>
          <w:rFonts w:cstheme="minorHAnsi"/>
          <w:sz w:val="16"/>
          <w:szCs w:val="16"/>
          <w:lang w:val="sr-Cyrl-RS"/>
        </w:rPr>
        <w:t xml:space="preserve"> Закон о јавном дугу </w:t>
      </w:r>
      <w:r>
        <w:rPr>
          <w:rFonts w:cstheme="minorHAnsi"/>
          <w:sz w:val="16"/>
          <w:szCs w:val="16"/>
          <w:lang w:val="sr-Cyrl-RS"/>
        </w:rPr>
        <w:t>(</w:t>
      </w:r>
      <w:r w:rsidRPr="002F6B52">
        <w:rPr>
          <w:rFonts w:cstheme="minorHAnsi"/>
          <w:sz w:val="16"/>
          <w:szCs w:val="16"/>
          <w:lang w:val="sr-Cyrl-RS"/>
        </w:rPr>
        <w:t>„Службени гласник РС”, бр. 61/05, 107/09, 78/11, 68/15, 95/18, 91/19 и 149/20</w:t>
      </w:r>
      <w:r>
        <w:rPr>
          <w:rFonts w:cstheme="minorHAnsi"/>
          <w:sz w:val="16"/>
          <w:szCs w:val="16"/>
          <w:lang w:val="sr-Cyrl-RS"/>
        </w:rPr>
        <w:t>)</w:t>
      </w:r>
      <w:r w:rsidRPr="002F6B52">
        <w:rPr>
          <w:rFonts w:cstheme="minorHAnsi"/>
          <w:sz w:val="16"/>
          <w:szCs w:val="16"/>
          <w:lang w:val="sr-Cyrl-RS"/>
        </w:rPr>
        <w:t>.</w:t>
      </w:r>
    </w:p>
  </w:footnote>
  <w:footnote w:id="7">
    <w:p w14:paraId="77E11596" w14:textId="77777777" w:rsidR="00BD501F" w:rsidRPr="002F6B52" w:rsidRDefault="00BD501F" w:rsidP="002A2551">
      <w:pPr>
        <w:pStyle w:val="FootnoteText"/>
        <w:spacing w:after="40"/>
        <w:rPr>
          <w:rFonts w:cstheme="minorHAnsi"/>
          <w:sz w:val="16"/>
          <w:szCs w:val="16"/>
          <w:lang w:val="sr-Cyrl-RS"/>
        </w:rPr>
      </w:pPr>
      <w:r w:rsidRPr="002F6B52">
        <w:rPr>
          <w:rStyle w:val="FootnoteReference"/>
          <w:rFonts w:cstheme="minorHAnsi"/>
          <w:sz w:val="16"/>
          <w:szCs w:val="16"/>
          <w:lang w:val="sr-Cyrl-RS"/>
        </w:rPr>
        <w:footnoteRef/>
      </w:r>
      <w:r w:rsidRPr="002F6B52">
        <w:rPr>
          <w:rFonts w:cstheme="minorHAnsi"/>
          <w:sz w:val="16"/>
          <w:szCs w:val="16"/>
          <w:lang w:val="sr-Cyrl-RS"/>
        </w:rPr>
        <w:t xml:space="preserve"> Отплата по основу гаранција из републичког буџета је у расходе укључена по готовинској основи. Међународни стандарди, који се заснивају на обрачунској основи, у расходе укључују цео износ преосталог дуга, у моменту активирања гаранције, док се сама отплата дуга по том основу третира као финансијска трансакција.</w:t>
      </w:r>
    </w:p>
  </w:footnote>
  <w:footnote w:id="8">
    <w:p w14:paraId="11061062" w14:textId="43572172" w:rsidR="00BD501F" w:rsidRPr="002F6B52" w:rsidRDefault="00BD501F" w:rsidP="002A2551">
      <w:pPr>
        <w:pStyle w:val="FootnoteText"/>
        <w:rPr>
          <w:rFonts w:cstheme="minorHAnsi"/>
          <w:sz w:val="16"/>
          <w:szCs w:val="16"/>
          <w:lang w:val="sr-Cyrl-RS"/>
        </w:rPr>
      </w:pPr>
      <w:r w:rsidRPr="002F6B52">
        <w:rPr>
          <w:rStyle w:val="FootnoteReference"/>
          <w:rFonts w:cstheme="minorHAnsi"/>
          <w:sz w:val="16"/>
          <w:szCs w:val="16"/>
          <w:lang w:val="sr-Cyrl-RS"/>
        </w:rPr>
        <w:footnoteRef/>
      </w:r>
      <w:r w:rsidRPr="002F6B52">
        <w:rPr>
          <w:rFonts w:cstheme="minorHAnsi"/>
          <w:sz w:val="16"/>
          <w:szCs w:val="16"/>
          <w:lang w:val="sr-Cyrl-RS"/>
        </w:rPr>
        <w:t xml:space="preserve"> Део расхода по основу отплате по гаранцијама за ЈП „Путеви Србије” не укључује се у расходе буџета, је</w:t>
      </w:r>
      <w:r>
        <w:rPr>
          <w:rFonts w:cstheme="minorHAnsi"/>
          <w:sz w:val="16"/>
          <w:szCs w:val="16"/>
          <w:lang w:val="sr-Cyrl-RS"/>
        </w:rPr>
        <w:t xml:space="preserve">р је ово предузеће део сектора </w:t>
      </w:r>
      <w:r w:rsidRPr="002F6B52">
        <w:rPr>
          <w:rFonts w:cstheme="minorHAnsi"/>
          <w:sz w:val="16"/>
          <w:szCs w:val="16"/>
          <w:lang w:val="sr-Cyrl-RS"/>
        </w:rPr>
        <w:t xml:space="preserve">државе, те су расходи који су финансирани гарантованим кредитима били део расхода </w:t>
      </w:r>
      <w:r>
        <w:rPr>
          <w:rFonts w:cstheme="minorHAnsi"/>
          <w:sz w:val="16"/>
          <w:szCs w:val="16"/>
          <w:lang w:val="sr-Cyrl-RS"/>
        </w:rPr>
        <w:t>сектора</w:t>
      </w:r>
      <w:r w:rsidRPr="002F6B52">
        <w:rPr>
          <w:rFonts w:cstheme="minorHAnsi"/>
          <w:sz w:val="16"/>
          <w:szCs w:val="16"/>
          <w:lang w:val="sr-Cyrl-RS"/>
        </w:rPr>
        <w:t xml:space="preserve"> државе у моменту трошења средстава, док се сама отплата третира као финансијска трансакција („испод црте”).</w:t>
      </w:r>
    </w:p>
  </w:footnote>
  <w:footnote w:id="9">
    <w:p w14:paraId="233B1AEE" w14:textId="77777777" w:rsidR="00BD501F" w:rsidRPr="003805B7" w:rsidRDefault="00BD501F" w:rsidP="00E124CF">
      <w:pPr>
        <w:spacing w:after="0"/>
        <w:rPr>
          <w:lang w:val="sr-Cyrl-RS"/>
        </w:rPr>
      </w:pPr>
      <w:r w:rsidRPr="00CD1400">
        <w:rPr>
          <w:rStyle w:val="FootnoteReference"/>
          <w:rFonts w:cstheme="minorHAnsi"/>
          <w:sz w:val="16"/>
          <w:szCs w:val="16"/>
          <w:lang w:val="sr-Cyrl-RS"/>
        </w:rPr>
        <w:footnoteRef/>
      </w:r>
      <w:r w:rsidRPr="00CD1400">
        <w:rPr>
          <w:rFonts w:cstheme="minorHAnsi"/>
          <w:sz w:val="16"/>
          <w:szCs w:val="16"/>
          <w:lang w:val="sr-Cyrl-RS"/>
        </w:rPr>
        <w:t xml:space="preserve"> </w:t>
      </w:r>
      <w:r w:rsidRPr="00CD1400">
        <w:rPr>
          <w:rFonts w:eastAsia="Times New Roman" w:cstheme="minorHAnsi"/>
          <w:bCs/>
          <w:sz w:val="16"/>
          <w:szCs w:val="16"/>
          <w:lang w:val="sr-Cyrl-RS"/>
        </w:rPr>
        <w:t>Детаљнији опис коришћене методологије и резултата могу се пронаћи у Фискалној стратегији за 2013. годину са пројекцијама за 2014. и 2015. годину или путем линка</w:t>
      </w:r>
      <w:r w:rsidRPr="00CD1400">
        <w:rPr>
          <w:rFonts w:cstheme="minorHAnsi"/>
          <w:sz w:val="16"/>
          <w:szCs w:val="16"/>
          <w:lang w:val="sr-Cyrl-RS"/>
        </w:rPr>
        <w:t xml:space="preserve"> </w:t>
      </w:r>
      <w:hyperlink r:id="rId2" w:history="1">
        <w:r w:rsidRPr="00CD1400">
          <w:rPr>
            <w:rStyle w:val="Hyperlink"/>
            <w:color w:val="44546A" w:themeColor="text2"/>
            <w:sz w:val="16"/>
            <w:szCs w:val="16"/>
            <w:u w:val="none"/>
          </w:rPr>
          <w:t>https</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www</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mfin</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gov</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rs</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upload</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media</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jzsbpL</w:t>
        </w:r>
        <w:r w:rsidRPr="003805B7">
          <w:rPr>
            <w:rStyle w:val="Hyperlink"/>
            <w:color w:val="44546A" w:themeColor="text2"/>
            <w:sz w:val="16"/>
            <w:szCs w:val="16"/>
            <w:u w:val="none"/>
            <w:lang w:val="sr-Cyrl-RS"/>
          </w:rPr>
          <w:t>_601</w:t>
        </w:r>
        <w:r w:rsidRPr="00CD1400">
          <w:rPr>
            <w:rStyle w:val="Hyperlink"/>
            <w:color w:val="44546A" w:themeColor="text2"/>
            <w:sz w:val="16"/>
            <w:szCs w:val="16"/>
            <w:u w:val="none"/>
          </w:rPr>
          <w:t>ab</w:t>
        </w:r>
        <w:r w:rsidRPr="003805B7">
          <w:rPr>
            <w:rStyle w:val="Hyperlink"/>
            <w:color w:val="44546A" w:themeColor="text2"/>
            <w:sz w:val="16"/>
            <w:szCs w:val="16"/>
            <w:u w:val="none"/>
            <w:lang w:val="sr-Cyrl-RS"/>
          </w:rPr>
          <w:t>1585</w:t>
        </w:r>
        <w:r w:rsidRPr="00CD1400">
          <w:rPr>
            <w:rStyle w:val="Hyperlink"/>
            <w:color w:val="44546A" w:themeColor="text2"/>
            <w:sz w:val="16"/>
            <w:szCs w:val="16"/>
            <w:u w:val="none"/>
          </w:rPr>
          <w:t>ca</w:t>
        </w:r>
        <w:r w:rsidRPr="003805B7">
          <w:rPr>
            <w:rStyle w:val="Hyperlink"/>
            <w:color w:val="44546A" w:themeColor="text2"/>
            <w:sz w:val="16"/>
            <w:szCs w:val="16"/>
            <w:u w:val="none"/>
            <w:lang w:val="sr-Cyrl-RS"/>
          </w:rPr>
          <w:t>02.</w:t>
        </w:r>
        <w:r w:rsidRPr="00CD1400">
          <w:rPr>
            <w:rStyle w:val="Hyperlink"/>
            <w:color w:val="44546A" w:themeColor="text2"/>
            <w:sz w:val="16"/>
            <w:szCs w:val="16"/>
            <w:u w:val="none"/>
          </w:rPr>
          <w:t>pdf</w:t>
        </w:r>
      </w:hyperlink>
    </w:p>
  </w:footnote>
  <w:footnote w:id="10">
    <w:p w14:paraId="2D84D52F" w14:textId="77777777" w:rsidR="00BD501F" w:rsidRPr="00EC5384" w:rsidRDefault="00BD501F">
      <w:pPr>
        <w:pStyle w:val="FootnoteText"/>
        <w:rPr>
          <w:sz w:val="16"/>
          <w:szCs w:val="16"/>
          <w:lang w:val="sr-Cyrl-RS"/>
        </w:rPr>
      </w:pPr>
      <w:r w:rsidRPr="0078176B">
        <w:rPr>
          <w:rFonts w:cstheme="minorHAnsi"/>
          <w:sz w:val="16"/>
          <w:szCs w:val="16"/>
          <w:vertAlign w:val="superscript"/>
          <w:lang w:val="sr-Cyrl-RS"/>
        </w:rPr>
        <w:footnoteRef/>
      </w:r>
      <w:r w:rsidRPr="00EC5384">
        <w:rPr>
          <w:sz w:val="16"/>
          <w:szCs w:val="16"/>
          <w:lang w:val="sr-Cyrl-RS"/>
        </w:rPr>
        <w:t xml:space="preserve"> Више о редефинисаним фискалним правилима видети у делу који се односи на структурне фискалне реформе.</w:t>
      </w:r>
    </w:p>
  </w:footnote>
  <w:footnote w:id="11">
    <w:p w14:paraId="61D6CB86" w14:textId="77777777" w:rsidR="00BD501F" w:rsidRPr="002F6B52" w:rsidRDefault="00BD501F" w:rsidP="006272DB">
      <w:pPr>
        <w:pStyle w:val="FootnoteText"/>
        <w:rPr>
          <w:rStyle w:val="FootnoteReference"/>
          <w:rFonts w:cs="Times New Roman"/>
          <w:sz w:val="16"/>
          <w:szCs w:val="16"/>
          <w:vertAlign w:val="baseline"/>
          <w:lang w:val="sr-Cyrl-RS"/>
        </w:rPr>
      </w:pPr>
      <w:r w:rsidRPr="002F6B52">
        <w:rPr>
          <w:rStyle w:val="FootnoteReference"/>
          <w:sz w:val="16"/>
          <w:szCs w:val="16"/>
          <w:lang w:val="sr-Cyrl-RS"/>
        </w:rPr>
        <w:footnoteRef/>
      </w:r>
      <w:r w:rsidRPr="002F6B52">
        <w:rPr>
          <w:rStyle w:val="FootnoteReference"/>
          <w:sz w:val="16"/>
          <w:szCs w:val="16"/>
          <w:vertAlign w:val="baseline"/>
          <w:lang w:val="sr-Cyrl-RS"/>
        </w:rPr>
        <w:t xml:space="preserve"> АТМ (</w:t>
      </w:r>
      <w:r w:rsidRPr="002F6B52">
        <w:rPr>
          <w:rStyle w:val="FootnoteReference"/>
          <w:i/>
          <w:sz w:val="16"/>
          <w:szCs w:val="16"/>
          <w:vertAlign w:val="baseline"/>
          <w:lang w:val="sr-Cyrl-RS"/>
        </w:rPr>
        <w:t>Average Time to Maturity</w:t>
      </w:r>
      <w:r w:rsidRPr="002F6B52">
        <w:rPr>
          <w:rStyle w:val="FootnoteReference"/>
          <w:sz w:val="16"/>
          <w:szCs w:val="16"/>
          <w:vertAlign w:val="baseline"/>
          <w:lang w:val="sr-Cyrl-RS"/>
        </w:rPr>
        <w:t>) – енглеска скраћеница за просечно време до доспећа.</w:t>
      </w:r>
    </w:p>
  </w:footnote>
  <w:footnote w:id="12">
    <w:p w14:paraId="084AB457" w14:textId="77777777" w:rsidR="00BD501F" w:rsidRPr="002F6B52" w:rsidRDefault="00BD501F" w:rsidP="006272DB">
      <w:pPr>
        <w:pStyle w:val="FootnoteText"/>
        <w:rPr>
          <w:lang w:val="sr-Cyrl-RS"/>
        </w:rPr>
      </w:pPr>
      <w:r w:rsidRPr="002F6B52">
        <w:rPr>
          <w:rStyle w:val="FootnoteReference"/>
          <w:sz w:val="16"/>
          <w:szCs w:val="16"/>
          <w:lang w:val="sr-Cyrl-RS"/>
        </w:rPr>
        <w:footnoteRef/>
      </w:r>
      <w:r w:rsidRPr="002F6B52">
        <w:rPr>
          <w:rStyle w:val="FootnoteReference"/>
          <w:sz w:val="16"/>
          <w:szCs w:val="16"/>
          <w:vertAlign w:val="baseline"/>
          <w:lang w:val="sr-Cyrl-RS"/>
        </w:rPr>
        <w:t xml:space="preserve"> АТR (</w:t>
      </w:r>
      <w:r w:rsidRPr="002F6B52">
        <w:rPr>
          <w:rStyle w:val="FootnoteReference"/>
          <w:i/>
          <w:sz w:val="16"/>
          <w:szCs w:val="16"/>
          <w:vertAlign w:val="baseline"/>
          <w:lang w:val="sr-Cyrl-RS"/>
        </w:rPr>
        <w:t>Average Time to Refixing</w:t>
      </w:r>
      <w:r w:rsidRPr="002F6B52">
        <w:rPr>
          <w:rStyle w:val="FootnoteReference"/>
          <w:sz w:val="16"/>
          <w:szCs w:val="16"/>
          <w:vertAlign w:val="baseline"/>
          <w:lang w:val="sr-Cyrl-RS"/>
        </w:rPr>
        <w:t>) – енглеска скраћеница за просечно време до промене каматних стопа.</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0726C6" w14:textId="77777777" w:rsidR="00BD501F" w:rsidRPr="00110695" w:rsidRDefault="00BD501F" w:rsidP="006272DB">
    <w:pPr>
      <w:pStyle w:val="Header"/>
      <w:jc w:val="center"/>
      <w:rPr>
        <w:color w:val="44546A"/>
      </w:rPr>
    </w:pPr>
    <w:r>
      <w:rPr>
        <w:color w:val="44546A"/>
        <w:lang w:val="sr-Cyrl-RS"/>
      </w:rPr>
      <w:t xml:space="preserve">Ревидирана </w:t>
    </w:r>
    <w:r w:rsidRPr="001B3C0A">
      <w:rPr>
        <w:color w:val="44546A"/>
        <w:lang w:val="sr-Cyrl-RS"/>
      </w:rPr>
      <w:t>Фискална стратегија за 2024. годину са пројекцијама за 2025. и 2026. годину</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FDB604" w14:textId="77777777" w:rsidR="00BD501F" w:rsidRDefault="00BD501F" w:rsidP="002D6E55">
    <w:pPr>
      <w:pStyle w:val="Header"/>
      <w:jc w:val="center"/>
    </w:pPr>
    <w:r w:rsidRPr="00A010B6">
      <w:rPr>
        <w:lang w:val="sr-Cyrl-RS"/>
      </w:rPr>
      <w:t>Фискална стратегија за 2024. годину са пројекцијама за 2025. и 2026. годину</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2314B5" w14:textId="77777777" w:rsidR="00BD501F" w:rsidRPr="0039685A" w:rsidRDefault="00BD501F" w:rsidP="0039685A">
    <w:pPr>
      <w:pStyle w:val="Header"/>
      <w:jc w:val="center"/>
      <w:rPr>
        <w:color w:val="44546A"/>
      </w:rPr>
    </w:pPr>
    <w:r>
      <w:rPr>
        <w:color w:val="44546A"/>
        <w:lang w:val="sr-Cyrl-RS"/>
      </w:rPr>
      <w:t xml:space="preserve">Ревидирана </w:t>
    </w:r>
    <w:r w:rsidRPr="001B3C0A">
      <w:rPr>
        <w:color w:val="44546A"/>
        <w:lang w:val="sr-Cyrl-RS"/>
      </w:rPr>
      <w:t>Фискална стратегија за 2024. годину са пројекцијама за 2025. и 2026. годину</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3AB56" w14:textId="77777777" w:rsidR="00BD501F" w:rsidRPr="00521A99" w:rsidRDefault="00BD501F" w:rsidP="002D6E55">
    <w:pPr>
      <w:pStyle w:val="Header"/>
      <w:jc w:val="center"/>
      <w:rPr>
        <w:lang w:val="sr-Cyrl-RS"/>
      </w:rPr>
    </w:pPr>
    <w:r w:rsidRPr="006C57DB">
      <w:rPr>
        <w:lang w:val="sr-Cyrl-RS"/>
      </w:rPr>
      <w:t xml:space="preserve">Фискална </w:t>
    </w:r>
    <w:r w:rsidRPr="000C433F">
      <w:rPr>
        <w:lang w:val="sr-Cyrl-RS"/>
      </w:rPr>
      <w:t>стратегија за 2020. годину са пројекцијама за 2021. и 2022. годину</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D2D5D9" w14:textId="31F8FB5B" w:rsidR="00BD501F" w:rsidRPr="00BD501F" w:rsidRDefault="00BD501F" w:rsidP="00BD501F">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B07F99" w14:textId="77777777" w:rsidR="00BD501F" w:rsidRDefault="00BD501F">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9BD5D" w14:textId="16504C6E" w:rsidR="00BD501F" w:rsidRPr="00BD501F" w:rsidRDefault="00BD501F" w:rsidP="00BD501F">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EA95B9" w14:textId="7F306953" w:rsidR="00BD501F" w:rsidRPr="00471B1E" w:rsidRDefault="00BD501F" w:rsidP="003911D0">
    <w:pPr>
      <w:pStyle w:val="Header"/>
      <w:jc w:val="center"/>
      <w:rPr>
        <w:lang w:val="en-GB"/>
      </w:rPr>
    </w:pPr>
    <w:r w:rsidRPr="00AD7FBD">
      <w:rPr>
        <w:lang w:val="sr-Cyrl-RS"/>
      </w:rPr>
      <w:t xml:space="preserve">Ревидирана </w:t>
    </w:r>
    <w:r>
      <w:rPr>
        <w:lang w:val="sr-Cyrl-RS"/>
      </w:rPr>
      <w:t>Фискална стратегија за 202</w:t>
    </w:r>
    <w:r>
      <w:rPr>
        <w:lang w:val="en-GB"/>
      </w:rPr>
      <w:t>4</w:t>
    </w:r>
    <w:r>
      <w:rPr>
        <w:lang w:val="sr-Cyrl-RS"/>
      </w:rPr>
      <w:t>. годину са пројекцијама за 202</w:t>
    </w:r>
    <w:r>
      <w:rPr>
        <w:lang w:val="en-GB"/>
      </w:rPr>
      <w:t>5</w:t>
    </w:r>
    <w:r>
      <w:rPr>
        <w:lang w:val="sr-Cyrl-RS"/>
      </w:rPr>
      <w:t>. и 202</w:t>
    </w:r>
    <w:r>
      <w:rPr>
        <w:lang w:val="en-GB"/>
      </w:rPr>
      <w:t>6</w:t>
    </w:r>
    <w:r>
      <w:rPr>
        <w:lang w:val="sr-Cyrl-RS"/>
      </w:rPr>
      <w:t>. годину</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1875C6" w14:textId="3D8A00C5" w:rsidR="00BD501F" w:rsidRPr="00BD501F" w:rsidRDefault="00BD501F" w:rsidP="00BD501F">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FCCC7C" w14:textId="33CEF6B7" w:rsidR="00BD501F" w:rsidRPr="00BD501F" w:rsidRDefault="00BD501F" w:rsidP="00BD501F">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E27E7F" w14:textId="05F540FD" w:rsidR="00BD501F" w:rsidRPr="00BD501F" w:rsidRDefault="00BD501F" w:rsidP="00BD501F">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039A4" w14:textId="77777777" w:rsidR="00BD501F" w:rsidRPr="00F061F2" w:rsidRDefault="00BD501F" w:rsidP="00C130D2">
    <w:pPr>
      <w:pStyle w:val="Header"/>
      <w:jc w:val="center"/>
    </w:pPr>
    <w:r>
      <w:rPr>
        <w:lang w:val="sr-Cyrl-RS"/>
      </w:rPr>
      <w:t>Фискална стратегија за 202</w:t>
    </w:r>
    <w:r>
      <w:t>1</w:t>
    </w:r>
    <w:r>
      <w:rPr>
        <w:lang w:val="sr-Cyrl-RS"/>
      </w:rPr>
      <w:t>. годину са пројекцијама за 202</w:t>
    </w:r>
    <w:r>
      <w:t>2</w:t>
    </w:r>
    <w:r>
      <w:rPr>
        <w:lang w:val="sr-Cyrl-RS"/>
      </w:rPr>
      <w:t>. и 202</w:t>
    </w:r>
    <w:r>
      <w:t>3</w:t>
    </w:r>
    <w:r w:rsidRPr="00F061F2">
      <w:rPr>
        <w:lang w:val="sr-Cyrl-RS"/>
      </w:rPr>
      <w:t>. годину</w:t>
    </w:r>
  </w:p>
  <w:p w14:paraId="7ED02483" w14:textId="77777777" w:rsidR="00BD501F" w:rsidRPr="004F72C4" w:rsidRDefault="00BD501F" w:rsidP="004F72C4">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3126F9" w14:textId="35F078AC" w:rsidR="00BD501F" w:rsidRPr="00BD501F" w:rsidRDefault="00BD501F" w:rsidP="00BD501F">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8C817D" w14:textId="77777777" w:rsidR="00BD501F" w:rsidRPr="000C1F21" w:rsidRDefault="00BD501F" w:rsidP="00D73C9A">
    <w:pPr>
      <w:pStyle w:val="Header"/>
      <w:jc w:val="center"/>
      <w:rPr>
        <w:lang w:val="sr-Cyrl-RS"/>
      </w:rPr>
    </w:pPr>
    <w:r>
      <w:rPr>
        <w:lang w:val="sr-Cyrl-RS"/>
      </w:rPr>
      <w:t>Ревидирана Фискална стратегија за 2024. годину са пројекцијама за 2025. и 2026. годину</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A4714" w14:textId="77777777" w:rsidR="00BD501F" w:rsidRPr="00F061F2" w:rsidRDefault="00BD501F" w:rsidP="005D42AC">
    <w:pPr>
      <w:pStyle w:val="Header"/>
      <w:jc w:val="center"/>
    </w:pPr>
    <w:r>
      <w:t>Фискална стратегија за 2021. годину са пројекцијама за 2022. и 2023</w:t>
    </w:r>
    <w:r w:rsidRPr="00F061F2">
      <w:t>. годину</w:t>
    </w:r>
  </w:p>
  <w:p w14:paraId="6255BA0F" w14:textId="77777777" w:rsidR="00BD501F" w:rsidRPr="004F72C4" w:rsidRDefault="00BD501F" w:rsidP="004F72C4">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F68709" w14:textId="77777777" w:rsidR="00BD501F" w:rsidRPr="00094ACF" w:rsidRDefault="00BD501F" w:rsidP="00E124CF">
    <w:pPr>
      <w:tabs>
        <w:tab w:val="center" w:pos="4680"/>
        <w:tab w:val="right" w:pos="9360"/>
      </w:tabs>
      <w:spacing w:after="0" w:line="240" w:lineRule="auto"/>
      <w:jc w:val="center"/>
      <w:rPr>
        <w:lang w:val="sr-Cyrl-RS"/>
      </w:rPr>
    </w:pPr>
    <w:r w:rsidRPr="00094ACF">
      <w:rPr>
        <w:lang w:val="sr-Cyrl-RS"/>
      </w:rPr>
      <w:t>Фискална стратегија за 2023. годину са пројекцијама за 2024. и 2025. годину</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86A9" w14:textId="77777777" w:rsidR="00BD501F" w:rsidRPr="00BF7F6A" w:rsidRDefault="00BD501F" w:rsidP="00BD7EB6">
    <w:pPr>
      <w:pStyle w:val="Header"/>
      <w:jc w:val="center"/>
    </w:pPr>
    <w:r>
      <w:t>Фискална стратегија за 2019. годину са пројекцијама за 2020. и 2021. годину</w:t>
    </w:r>
  </w:p>
  <w:p w14:paraId="2695EB7F" w14:textId="77777777" w:rsidR="00BD501F" w:rsidRDefault="00BD501F">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CCBD41" w14:textId="77777777" w:rsidR="00BD501F" w:rsidRPr="00F061F2" w:rsidRDefault="00BD501F" w:rsidP="00C130D2">
    <w:pPr>
      <w:pStyle w:val="Header"/>
      <w:jc w:val="center"/>
    </w:pPr>
    <w:r w:rsidRPr="006C57DB">
      <w:t xml:space="preserve">Фискална </w:t>
    </w:r>
    <w:r>
      <w:t>стратегија за 2020. годину са пројекцијама за 2021. и 2022</w:t>
    </w:r>
    <w:r w:rsidRPr="00F061F2">
      <w:t>. годину</w:t>
    </w:r>
  </w:p>
  <w:p w14:paraId="78855FC5" w14:textId="77777777" w:rsidR="00BD501F" w:rsidRDefault="00BD501F">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61D1F3" w14:textId="77777777" w:rsidR="00BD501F" w:rsidRPr="00BF7F6A" w:rsidRDefault="00BD501F" w:rsidP="00BD7EB6">
    <w:pPr>
      <w:pStyle w:val="Header"/>
      <w:jc w:val="center"/>
    </w:pPr>
    <w:r>
      <w:t>Фискална стратегија за 2019. годину са пројекцијама за 2020. и 2021. годину</w:t>
    </w:r>
  </w:p>
  <w:p w14:paraId="05C01ED6" w14:textId="77777777" w:rsidR="00BD501F" w:rsidRDefault="00BD501F">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332CE" w14:textId="77777777" w:rsidR="00BD501F" w:rsidRPr="00F061F2" w:rsidRDefault="00BD501F" w:rsidP="005D42AC">
    <w:pPr>
      <w:pStyle w:val="Header"/>
      <w:jc w:val="center"/>
    </w:pPr>
    <w:r>
      <w:t>Фискална стратегија за 2021. годину са пројекцијама за 2022. и 2023</w:t>
    </w:r>
    <w:r w:rsidRPr="00F061F2">
      <w:t>. годину</w:t>
    </w:r>
  </w:p>
  <w:p w14:paraId="1BF0F4A9" w14:textId="77777777" w:rsidR="00BD501F" w:rsidRPr="004F72C4" w:rsidRDefault="00BD501F" w:rsidP="004F72C4">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668576" w14:textId="28838D03" w:rsidR="00BD501F" w:rsidRPr="00BD501F" w:rsidRDefault="00BD501F" w:rsidP="00BD501F">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870603" w14:textId="69B78931" w:rsidR="00BD501F" w:rsidRPr="00BD501F" w:rsidRDefault="00BD501F" w:rsidP="00BD501F">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0DA9A" w14:textId="77777777" w:rsidR="00BD501F" w:rsidRPr="00F061F2" w:rsidRDefault="00BD501F" w:rsidP="00C130D2">
    <w:pPr>
      <w:pStyle w:val="Header"/>
      <w:jc w:val="center"/>
    </w:pPr>
    <w:r w:rsidRPr="00724C89">
      <w:t xml:space="preserve">Ревидирана фискална </w:t>
    </w:r>
    <w:r>
      <w:t>стратегија за 2020. годину са пројекцијама за 2021. и 2022</w:t>
    </w:r>
    <w:r w:rsidRPr="00F061F2">
      <w:t>. годину</w:t>
    </w:r>
  </w:p>
  <w:p w14:paraId="1E7F3D4F" w14:textId="77777777" w:rsidR="00BD501F" w:rsidRPr="004F72C4" w:rsidRDefault="00BD501F" w:rsidP="004F72C4">
    <w:pPr>
      <w:pStyle w:val="Header"/>
    </w:pPr>
  </w:p>
  <w:p w14:paraId="125FC0BD" w14:textId="77777777" w:rsidR="00BD501F" w:rsidRDefault="00BD501F"/>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9C526A" w14:textId="77777777" w:rsidR="00BD501F" w:rsidRPr="000766DD" w:rsidRDefault="00BD501F" w:rsidP="000766DD">
    <w:pPr>
      <w:pStyle w:val="Header"/>
    </w:pPr>
  </w:p>
  <w:p w14:paraId="15129855" w14:textId="77777777" w:rsidR="00BD501F" w:rsidRDefault="00BD501F"/>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A1E5D" w14:textId="77777777" w:rsidR="00BD501F" w:rsidRPr="00BF7F6A" w:rsidRDefault="00BD501F" w:rsidP="00BD7EB6">
    <w:pPr>
      <w:pStyle w:val="Header"/>
      <w:jc w:val="center"/>
    </w:pPr>
    <w:r>
      <w:t>Фискална стратегија за 2019. годину са пројекцијама за 2020. и 2021. годину</w:t>
    </w:r>
  </w:p>
  <w:p w14:paraId="598BBE3C" w14:textId="77777777" w:rsidR="00BD501F" w:rsidRDefault="00BD501F">
    <w:pPr>
      <w:pStyle w:val="Header"/>
    </w:pPr>
  </w:p>
  <w:p w14:paraId="610DE594" w14:textId="77777777" w:rsidR="00BD501F" w:rsidRDefault="00BD501F"/>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DC143" w14:textId="77777777" w:rsidR="00BD501F" w:rsidRPr="00F061F2" w:rsidRDefault="00BD501F" w:rsidP="00C130D2">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p w14:paraId="3F8C1D5A" w14:textId="77777777" w:rsidR="00BD501F" w:rsidRDefault="00BD501F">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60D6C0" w14:textId="59228803" w:rsidR="00BD501F" w:rsidRPr="00BD501F" w:rsidRDefault="00BD501F" w:rsidP="00BD501F">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2AC6BB" w14:textId="77777777" w:rsidR="00BD501F" w:rsidRPr="00BF7F6A" w:rsidRDefault="00BD501F" w:rsidP="00BD7EB6">
    <w:pPr>
      <w:pStyle w:val="Header"/>
      <w:jc w:val="center"/>
      <w:rPr>
        <w:lang w:val="sr-Cyrl-RS"/>
      </w:rPr>
    </w:pPr>
    <w:r>
      <w:rPr>
        <w:lang w:val="sr-Cyrl-RS"/>
      </w:rPr>
      <w:t>Фискална стратегија за 2019. годину са пројекцијама за 2020. и 2021. годину</w:t>
    </w:r>
  </w:p>
  <w:p w14:paraId="3B16A948" w14:textId="77777777" w:rsidR="00BD501F" w:rsidRDefault="00BD501F">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DDA95" w14:textId="77777777" w:rsidR="00BD501F" w:rsidRPr="00F061F2" w:rsidRDefault="00BD501F" w:rsidP="00C130D2">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p w14:paraId="6A675DDE" w14:textId="77777777" w:rsidR="00BD501F" w:rsidRDefault="00BD501F">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163D0E" w14:textId="77777777" w:rsidR="00BD501F" w:rsidRPr="00A401B9" w:rsidRDefault="00BD501F" w:rsidP="00A401B9">
    <w:pPr>
      <w:pStyle w:val="Header"/>
      <w:jc w:val="center"/>
      <w:rPr>
        <w:lang w:val="sr-Cyrl-RS"/>
      </w:rPr>
    </w:pPr>
    <w:r>
      <w:rPr>
        <w:lang w:val="sr-Cyrl-RS"/>
      </w:rPr>
      <w:t>Фискална стратегија за 2024. годину са пројекцијама за 2025. и 2026. годину</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73342" w14:textId="77777777" w:rsidR="00BD501F" w:rsidRPr="00F061F2" w:rsidRDefault="00BD501F" w:rsidP="00C130D2">
    <w:pPr>
      <w:pStyle w:val="Header"/>
      <w:jc w:val="center"/>
    </w:pPr>
    <w:r w:rsidRPr="00724C89">
      <w:t xml:space="preserve">Ревидирана фискална </w:t>
    </w:r>
    <w:r>
      <w:t>стратегија за 2020. годину са пројекцијама за 2021. и 2022</w:t>
    </w:r>
    <w:r w:rsidRPr="00F061F2">
      <w:t>. годину</w:t>
    </w:r>
  </w:p>
  <w:p w14:paraId="67061F33" w14:textId="77777777" w:rsidR="00BD501F" w:rsidRDefault="00BD501F">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6A3CDD" w14:textId="77777777" w:rsidR="00BD501F" w:rsidRPr="00BD06B8" w:rsidRDefault="00BD501F" w:rsidP="006272DB">
    <w:pPr>
      <w:pStyle w:val="Header"/>
      <w:jc w:val="center"/>
    </w:pPr>
    <w:r>
      <w:rPr>
        <w:lang w:val="sr-Cyrl-RS"/>
      </w:rPr>
      <w:t>Ревидирана Фискална стратегија за 202</w:t>
    </w:r>
    <w:r>
      <w:rPr>
        <w:lang w:val="en-GB"/>
      </w:rPr>
      <w:t>3</w:t>
    </w:r>
    <w:r>
      <w:rPr>
        <w:lang w:val="sr-Cyrl-RS"/>
      </w:rPr>
      <w:t>. годину са пројекцијама за 202</w:t>
    </w:r>
    <w:r>
      <w:rPr>
        <w:lang w:val="en-GB"/>
      </w:rPr>
      <w:t>4</w:t>
    </w:r>
    <w:r>
      <w:rPr>
        <w:lang w:val="sr-Cyrl-RS"/>
      </w:rPr>
      <w:t>. и 202</w:t>
    </w:r>
    <w:r>
      <w:rPr>
        <w:lang w:val="en-GB"/>
      </w:rPr>
      <w:t>5</w:t>
    </w:r>
    <w:r>
      <w:rPr>
        <w:lang w:val="sr-Cyrl-RS"/>
      </w:rPr>
      <w:t>. годину</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04CB24" w14:textId="77777777" w:rsidR="00BD501F" w:rsidRPr="00BF7F6A" w:rsidRDefault="00BD501F" w:rsidP="00BD7EB6">
    <w:pPr>
      <w:pStyle w:val="Header"/>
      <w:jc w:val="center"/>
    </w:pPr>
    <w:r>
      <w:t>Фискална стратегија за 2019. годину са пројекцијама за 2020. и 2021. годину</w:t>
    </w:r>
  </w:p>
  <w:p w14:paraId="6FF1FD04" w14:textId="77777777" w:rsidR="00BD501F" w:rsidRDefault="00BD501F">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5372D9" w14:textId="77777777" w:rsidR="00BD501F" w:rsidRPr="00F061F2" w:rsidRDefault="00BD501F" w:rsidP="00C130D2">
    <w:pPr>
      <w:pStyle w:val="Header"/>
      <w:jc w:val="center"/>
    </w:pPr>
    <w:r w:rsidRPr="006C57DB">
      <w:t xml:space="preserve">Фискална </w:t>
    </w:r>
    <w:r>
      <w:t>стратегија за 2020. годину са пројекцијама за 2021. и 2022</w:t>
    </w:r>
    <w:r w:rsidRPr="00F061F2">
      <w:t>. годину</w:t>
    </w:r>
  </w:p>
  <w:p w14:paraId="3969C680" w14:textId="77777777" w:rsidR="00BD501F" w:rsidRDefault="00BD501F">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1076" w14:textId="77777777" w:rsidR="00BD501F" w:rsidRPr="00BF7F6A" w:rsidRDefault="00BD501F" w:rsidP="00BD7EB6">
    <w:pPr>
      <w:pStyle w:val="Header"/>
      <w:jc w:val="center"/>
    </w:pPr>
    <w:r>
      <w:t>Фискална стратегија за 2019. годину са пројекцијама за 2020. и 2021. годину</w:t>
    </w:r>
  </w:p>
  <w:p w14:paraId="626946DF" w14:textId="77777777" w:rsidR="00BD501F" w:rsidRDefault="00BD501F">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47AB10" w14:textId="5F4993F4" w:rsidR="00BD501F" w:rsidRPr="00BD501F" w:rsidRDefault="00BD501F" w:rsidP="00BD501F">
    <w:pPr>
      <w:pStyle w:val="Heade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40C353" w14:textId="77777777" w:rsidR="00BD501F" w:rsidRPr="00BF7F6A" w:rsidRDefault="00BD501F" w:rsidP="00BD7EB6">
    <w:pPr>
      <w:pStyle w:val="Header"/>
      <w:jc w:val="center"/>
      <w:rPr>
        <w:lang w:val="sr-Cyrl-RS"/>
      </w:rPr>
    </w:pPr>
    <w:r>
      <w:rPr>
        <w:lang w:val="sr-Cyrl-RS"/>
      </w:rPr>
      <w:t>Фискална стратегија за 2019. годину са пројекцијама за 2020. и 2021. годину</w:t>
    </w:r>
  </w:p>
  <w:p w14:paraId="419211EE" w14:textId="77777777" w:rsidR="00BD501F" w:rsidRDefault="00BD501F">
    <w:pPr>
      <w:pStyle w:val="Heade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2566CE" w14:textId="77777777" w:rsidR="00BD501F" w:rsidRPr="00BF7F6A" w:rsidRDefault="00BD501F" w:rsidP="00BD7EB6">
    <w:pPr>
      <w:pStyle w:val="Header"/>
      <w:jc w:val="center"/>
      <w:rPr>
        <w:lang w:val="sr-Cyrl-RS"/>
      </w:rPr>
    </w:pPr>
    <w:r>
      <w:rPr>
        <w:lang w:val="sr-Cyrl-RS"/>
      </w:rPr>
      <w:t>Фискална стратегија за 2019. годину са пројекцијама за 2020. и 2021. годину</w:t>
    </w:r>
  </w:p>
  <w:p w14:paraId="05E5B525" w14:textId="77777777" w:rsidR="00BD501F" w:rsidRDefault="00BD501F">
    <w:pPr>
      <w:pStyle w:val="Heade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47EC3" w14:textId="3169F5E8" w:rsidR="00BD501F" w:rsidRPr="00BD501F" w:rsidRDefault="00BD501F" w:rsidP="00BD501F">
    <w:pPr>
      <w:pStyle w:val="Heade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F9F90" w14:textId="5874980C" w:rsidR="00BD501F" w:rsidRPr="003C384E" w:rsidRDefault="00BD501F" w:rsidP="003C384E">
    <w:pPr>
      <w:pStyle w:val="Header"/>
      <w:jc w:val="center"/>
    </w:pPr>
    <w:r>
      <w:rPr>
        <w:lang w:val="sr-Cyrl-RS"/>
      </w:rPr>
      <w:t xml:space="preserve">Ревидирана </w:t>
    </w:r>
    <w:r>
      <w:t>Фискална стратегија за 20</w:t>
    </w:r>
    <w:r>
      <w:rPr>
        <w:lang w:val="sr-Cyrl-RS"/>
      </w:rPr>
      <w:t>24</w:t>
    </w:r>
    <w:r>
      <w:t>. годину са пројекцијама за 202</w:t>
    </w:r>
    <w:r>
      <w:rPr>
        <w:lang w:val="sr-Cyrl-RS"/>
      </w:rPr>
      <w:t>5</w:t>
    </w:r>
    <w:r>
      <w:t>. и 202</w:t>
    </w:r>
    <w:r>
      <w:rPr>
        <w:lang w:val="sr-Cyrl-RS"/>
      </w:rPr>
      <w:t>6</w:t>
    </w:r>
    <w:r>
      <w:t>. годину</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7E6ED" w14:textId="77777777" w:rsidR="00BD501F" w:rsidRDefault="00BD501F" w:rsidP="00815831">
    <w:pPr>
      <w:pStyle w:val="Header"/>
      <w:jc w:val="center"/>
    </w:pPr>
    <w:r w:rsidRPr="00724C89">
      <w:t xml:space="preserve">Ревидирана фискална </w:t>
    </w:r>
    <w:r>
      <w:t>стратегија за 2020. годину са пројекцијама за 2021. и 2022</w:t>
    </w:r>
    <w:r w:rsidRPr="00F061F2">
      <w:t>. годину</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77F60" w14:textId="77777777" w:rsidR="00BD501F" w:rsidRPr="00BF7F6A" w:rsidRDefault="00BD501F" w:rsidP="00BD7EB6">
    <w:pPr>
      <w:pStyle w:val="Header"/>
      <w:jc w:val="center"/>
    </w:pPr>
    <w:r>
      <w:t>Фискална стратегија за 2019. годину са пројекцијама за 2020. и 2021. годину</w:t>
    </w:r>
  </w:p>
  <w:p w14:paraId="3F4E4950" w14:textId="77777777" w:rsidR="00BD501F" w:rsidRDefault="00BD501F">
    <w:pPr>
      <w:pStyle w:val="Heade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4D9EB" w14:textId="77777777" w:rsidR="00BD501F" w:rsidRPr="003B6D80" w:rsidRDefault="00BD501F" w:rsidP="002A2551">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D61C5" w14:textId="6BA15538" w:rsidR="00BD501F" w:rsidRPr="00BD501F" w:rsidRDefault="00BD501F" w:rsidP="00BD501F">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539639" w14:textId="77777777" w:rsidR="00BD501F" w:rsidRPr="00BF7F6A" w:rsidRDefault="00BD501F" w:rsidP="002A2551">
    <w:pPr>
      <w:pStyle w:val="Header"/>
      <w:jc w:val="center"/>
      <w:rPr>
        <w:lang w:val="sr-Cyrl-RS"/>
      </w:rPr>
    </w:pPr>
    <w:r>
      <w:rPr>
        <w:lang w:val="sr-Cyrl-RS"/>
      </w:rPr>
      <w:t>Фискална стратегија за 2019. годину са пројекцијама за 2020. и 2021. годину</w:t>
    </w:r>
  </w:p>
  <w:p w14:paraId="5CB70430" w14:textId="77777777" w:rsidR="00BD501F" w:rsidRDefault="00BD501F">
    <w:pPr>
      <w:pStyle w:val="Heade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A181B4" w14:textId="77777777" w:rsidR="00BD501F" w:rsidRPr="003B6D80" w:rsidRDefault="00BD501F" w:rsidP="002A2551">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5F9C0" w14:textId="77777777" w:rsidR="00BD501F" w:rsidRPr="00BF7F6A" w:rsidRDefault="00BD501F" w:rsidP="002A2551">
    <w:pPr>
      <w:pStyle w:val="Header"/>
      <w:jc w:val="center"/>
      <w:rPr>
        <w:lang w:val="sr-Cyrl-RS"/>
      </w:rPr>
    </w:pPr>
    <w:r>
      <w:rPr>
        <w:lang w:val="sr-Cyrl-RS"/>
      </w:rPr>
      <w:t>Фискална стратегија за 2019. годину са пројекцијама за 2020. и 2021. годину</w:t>
    </w:r>
  </w:p>
  <w:p w14:paraId="6C8B30D6" w14:textId="77777777" w:rsidR="00BD501F" w:rsidRDefault="00BD501F">
    <w:pPr>
      <w:pStyle w:val="Header"/>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9D6203" w14:textId="77777777" w:rsidR="00BD501F" w:rsidRPr="003B6D80" w:rsidRDefault="00BD501F" w:rsidP="000D3688">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D7698A" w14:textId="77777777" w:rsidR="00BD501F" w:rsidRPr="00BF7F6A" w:rsidRDefault="00BD501F" w:rsidP="000D3688">
    <w:pPr>
      <w:pStyle w:val="Header"/>
      <w:jc w:val="center"/>
      <w:rPr>
        <w:lang w:val="sr-Cyrl-RS"/>
      </w:rPr>
    </w:pPr>
    <w:r>
      <w:rPr>
        <w:lang w:val="sr-Cyrl-RS"/>
      </w:rPr>
      <w:t>Фискална стратегија за 2019. годину са пројекцијама за 2020. и 2021. годину</w:t>
    </w:r>
  </w:p>
  <w:p w14:paraId="02F890CE" w14:textId="77777777" w:rsidR="00BD501F" w:rsidRDefault="00BD501F">
    <w:pPr>
      <w:pStyle w:val="Header"/>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23AA7E" w14:textId="77777777" w:rsidR="00BD501F" w:rsidRPr="00F061F2" w:rsidRDefault="00BD501F" w:rsidP="005D42AC">
    <w:pPr>
      <w:pStyle w:val="Header"/>
      <w:jc w:val="center"/>
    </w:pPr>
    <w:r>
      <w:t>Фискална стратегија за 2021. годину са пројекцијама за 2022. и 2023</w:t>
    </w:r>
    <w:r w:rsidRPr="00F061F2">
      <w:t>. годину</w:t>
    </w:r>
  </w:p>
  <w:p w14:paraId="11506F3B" w14:textId="77777777" w:rsidR="00BD501F" w:rsidRPr="004F72C4" w:rsidRDefault="00BD501F" w:rsidP="004F72C4">
    <w:pPr>
      <w:pStyle w:val="Header"/>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17AB22" w14:textId="7BBE57C7" w:rsidR="00BD501F" w:rsidRPr="00BD501F" w:rsidRDefault="00BD501F" w:rsidP="00BD501F">
    <w:pPr>
      <w:pStyle w:val="Header"/>
    </w:pP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F95E" w14:textId="77777777" w:rsidR="00BD501F" w:rsidRPr="00BF7F6A" w:rsidRDefault="00BD501F" w:rsidP="00BD7EB6">
    <w:pPr>
      <w:pStyle w:val="Header"/>
      <w:jc w:val="center"/>
    </w:pPr>
    <w:r>
      <w:t>Фискална стратегија за 2019. годину са пројекцијама за 2020. и 2021. годину</w:t>
    </w:r>
  </w:p>
  <w:p w14:paraId="38E94405" w14:textId="77777777" w:rsidR="00BD501F" w:rsidRDefault="00BD501F">
    <w:pPr>
      <w:pStyle w:val="Header"/>
    </w:pP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60A0A1" w14:textId="77777777" w:rsidR="00BD501F" w:rsidRPr="003B6D80" w:rsidRDefault="00BD501F" w:rsidP="000D3688">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7291A4" w14:textId="77777777" w:rsidR="00BD501F" w:rsidRPr="00BF7F6A" w:rsidRDefault="00BD501F" w:rsidP="000D3688">
    <w:pPr>
      <w:pStyle w:val="Header"/>
      <w:jc w:val="center"/>
      <w:rPr>
        <w:lang w:val="sr-Cyrl-RS"/>
      </w:rPr>
    </w:pPr>
    <w:r>
      <w:rPr>
        <w:lang w:val="sr-Cyrl-RS"/>
      </w:rPr>
      <w:t>Фискална стратегија за 2019. годину са пројекцијама за 2020. и 2021. годину</w:t>
    </w:r>
  </w:p>
  <w:p w14:paraId="6F4A2521" w14:textId="77777777" w:rsidR="00BD501F" w:rsidRDefault="00BD501F">
    <w:pPr>
      <w:pStyle w:val="Header"/>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D54CF" w14:textId="77777777" w:rsidR="00BD501F" w:rsidRDefault="00BD501F" w:rsidP="005158F5">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361C29">
      <w:rPr>
        <w:lang w:val="sr-Cyrl-RS"/>
      </w:rPr>
      <w:t>. годину</w:t>
    </w:r>
  </w:p>
  <w:p w14:paraId="451B7E89" w14:textId="77777777" w:rsidR="00BD501F" w:rsidRDefault="00BD501F"/>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E13F56" w14:textId="2B2A76F3" w:rsidR="00BD501F" w:rsidRPr="00BD501F" w:rsidRDefault="00BD501F" w:rsidP="00BD501F">
    <w:pPr>
      <w:pStyle w:val="Header"/>
    </w:pP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127D9F" w14:textId="156678F2" w:rsidR="00BD501F" w:rsidRPr="00BD501F" w:rsidRDefault="00BD501F" w:rsidP="00BD501F">
    <w:pPr>
      <w:pStyle w:val="Header"/>
    </w:pP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48D94" w14:textId="77777777" w:rsidR="00BD501F" w:rsidRDefault="00BD501F">
    <w:pPr>
      <w:pStyle w:val="Header"/>
    </w:pP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B436BB" w14:textId="2064AE35" w:rsidR="00BD501F" w:rsidRPr="000A42BC" w:rsidRDefault="000A42BC" w:rsidP="00BD501F">
    <w:pPr>
      <w:pStyle w:val="Header"/>
      <w:rPr>
        <w:lang w:val="en-GB"/>
      </w:rPr>
    </w:pPr>
    <w:r>
      <w:rPr>
        <w:lang w:val="en-GB"/>
      </w:rPr>
      <w:t xml:space="preserve"> </w: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C6073E" w14:textId="77777777" w:rsidR="00BD501F" w:rsidRDefault="00BD501F">
    <w:pPr>
      <w:pStyle w:val="Header"/>
    </w:pP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E01A3" w14:textId="77777777" w:rsidR="00BD501F" w:rsidRDefault="00BD501F">
    <w:pPr>
      <w:pStyle w:val="Header"/>
    </w:pP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56729D" w14:textId="2969785D" w:rsidR="00BD501F" w:rsidRPr="00471B1E" w:rsidRDefault="00BD501F" w:rsidP="003911D0">
    <w:pPr>
      <w:pStyle w:val="Header"/>
      <w:jc w:val="center"/>
      <w:rPr>
        <w:lang w:val="en-GB"/>
      </w:rPr>
    </w:pPr>
    <w:r w:rsidRPr="00730D89">
      <w:rPr>
        <w:lang w:val="sr-Cyrl-RS"/>
      </w:rPr>
      <w:t xml:space="preserve">Ревидирана </w:t>
    </w:r>
    <w:r>
      <w:rPr>
        <w:lang w:val="sr-Cyrl-RS"/>
      </w:rPr>
      <w:t>Фискална стратегија за 202</w:t>
    </w:r>
    <w:r>
      <w:rPr>
        <w:lang w:val="en-GB"/>
      </w:rPr>
      <w:t>4</w:t>
    </w:r>
    <w:r>
      <w:rPr>
        <w:lang w:val="sr-Cyrl-RS"/>
      </w:rPr>
      <w:t>. годину са пројекцијама за 202</w:t>
    </w:r>
    <w:r>
      <w:rPr>
        <w:lang w:val="en-GB"/>
      </w:rPr>
      <w:t>5</w:t>
    </w:r>
    <w:r>
      <w:rPr>
        <w:lang w:val="sr-Cyrl-RS"/>
      </w:rPr>
      <w:t>. и 202</w:t>
    </w:r>
    <w:r>
      <w:rPr>
        <w:lang w:val="en-GB"/>
      </w:rPr>
      <w:t>6</w:t>
    </w:r>
    <w:r>
      <w:rPr>
        <w:lang w:val="sr-Cyrl-RS"/>
      </w:rPr>
      <w:t>. годину</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C328B3"/>
    <w:multiLevelType w:val="hybridMultilevel"/>
    <w:tmpl w:val="4B8002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7C45D5"/>
    <w:multiLevelType w:val="hybridMultilevel"/>
    <w:tmpl w:val="9756494C"/>
    <w:lvl w:ilvl="0" w:tplc="281A0001">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 w15:restartNumberingAfterBreak="0">
    <w:nsid w:val="20FA5E91"/>
    <w:multiLevelType w:val="hybridMultilevel"/>
    <w:tmpl w:val="5DF4BD48"/>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311B23A4"/>
    <w:multiLevelType w:val="hybridMultilevel"/>
    <w:tmpl w:val="0F4E72EE"/>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314850F7"/>
    <w:multiLevelType w:val="hybridMultilevel"/>
    <w:tmpl w:val="9D58C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B5F6A1A"/>
    <w:multiLevelType w:val="hybridMultilevel"/>
    <w:tmpl w:val="6358C0B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F974621"/>
    <w:multiLevelType w:val="hybridMultilevel"/>
    <w:tmpl w:val="3D1E1176"/>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3817CF4"/>
    <w:multiLevelType w:val="hybridMultilevel"/>
    <w:tmpl w:val="BBAC36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3A85611"/>
    <w:multiLevelType w:val="multilevel"/>
    <w:tmpl w:val="18667D1A"/>
    <w:lvl w:ilvl="0">
      <w:start w:val="1"/>
      <w:numFmt w:val="decimal"/>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9" w15:restartNumberingAfterBreak="0">
    <w:nsid w:val="4D6972A3"/>
    <w:multiLevelType w:val="hybridMultilevel"/>
    <w:tmpl w:val="3750566E"/>
    <w:lvl w:ilvl="0" w:tplc="04090005">
      <w:start w:val="1"/>
      <w:numFmt w:val="bullet"/>
      <w:lvlText w:val=""/>
      <w:lvlJc w:val="left"/>
      <w:pPr>
        <w:ind w:left="1077" w:hanging="360"/>
      </w:pPr>
      <w:rPr>
        <w:rFonts w:ascii="Wingdings" w:hAnsi="Wingdings" w:hint="default"/>
      </w:rPr>
    </w:lvl>
    <w:lvl w:ilvl="1" w:tplc="04090003">
      <w:start w:val="1"/>
      <w:numFmt w:val="bullet"/>
      <w:lvlText w:val="o"/>
      <w:lvlJc w:val="left"/>
      <w:pPr>
        <w:ind w:left="1797" w:hanging="360"/>
      </w:pPr>
      <w:rPr>
        <w:rFonts w:ascii="Courier New" w:hAnsi="Courier New" w:cs="Courier New" w:hint="default"/>
      </w:rPr>
    </w:lvl>
    <w:lvl w:ilvl="2" w:tplc="04090005">
      <w:start w:val="1"/>
      <w:numFmt w:val="bullet"/>
      <w:lvlText w:val=""/>
      <w:lvlJc w:val="left"/>
      <w:pPr>
        <w:ind w:left="2517" w:hanging="360"/>
      </w:pPr>
      <w:rPr>
        <w:rFonts w:ascii="Wingdings" w:hAnsi="Wingdings" w:hint="default"/>
      </w:rPr>
    </w:lvl>
    <w:lvl w:ilvl="3" w:tplc="04090001">
      <w:start w:val="1"/>
      <w:numFmt w:val="bullet"/>
      <w:lvlText w:val=""/>
      <w:lvlJc w:val="left"/>
      <w:pPr>
        <w:ind w:left="3237" w:hanging="360"/>
      </w:pPr>
      <w:rPr>
        <w:rFonts w:ascii="Symbol" w:hAnsi="Symbol" w:hint="default"/>
      </w:rPr>
    </w:lvl>
    <w:lvl w:ilvl="4" w:tplc="04090003">
      <w:start w:val="1"/>
      <w:numFmt w:val="bullet"/>
      <w:lvlText w:val="o"/>
      <w:lvlJc w:val="left"/>
      <w:pPr>
        <w:ind w:left="3957" w:hanging="360"/>
      </w:pPr>
      <w:rPr>
        <w:rFonts w:ascii="Courier New" w:hAnsi="Courier New" w:cs="Courier New" w:hint="default"/>
      </w:rPr>
    </w:lvl>
    <w:lvl w:ilvl="5" w:tplc="04090005">
      <w:start w:val="1"/>
      <w:numFmt w:val="bullet"/>
      <w:lvlText w:val=""/>
      <w:lvlJc w:val="left"/>
      <w:pPr>
        <w:ind w:left="4677" w:hanging="360"/>
      </w:pPr>
      <w:rPr>
        <w:rFonts w:ascii="Wingdings" w:hAnsi="Wingdings" w:hint="default"/>
      </w:rPr>
    </w:lvl>
    <w:lvl w:ilvl="6" w:tplc="04090001">
      <w:start w:val="1"/>
      <w:numFmt w:val="bullet"/>
      <w:lvlText w:val=""/>
      <w:lvlJc w:val="left"/>
      <w:pPr>
        <w:ind w:left="5397" w:hanging="360"/>
      </w:pPr>
      <w:rPr>
        <w:rFonts w:ascii="Symbol" w:hAnsi="Symbol" w:hint="default"/>
      </w:rPr>
    </w:lvl>
    <w:lvl w:ilvl="7" w:tplc="04090003">
      <w:start w:val="1"/>
      <w:numFmt w:val="bullet"/>
      <w:lvlText w:val="o"/>
      <w:lvlJc w:val="left"/>
      <w:pPr>
        <w:ind w:left="6117" w:hanging="360"/>
      </w:pPr>
      <w:rPr>
        <w:rFonts w:ascii="Courier New" w:hAnsi="Courier New" w:cs="Courier New" w:hint="default"/>
      </w:rPr>
    </w:lvl>
    <w:lvl w:ilvl="8" w:tplc="04090005">
      <w:start w:val="1"/>
      <w:numFmt w:val="bullet"/>
      <w:lvlText w:val=""/>
      <w:lvlJc w:val="left"/>
      <w:pPr>
        <w:ind w:left="6837" w:hanging="360"/>
      </w:pPr>
      <w:rPr>
        <w:rFonts w:ascii="Wingdings" w:hAnsi="Wingdings" w:hint="default"/>
      </w:rPr>
    </w:lvl>
  </w:abstractNum>
  <w:abstractNum w:abstractNumId="10" w15:restartNumberingAfterBreak="0">
    <w:nsid w:val="4E321928"/>
    <w:multiLevelType w:val="hybridMultilevel"/>
    <w:tmpl w:val="7D3273FE"/>
    <w:lvl w:ilvl="0" w:tplc="04090005">
      <w:start w:val="1"/>
      <w:numFmt w:val="bullet"/>
      <w:lvlText w:val=""/>
      <w:lvlJc w:val="left"/>
      <w:pPr>
        <w:ind w:left="1797" w:hanging="360"/>
      </w:pPr>
      <w:rPr>
        <w:rFonts w:ascii="Wingdings" w:hAnsi="Wingdings" w:hint="default"/>
      </w:rPr>
    </w:lvl>
    <w:lvl w:ilvl="1" w:tplc="04090003">
      <w:start w:val="1"/>
      <w:numFmt w:val="bullet"/>
      <w:lvlText w:val="o"/>
      <w:lvlJc w:val="left"/>
      <w:pPr>
        <w:ind w:left="2517" w:hanging="360"/>
      </w:pPr>
      <w:rPr>
        <w:rFonts w:ascii="Courier New" w:hAnsi="Courier New" w:cs="Courier New" w:hint="default"/>
      </w:rPr>
    </w:lvl>
    <w:lvl w:ilvl="2" w:tplc="04090005">
      <w:start w:val="1"/>
      <w:numFmt w:val="bullet"/>
      <w:lvlText w:val=""/>
      <w:lvlJc w:val="left"/>
      <w:pPr>
        <w:ind w:left="3237" w:hanging="360"/>
      </w:pPr>
      <w:rPr>
        <w:rFonts w:ascii="Wingdings" w:hAnsi="Wingdings" w:hint="default"/>
      </w:rPr>
    </w:lvl>
    <w:lvl w:ilvl="3" w:tplc="04090001">
      <w:start w:val="1"/>
      <w:numFmt w:val="bullet"/>
      <w:lvlText w:val=""/>
      <w:lvlJc w:val="left"/>
      <w:pPr>
        <w:ind w:left="3957" w:hanging="360"/>
      </w:pPr>
      <w:rPr>
        <w:rFonts w:ascii="Symbol" w:hAnsi="Symbol" w:hint="default"/>
      </w:rPr>
    </w:lvl>
    <w:lvl w:ilvl="4" w:tplc="04090003">
      <w:start w:val="1"/>
      <w:numFmt w:val="bullet"/>
      <w:lvlText w:val="o"/>
      <w:lvlJc w:val="left"/>
      <w:pPr>
        <w:ind w:left="4677" w:hanging="360"/>
      </w:pPr>
      <w:rPr>
        <w:rFonts w:ascii="Courier New" w:hAnsi="Courier New" w:cs="Courier New" w:hint="default"/>
      </w:rPr>
    </w:lvl>
    <w:lvl w:ilvl="5" w:tplc="04090005">
      <w:start w:val="1"/>
      <w:numFmt w:val="bullet"/>
      <w:lvlText w:val=""/>
      <w:lvlJc w:val="left"/>
      <w:pPr>
        <w:ind w:left="5397" w:hanging="360"/>
      </w:pPr>
      <w:rPr>
        <w:rFonts w:ascii="Wingdings" w:hAnsi="Wingdings" w:hint="default"/>
      </w:rPr>
    </w:lvl>
    <w:lvl w:ilvl="6" w:tplc="04090001">
      <w:start w:val="1"/>
      <w:numFmt w:val="bullet"/>
      <w:lvlText w:val=""/>
      <w:lvlJc w:val="left"/>
      <w:pPr>
        <w:ind w:left="6117" w:hanging="360"/>
      </w:pPr>
      <w:rPr>
        <w:rFonts w:ascii="Symbol" w:hAnsi="Symbol" w:hint="default"/>
      </w:rPr>
    </w:lvl>
    <w:lvl w:ilvl="7" w:tplc="04090003">
      <w:start w:val="1"/>
      <w:numFmt w:val="bullet"/>
      <w:lvlText w:val="o"/>
      <w:lvlJc w:val="left"/>
      <w:pPr>
        <w:ind w:left="6837" w:hanging="360"/>
      </w:pPr>
      <w:rPr>
        <w:rFonts w:ascii="Courier New" w:hAnsi="Courier New" w:cs="Courier New" w:hint="default"/>
      </w:rPr>
    </w:lvl>
    <w:lvl w:ilvl="8" w:tplc="04090005">
      <w:start w:val="1"/>
      <w:numFmt w:val="bullet"/>
      <w:lvlText w:val=""/>
      <w:lvlJc w:val="left"/>
      <w:pPr>
        <w:ind w:left="7557" w:hanging="360"/>
      </w:pPr>
      <w:rPr>
        <w:rFonts w:ascii="Wingdings" w:hAnsi="Wingdings" w:hint="default"/>
      </w:rPr>
    </w:lvl>
  </w:abstractNum>
  <w:abstractNum w:abstractNumId="11" w15:restartNumberingAfterBreak="0">
    <w:nsid w:val="54592C15"/>
    <w:multiLevelType w:val="hybridMultilevel"/>
    <w:tmpl w:val="CC3CD6FE"/>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C003055"/>
    <w:multiLevelType w:val="hybridMultilevel"/>
    <w:tmpl w:val="DB8ACF72"/>
    <w:lvl w:ilvl="0" w:tplc="04090005">
      <w:start w:val="1"/>
      <w:numFmt w:val="bullet"/>
      <w:lvlText w:val=""/>
      <w:lvlJc w:val="left"/>
      <w:pPr>
        <w:ind w:left="720" w:hanging="360"/>
      </w:pPr>
      <w:rPr>
        <w:rFonts w:ascii="Wingdings" w:hAnsi="Wingdings" w:hint="default"/>
      </w:rPr>
    </w:lvl>
    <w:lvl w:ilvl="1" w:tplc="CE94C130">
      <w:start w:val="6"/>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AA75434"/>
    <w:multiLevelType w:val="hybridMultilevel"/>
    <w:tmpl w:val="1F682A80"/>
    <w:lvl w:ilvl="0" w:tplc="1DFCD06E">
      <w:start w:val="1"/>
      <w:numFmt w:val="bullet"/>
      <w:lvlText w:val=""/>
      <w:lvlJc w:val="left"/>
      <w:pPr>
        <w:ind w:left="720" w:hanging="360"/>
      </w:pPr>
      <w:rPr>
        <w:rFonts w:ascii="Wingdings" w:hAnsi="Wingdings" w:hint="default"/>
        <w:color w:val="44546A"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F667808"/>
    <w:multiLevelType w:val="hybridMultilevel"/>
    <w:tmpl w:val="38E0640C"/>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4430566"/>
    <w:multiLevelType w:val="hybridMultilevel"/>
    <w:tmpl w:val="8BBC2DA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44B4078"/>
    <w:multiLevelType w:val="hybridMultilevel"/>
    <w:tmpl w:val="E1122C1A"/>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4B74E8F"/>
    <w:multiLevelType w:val="hybridMultilevel"/>
    <w:tmpl w:val="335221A4"/>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78869C2"/>
    <w:multiLevelType w:val="hybridMultilevel"/>
    <w:tmpl w:val="F64093A4"/>
    <w:lvl w:ilvl="0" w:tplc="04090005">
      <w:start w:val="1"/>
      <w:numFmt w:val="bullet"/>
      <w:lvlText w:val=""/>
      <w:lvlJc w:val="left"/>
      <w:pPr>
        <w:ind w:left="720" w:hanging="360"/>
      </w:pPr>
      <w:rPr>
        <w:rFonts w:ascii="Wingdings" w:hAnsi="Wingdings" w:hint="default"/>
      </w:rPr>
    </w:lvl>
    <w:lvl w:ilvl="1" w:tplc="8828E634">
      <w:start w:val="6"/>
      <w:numFmt w:val="bullet"/>
      <w:lvlText w:val="•"/>
      <w:lvlJc w:val="left"/>
      <w:pPr>
        <w:ind w:left="1440" w:hanging="360"/>
      </w:pPr>
      <w:rPr>
        <w:rFonts w:ascii="Calibri" w:eastAsiaTheme="minorHAnsi" w:hAnsi="Calibri" w:cs="Calibri"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42625625">
    <w:abstractNumId w:val="3"/>
  </w:num>
  <w:num w:numId="2" w16cid:durableId="1529221491">
    <w:abstractNumId w:val="9"/>
  </w:num>
  <w:num w:numId="3" w16cid:durableId="901452697">
    <w:abstractNumId w:val="10"/>
  </w:num>
  <w:num w:numId="4" w16cid:durableId="1233656110">
    <w:abstractNumId w:val="15"/>
  </w:num>
  <w:num w:numId="5" w16cid:durableId="1880699228">
    <w:abstractNumId w:val="7"/>
  </w:num>
  <w:num w:numId="6" w16cid:durableId="700977093">
    <w:abstractNumId w:val="18"/>
  </w:num>
  <w:num w:numId="7" w16cid:durableId="1400592817">
    <w:abstractNumId w:val="6"/>
  </w:num>
  <w:num w:numId="8" w16cid:durableId="273709401">
    <w:abstractNumId w:val="12"/>
  </w:num>
  <w:num w:numId="9" w16cid:durableId="1188761401">
    <w:abstractNumId w:val="17"/>
  </w:num>
  <w:num w:numId="10" w16cid:durableId="78914800">
    <w:abstractNumId w:val="11"/>
  </w:num>
  <w:num w:numId="11" w16cid:durableId="466707341">
    <w:abstractNumId w:val="14"/>
  </w:num>
  <w:num w:numId="12" w16cid:durableId="643049129">
    <w:abstractNumId w:val="16"/>
  </w:num>
  <w:num w:numId="13" w16cid:durableId="1522083034">
    <w:abstractNumId w:val="5"/>
  </w:num>
  <w:num w:numId="14" w16cid:durableId="386998908">
    <w:abstractNumId w:val="13"/>
  </w:num>
  <w:num w:numId="15" w16cid:durableId="793444355">
    <w:abstractNumId w:val="0"/>
  </w:num>
  <w:num w:numId="16" w16cid:durableId="891236879">
    <w:abstractNumId w:val="1"/>
  </w:num>
  <w:num w:numId="17" w16cid:durableId="1066148200">
    <w:abstractNumId w:val="2"/>
  </w:num>
  <w:num w:numId="18" w16cid:durableId="326596296">
    <w:abstractNumId w:val="8"/>
  </w:num>
  <w:num w:numId="19" w16cid:durableId="1085761381">
    <w:abstractNumId w:val="4"/>
  </w:num>
  <w:num w:numId="20" w16cid:durableId="4541868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activeWritingStyle w:appName="MSWord" w:lang="ru-RU" w:vendorID="64" w:dllVersion="6" w:nlCheck="1" w:checkStyle="0"/>
  <w:activeWritingStyle w:appName="MSWord" w:lang="en-US" w:vendorID="64" w:dllVersion="6" w:nlCheck="1" w:checkStyle="0"/>
  <w:activeWritingStyle w:appName="MSWord" w:lang="en-GB" w:vendorID="64" w:dllVersion="6" w:nlCheck="1" w:checkStyle="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TQzMTS2sDAxNzYwM7RU0lEKTi0uzszPAykwqwUAtqhDQywAAAA="/>
  </w:docVars>
  <w:rsids>
    <w:rsidRoot w:val="00570694"/>
    <w:rsid w:val="00000738"/>
    <w:rsid w:val="000024E4"/>
    <w:rsid w:val="0000395A"/>
    <w:rsid w:val="00005A98"/>
    <w:rsid w:val="00005B4B"/>
    <w:rsid w:val="000070D4"/>
    <w:rsid w:val="00007166"/>
    <w:rsid w:val="00007450"/>
    <w:rsid w:val="00007DCD"/>
    <w:rsid w:val="0001031F"/>
    <w:rsid w:val="0001068B"/>
    <w:rsid w:val="00010C73"/>
    <w:rsid w:val="00011441"/>
    <w:rsid w:val="00011823"/>
    <w:rsid w:val="00011F40"/>
    <w:rsid w:val="00012A00"/>
    <w:rsid w:val="000137D6"/>
    <w:rsid w:val="00013CF7"/>
    <w:rsid w:val="0001436A"/>
    <w:rsid w:val="0001456F"/>
    <w:rsid w:val="000146BD"/>
    <w:rsid w:val="0001479F"/>
    <w:rsid w:val="00014BF7"/>
    <w:rsid w:val="0001518F"/>
    <w:rsid w:val="00015AF3"/>
    <w:rsid w:val="00016599"/>
    <w:rsid w:val="000176BA"/>
    <w:rsid w:val="00017CE7"/>
    <w:rsid w:val="00017FEA"/>
    <w:rsid w:val="00020F32"/>
    <w:rsid w:val="00022178"/>
    <w:rsid w:val="0002394D"/>
    <w:rsid w:val="00023CAD"/>
    <w:rsid w:val="00024B73"/>
    <w:rsid w:val="00025B30"/>
    <w:rsid w:val="00025DEA"/>
    <w:rsid w:val="00026799"/>
    <w:rsid w:val="000277D3"/>
    <w:rsid w:val="00030428"/>
    <w:rsid w:val="00030ED7"/>
    <w:rsid w:val="00031215"/>
    <w:rsid w:val="000312CC"/>
    <w:rsid w:val="0003151D"/>
    <w:rsid w:val="0003267D"/>
    <w:rsid w:val="00032ABE"/>
    <w:rsid w:val="00033236"/>
    <w:rsid w:val="00033788"/>
    <w:rsid w:val="0003520F"/>
    <w:rsid w:val="00035ABD"/>
    <w:rsid w:val="00036174"/>
    <w:rsid w:val="00036E39"/>
    <w:rsid w:val="000373BC"/>
    <w:rsid w:val="000378CD"/>
    <w:rsid w:val="0004043F"/>
    <w:rsid w:val="000405CF"/>
    <w:rsid w:val="00040667"/>
    <w:rsid w:val="00040A56"/>
    <w:rsid w:val="00040D82"/>
    <w:rsid w:val="00040FBC"/>
    <w:rsid w:val="0004265A"/>
    <w:rsid w:val="00043D88"/>
    <w:rsid w:val="0004446C"/>
    <w:rsid w:val="00044F53"/>
    <w:rsid w:val="000455A1"/>
    <w:rsid w:val="0004786A"/>
    <w:rsid w:val="00047F55"/>
    <w:rsid w:val="00050D40"/>
    <w:rsid w:val="00050E4C"/>
    <w:rsid w:val="00051446"/>
    <w:rsid w:val="00051E16"/>
    <w:rsid w:val="000520C7"/>
    <w:rsid w:val="0005265C"/>
    <w:rsid w:val="000526AB"/>
    <w:rsid w:val="00052880"/>
    <w:rsid w:val="00052990"/>
    <w:rsid w:val="00053791"/>
    <w:rsid w:val="00053E30"/>
    <w:rsid w:val="00053E87"/>
    <w:rsid w:val="00054089"/>
    <w:rsid w:val="000544FF"/>
    <w:rsid w:val="00054623"/>
    <w:rsid w:val="00054A7A"/>
    <w:rsid w:val="00055075"/>
    <w:rsid w:val="000554B1"/>
    <w:rsid w:val="00055FE2"/>
    <w:rsid w:val="00057424"/>
    <w:rsid w:val="000579BB"/>
    <w:rsid w:val="00060248"/>
    <w:rsid w:val="00061EA4"/>
    <w:rsid w:val="000623F6"/>
    <w:rsid w:val="000628F2"/>
    <w:rsid w:val="00063299"/>
    <w:rsid w:val="00063E59"/>
    <w:rsid w:val="0006488B"/>
    <w:rsid w:val="00065870"/>
    <w:rsid w:val="000662DC"/>
    <w:rsid w:val="000676C7"/>
    <w:rsid w:val="00067B90"/>
    <w:rsid w:val="00067F72"/>
    <w:rsid w:val="00070443"/>
    <w:rsid w:val="0007074F"/>
    <w:rsid w:val="00071043"/>
    <w:rsid w:val="000718C2"/>
    <w:rsid w:val="0007246A"/>
    <w:rsid w:val="000727B2"/>
    <w:rsid w:val="00073179"/>
    <w:rsid w:val="00073336"/>
    <w:rsid w:val="00074378"/>
    <w:rsid w:val="00074664"/>
    <w:rsid w:val="000766DD"/>
    <w:rsid w:val="00076EF0"/>
    <w:rsid w:val="00076F01"/>
    <w:rsid w:val="000771A0"/>
    <w:rsid w:val="000771A3"/>
    <w:rsid w:val="00077230"/>
    <w:rsid w:val="00077663"/>
    <w:rsid w:val="00077711"/>
    <w:rsid w:val="00080CB4"/>
    <w:rsid w:val="000814C2"/>
    <w:rsid w:val="00081C1E"/>
    <w:rsid w:val="00082B03"/>
    <w:rsid w:val="000836F4"/>
    <w:rsid w:val="00085D4A"/>
    <w:rsid w:val="00085ECE"/>
    <w:rsid w:val="00086B41"/>
    <w:rsid w:val="0008731A"/>
    <w:rsid w:val="00087CD9"/>
    <w:rsid w:val="00091211"/>
    <w:rsid w:val="000919A1"/>
    <w:rsid w:val="00092123"/>
    <w:rsid w:val="000931AB"/>
    <w:rsid w:val="000933A1"/>
    <w:rsid w:val="00094ACF"/>
    <w:rsid w:val="00095B36"/>
    <w:rsid w:val="00095C15"/>
    <w:rsid w:val="000964C9"/>
    <w:rsid w:val="000966AF"/>
    <w:rsid w:val="000979D4"/>
    <w:rsid w:val="000A00D2"/>
    <w:rsid w:val="000A125C"/>
    <w:rsid w:val="000A357F"/>
    <w:rsid w:val="000A3BA4"/>
    <w:rsid w:val="000A3DA9"/>
    <w:rsid w:val="000A42BC"/>
    <w:rsid w:val="000A46FE"/>
    <w:rsid w:val="000A47A1"/>
    <w:rsid w:val="000A55CF"/>
    <w:rsid w:val="000A5C49"/>
    <w:rsid w:val="000A72D6"/>
    <w:rsid w:val="000A772F"/>
    <w:rsid w:val="000A7AA9"/>
    <w:rsid w:val="000A7CCE"/>
    <w:rsid w:val="000B062E"/>
    <w:rsid w:val="000B168D"/>
    <w:rsid w:val="000B24C5"/>
    <w:rsid w:val="000B282B"/>
    <w:rsid w:val="000B2BAB"/>
    <w:rsid w:val="000B2BFC"/>
    <w:rsid w:val="000B3520"/>
    <w:rsid w:val="000B3E5D"/>
    <w:rsid w:val="000B4386"/>
    <w:rsid w:val="000B43F5"/>
    <w:rsid w:val="000B44BA"/>
    <w:rsid w:val="000B4B5F"/>
    <w:rsid w:val="000C08A1"/>
    <w:rsid w:val="000C20F5"/>
    <w:rsid w:val="000C255B"/>
    <w:rsid w:val="000C2568"/>
    <w:rsid w:val="000C433F"/>
    <w:rsid w:val="000C4E9D"/>
    <w:rsid w:val="000C5477"/>
    <w:rsid w:val="000C5A76"/>
    <w:rsid w:val="000C7AEF"/>
    <w:rsid w:val="000C7D6F"/>
    <w:rsid w:val="000D0A45"/>
    <w:rsid w:val="000D1073"/>
    <w:rsid w:val="000D2FC6"/>
    <w:rsid w:val="000D35C5"/>
    <w:rsid w:val="000D3688"/>
    <w:rsid w:val="000D36FD"/>
    <w:rsid w:val="000D3B88"/>
    <w:rsid w:val="000D408C"/>
    <w:rsid w:val="000D477E"/>
    <w:rsid w:val="000D487B"/>
    <w:rsid w:val="000D5A02"/>
    <w:rsid w:val="000D63DF"/>
    <w:rsid w:val="000D6511"/>
    <w:rsid w:val="000D6FF5"/>
    <w:rsid w:val="000E05E0"/>
    <w:rsid w:val="000E1901"/>
    <w:rsid w:val="000E1A99"/>
    <w:rsid w:val="000E2AEF"/>
    <w:rsid w:val="000E2C4E"/>
    <w:rsid w:val="000E2FE9"/>
    <w:rsid w:val="000E3344"/>
    <w:rsid w:val="000E343C"/>
    <w:rsid w:val="000E376B"/>
    <w:rsid w:val="000E4558"/>
    <w:rsid w:val="000E5961"/>
    <w:rsid w:val="000E608D"/>
    <w:rsid w:val="000E61F4"/>
    <w:rsid w:val="000E651E"/>
    <w:rsid w:val="000E71F9"/>
    <w:rsid w:val="000E72F0"/>
    <w:rsid w:val="000F0F1A"/>
    <w:rsid w:val="000F1CF3"/>
    <w:rsid w:val="000F1EB4"/>
    <w:rsid w:val="000F33F8"/>
    <w:rsid w:val="000F3E46"/>
    <w:rsid w:val="000F4ACE"/>
    <w:rsid w:val="000F4BFA"/>
    <w:rsid w:val="000F4E58"/>
    <w:rsid w:val="000F4F17"/>
    <w:rsid w:val="000F58B5"/>
    <w:rsid w:val="000F6048"/>
    <w:rsid w:val="000F6BDA"/>
    <w:rsid w:val="00100B11"/>
    <w:rsid w:val="00101649"/>
    <w:rsid w:val="00102071"/>
    <w:rsid w:val="00103315"/>
    <w:rsid w:val="00103847"/>
    <w:rsid w:val="001043FD"/>
    <w:rsid w:val="00105FA7"/>
    <w:rsid w:val="00107CFA"/>
    <w:rsid w:val="00107E08"/>
    <w:rsid w:val="00110235"/>
    <w:rsid w:val="00110703"/>
    <w:rsid w:val="00111810"/>
    <w:rsid w:val="00111833"/>
    <w:rsid w:val="00111DAF"/>
    <w:rsid w:val="00112B0B"/>
    <w:rsid w:val="0011303A"/>
    <w:rsid w:val="00113062"/>
    <w:rsid w:val="00113079"/>
    <w:rsid w:val="00113574"/>
    <w:rsid w:val="00114519"/>
    <w:rsid w:val="0011480F"/>
    <w:rsid w:val="001152C5"/>
    <w:rsid w:val="00116920"/>
    <w:rsid w:val="00117192"/>
    <w:rsid w:val="001175E0"/>
    <w:rsid w:val="00117933"/>
    <w:rsid w:val="001200FD"/>
    <w:rsid w:val="00120DA0"/>
    <w:rsid w:val="00122265"/>
    <w:rsid w:val="0012307B"/>
    <w:rsid w:val="00123E26"/>
    <w:rsid w:val="001259A9"/>
    <w:rsid w:val="0012727A"/>
    <w:rsid w:val="001275CF"/>
    <w:rsid w:val="0012767A"/>
    <w:rsid w:val="001315A6"/>
    <w:rsid w:val="00131C9F"/>
    <w:rsid w:val="00132FA9"/>
    <w:rsid w:val="00133AB2"/>
    <w:rsid w:val="00133CD9"/>
    <w:rsid w:val="00133D9B"/>
    <w:rsid w:val="00134145"/>
    <w:rsid w:val="001359FB"/>
    <w:rsid w:val="00135A8B"/>
    <w:rsid w:val="00135AAB"/>
    <w:rsid w:val="001367C0"/>
    <w:rsid w:val="001371F1"/>
    <w:rsid w:val="00137CAB"/>
    <w:rsid w:val="00140B67"/>
    <w:rsid w:val="00140BC2"/>
    <w:rsid w:val="00140BCF"/>
    <w:rsid w:val="00140F69"/>
    <w:rsid w:val="00141A18"/>
    <w:rsid w:val="00142BB2"/>
    <w:rsid w:val="0014307F"/>
    <w:rsid w:val="001441C8"/>
    <w:rsid w:val="00144472"/>
    <w:rsid w:val="00144545"/>
    <w:rsid w:val="00144917"/>
    <w:rsid w:val="00144C44"/>
    <w:rsid w:val="00144C7D"/>
    <w:rsid w:val="0014561B"/>
    <w:rsid w:val="00146101"/>
    <w:rsid w:val="00146506"/>
    <w:rsid w:val="001476C8"/>
    <w:rsid w:val="00147925"/>
    <w:rsid w:val="00147C55"/>
    <w:rsid w:val="0015014A"/>
    <w:rsid w:val="00150351"/>
    <w:rsid w:val="00150B26"/>
    <w:rsid w:val="00151DA1"/>
    <w:rsid w:val="001527EE"/>
    <w:rsid w:val="0015290B"/>
    <w:rsid w:val="00152FE9"/>
    <w:rsid w:val="00153636"/>
    <w:rsid w:val="0015484A"/>
    <w:rsid w:val="00154CBB"/>
    <w:rsid w:val="00155570"/>
    <w:rsid w:val="00156088"/>
    <w:rsid w:val="00156BFA"/>
    <w:rsid w:val="001604B9"/>
    <w:rsid w:val="00161001"/>
    <w:rsid w:val="00162A08"/>
    <w:rsid w:val="00163ABC"/>
    <w:rsid w:val="00164283"/>
    <w:rsid w:val="0016494D"/>
    <w:rsid w:val="001654B4"/>
    <w:rsid w:val="001658DB"/>
    <w:rsid w:val="00165B27"/>
    <w:rsid w:val="00166017"/>
    <w:rsid w:val="00166653"/>
    <w:rsid w:val="00167CB4"/>
    <w:rsid w:val="0017035F"/>
    <w:rsid w:val="0017081B"/>
    <w:rsid w:val="0017154C"/>
    <w:rsid w:val="00171E52"/>
    <w:rsid w:val="00172947"/>
    <w:rsid w:val="00173CF3"/>
    <w:rsid w:val="001748A7"/>
    <w:rsid w:val="00175A72"/>
    <w:rsid w:val="0017645D"/>
    <w:rsid w:val="00176F75"/>
    <w:rsid w:val="001773CD"/>
    <w:rsid w:val="00177D0A"/>
    <w:rsid w:val="0018003A"/>
    <w:rsid w:val="00180DF6"/>
    <w:rsid w:val="0018145E"/>
    <w:rsid w:val="00181BDB"/>
    <w:rsid w:val="00182173"/>
    <w:rsid w:val="001829CE"/>
    <w:rsid w:val="00182A86"/>
    <w:rsid w:val="00183A2A"/>
    <w:rsid w:val="00183C60"/>
    <w:rsid w:val="00184007"/>
    <w:rsid w:val="00187838"/>
    <w:rsid w:val="001901A5"/>
    <w:rsid w:val="001901FC"/>
    <w:rsid w:val="00190616"/>
    <w:rsid w:val="00190661"/>
    <w:rsid w:val="0019112F"/>
    <w:rsid w:val="00191645"/>
    <w:rsid w:val="001940DA"/>
    <w:rsid w:val="00194321"/>
    <w:rsid w:val="00194A17"/>
    <w:rsid w:val="00194C17"/>
    <w:rsid w:val="00195054"/>
    <w:rsid w:val="00195D34"/>
    <w:rsid w:val="00195EED"/>
    <w:rsid w:val="0019659D"/>
    <w:rsid w:val="00196FF3"/>
    <w:rsid w:val="00197D5B"/>
    <w:rsid w:val="001A0255"/>
    <w:rsid w:val="001A0449"/>
    <w:rsid w:val="001A06AE"/>
    <w:rsid w:val="001A087F"/>
    <w:rsid w:val="001A108B"/>
    <w:rsid w:val="001A25EA"/>
    <w:rsid w:val="001A2C4E"/>
    <w:rsid w:val="001A342B"/>
    <w:rsid w:val="001A35AD"/>
    <w:rsid w:val="001A4391"/>
    <w:rsid w:val="001A4FAD"/>
    <w:rsid w:val="001A57BB"/>
    <w:rsid w:val="001A7352"/>
    <w:rsid w:val="001A7C3B"/>
    <w:rsid w:val="001B0D1E"/>
    <w:rsid w:val="001B0E94"/>
    <w:rsid w:val="001B200E"/>
    <w:rsid w:val="001B20EF"/>
    <w:rsid w:val="001B2B9F"/>
    <w:rsid w:val="001B3294"/>
    <w:rsid w:val="001B39B1"/>
    <w:rsid w:val="001B3F5A"/>
    <w:rsid w:val="001B4899"/>
    <w:rsid w:val="001B5A30"/>
    <w:rsid w:val="001B5D92"/>
    <w:rsid w:val="001B6CF0"/>
    <w:rsid w:val="001B7B6D"/>
    <w:rsid w:val="001C31E8"/>
    <w:rsid w:val="001C37C3"/>
    <w:rsid w:val="001C3EB8"/>
    <w:rsid w:val="001C5986"/>
    <w:rsid w:val="001C5C26"/>
    <w:rsid w:val="001C5E46"/>
    <w:rsid w:val="001C624A"/>
    <w:rsid w:val="001C6D5F"/>
    <w:rsid w:val="001C7486"/>
    <w:rsid w:val="001C7596"/>
    <w:rsid w:val="001C7944"/>
    <w:rsid w:val="001D12AA"/>
    <w:rsid w:val="001D138B"/>
    <w:rsid w:val="001D1BC3"/>
    <w:rsid w:val="001D254C"/>
    <w:rsid w:val="001D2764"/>
    <w:rsid w:val="001D3241"/>
    <w:rsid w:val="001D3262"/>
    <w:rsid w:val="001D3316"/>
    <w:rsid w:val="001D3A04"/>
    <w:rsid w:val="001D528E"/>
    <w:rsid w:val="001D52A6"/>
    <w:rsid w:val="001D530B"/>
    <w:rsid w:val="001D589E"/>
    <w:rsid w:val="001D5B47"/>
    <w:rsid w:val="001D5B59"/>
    <w:rsid w:val="001D6890"/>
    <w:rsid w:val="001D6BAB"/>
    <w:rsid w:val="001D6C6B"/>
    <w:rsid w:val="001D7587"/>
    <w:rsid w:val="001D79AB"/>
    <w:rsid w:val="001E0313"/>
    <w:rsid w:val="001E1EFD"/>
    <w:rsid w:val="001E3C08"/>
    <w:rsid w:val="001E42B3"/>
    <w:rsid w:val="001E43C2"/>
    <w:rsid w:val="001E499B"/>
    <w:rsid w:val="001E56E1"/>
    <w:rsid w:val="001E5B42"/>
    <w:rsid w:val="001E6302"/>
    <w:rsid w:val="001E71AB"/>
    <w:rsid w:val="001F03F4"/>
    <w:rsid w:val="001F0A52"/>
    <w:rsid w:val="001F1F84"/>
    <w:rsid w:val="001F4750"/>
    <w:rsid w:val="001F4A1C"/>
    <w:rsid w:val="001F4FBB"/>
    <w:rsid w:val="001F52FB"/>
    <w:rsid w:val="001F5414"/>
    <w:rsid w:val="001F5CF6"/>
    <w:rsid w:val="001F5D30"/>
    <w:rsid w:val="001F63E1"/>
    <w:rsid w:val="001F6AEA"/>
    <w:rsid w:val="001F72DE"/>
    <w:rsid w:val="001F796C"/>
    <w:rsid w:val="00201099"/>
    <w:rsid w:val="00201586"/>
    <w:rsid w:val="0020165D"/>
    <w:rsid w:val="002016D9"/>
    <w:rsid w:val="00201771"/>
    <w:rsid w:val="002027E9"/>
    <w:rsid w:val="00203391"/>
    <w:rsid w:val="0020373B"/>
    <w:rsid w:val="002048DF"/>
    <w:rsid w:val="00204AF7"/>
    <w:rsid w:val="00204F22"/>
    <w:rsid w:val="00205098"/>
    <w:rsid w:val="00205636"/>
    <w:rsid w:val="00206FBA"/>
    <w:rsid w:val="0020757D"/>
    <w:rsid w:val="0020784A"/>
    <w:rsid w:val="0021016A"/>
    <w:rsid w:val="00210270"/>
    <w:rsid w:val="00212AA8"/>
    <w:rsid w:val="00213C53"/>
    <w:rsid w:val="00214CFC"/>
    <w:rsid w:val="002152C6"/>
    <w:rsid w:val="0021538A"/>
    <w:rsid w:val="00215A20"/>
    <w:rsid w:val="002165A3"/>
    <w:rsid w:val="002166F8"/>
    <w:rsid w:val="00220291"/>
    <w:rsid w:val="00220B7B"/>
    <w:rsid w:val="00220F3F"/>
    <w:rsid w:val="00222C42"/>
    <w:rsid w:val="00223A45"/>
    <w:rsid w:val="00223E15"/>
    <w:rsid w:val="00224E76"/>
    <w:rsid w:val="0022573C"/>
    <w:rsid w:val="00225A4E"/>
    <w:rsid w:val="0022630A"/>
    <w:rsid w:val="0022672A"/>
    <w:rsid w:val="00227B00"/>
    <w:rsid w:val="00227CB2"/>
    <w:rsid w:val="0023004A"/>
    <w:rsid w:val="00230F86"/>
    <w:rsid w:val="00231623"/>
    <w:rsid w:val="00231D59"/>
    <w:rsid w:val="0023268B"/>
    <w:rsid w:val="00232965"/>
    <w:rsid w:val="00236619"/>
    <w:rsid w:val="0023793B"/>
    <w:rsid w:val="0024018B"/>
    <w:rsid w:val="002406BD"/>
    <w:rsid w:val="002408F9"/>
    <w:rsid w:val="00240E2E"/>
    <w:rsid w:val="00241601"/>
    <w:rsid w:val="00242481"/>
    <w:rsid w:val="00242716"/>
    <w:rsid w:val="00242C1B"/>
    <w:rsid w:val="00244274"/>
    <w:rsid w:val="002478B5"/>
    <w:rsid w:val="00250469"/>
    <w:rsid w:val="0025050D"/>
    <w:rsid w:val="002514DB"/>
    <w:rsid w:val="0025163B"/>
    <w:rsid w:val="00252092"/>
    <w:rsid w:val="002520BF"/>
    <w:rsid w:val="002520F2"/>
    <w:rsid w:val="00252AA2"/>
    <w:rsid w:val="00252B2A"/>
    <w:rsid w:val="00253BCE"/>
    <w:rsid w:val="00253CF6"/>
    <w:rsid w:val="002541F8"/>
    <w:rsid w:val="00254447"/>
    <w:rsid w:val="002545C4"/>
    <w:rsid w:val="002556EE"/>
    <w:rsid w:val="00255D7F"/>
    <w:rsid w:val="00255EBF"/>
    <w:rsid w:val="00256274"/>
    <w:rsid w:val="002567C7"/>
    <w:rsid w:val="00256C5B"/>
    <w:rsid w:val="00260796"/>
    <w:rsid w:val="002607ED"/>
    <w:rsid w:val="002608D1"/>
    <w:rsid w:val="00260C97"/>
    <w:rsid w:val="00261423"/>
    <w:rsid w:val="0026168D"/>
    <w:rsid w:val="0026272F"/>
    <w:rsid w:val="002633CA"/>
    <w:rsid w:val="002646A6"/>
    <w:rsid w:val="00264858"/>
    <w:rsid w:val="00265394"/>
    <w:rsid w:val="002654A4"/>
    <w:rsid w:val="00266355"/>
    <w:rsid w:val="00267FEF"/>
    <w:rsid w:val="00270566"/>
    <w:rsid w:val="00273106"/>
    <w:rsid w:val="00273E35"/>
    <w:rsid w:val="0027402D"/>
    <w:rsid w:val="002745EB"/>
    <w:rsid w:val="002754E6"/>
    <w:rsid w:val="00276744"/>
    <w:rsid w:val="00276DEA"/>
    <w:rsid w:val="00276FCA"/>
    <w:rsid w:val="00277E7D"/>
    <w:rsid w:val="00280B97"/>
    <w:rsid w:val="00282348"/>
    <w:rsid w:val="00282BAA"/>
    <w:rsid w:val="0028344D"/>
    <w:rsid w:val="00285087"/>
    <w:rsid w:val="00285491"/>
    <w:rsid w:val="00285CFC"/>
    <w:rsid w:val="002864D9"/>
    <w:rsid w:val="00287721"/>
    <w:rsid w:val="00291A64"/>
    <w:rsid w:val="00291CA6"/>
    <w:rsid w:val="00291ED0"/>
    <w:rsid w:val="00292465"/>
    <w:rsid w:val="00292A4F"/>
    <w:rsid w:val="002931F2"/>
    <w:rsid w:val="00293679"/>
    <w:rsid w:val="00293770"/>
    <w:rsid w:val="002944BB"/>
    <w:rsid w:val="00297111"/>
    <w:rsid w:val="002976D7"/>
    <w:rsid w:val="002A0D22"/>
    <w:rsid w:val="002A11EE"/>
    <w:rsid w:val="002A2551"/>
    <w:rsid w:val="002A2849"/>
    <w:rsid w:val="002A3DF9"/>
    <w:rsid w:val="002A4AC6"/>
    <w:rsid w:val="002A5107"/>
    <w:rsid w:val="002A5D8B"/>
    <w:rsid w:val="002A65F6"/>
    <w:rsid w:val="002A7D0E"/>
    <w:rsid w:val="002B0A81"/>
    <w:rsid w:val="002B0D7A"/>
    <w:rsid w:val="002B161B"/>
    <w:rsid w:val="002B1A52"/>
    <w:rsid w:val="002B373F"/>
    <w:rsid w:val="002B46CB"/>
    <w:rsid w:val="002B60EF"/>
    <w:rsid w:val="002B644D"/>
    <w:rsid w:val="002B7144"/>
    <w:rsid w:val="002C0021"/>
    <w:rsid w:val="002C13B8"/>
    <w:rsid w:val="002C1D90"/>
    <w:rsid w:val="002C1FBC"/>
    <w:rsid w:val="002C216B"/>
    <w:rsid w:val="002C3192"/>
    <w:rsid w:val="002C3568"/>
    <w:rsid w:val="002C43E8"/>
    <w:rsid w:val="002C4D04"/>
    <w:rsid w:val="002C5CC6"/>
    <w:rsid w:val="002C5F59"/>
    <w:rsid w:val="002C675F"/>
    <w:rsid w:val="002D0316"/>
    <w:rsid w:val="002D0A04"/>
    <w:rsid w:val="002D0E7B"/>
    <w:rsid w:val="002D1432"/>
    <w:rsid w:val="002D259B"/>
    <w:rsid w:val="002D29FF"/>
    <w:rsid w:val="002D37F1"/>
    <w:rsid w:val="002D5C73"/>
    <w:rsid w:val="002D6257"/>
    <w:rsid w:val="002D6307"/>
    <w:rsid w:val="002D65A5"/>
    <w:rsid w:val="002D6E55"/>
    <w:rsid w:val="002D7900"/>
    <w:rsid w:val="002D7C40"/>
    <w:rsid w:val="002E1402"/>
    <w:rsid w:val="002E15A1"/>
    <w:rsid w:val="002E1612"/>
    <w:rsid w:val="002E197B"/>
    <w:rsid w:val="002E320D"/>
    <w:rsid w:val="002E34F0"/>
    <w:rsid w:val="002E3A44"/>
    <w:rsid w:val="002E4487"/>
    <w:rsid w:val="002E4662"/>
    <w:rsid w:val="002E4759"/>
    <w:rsid w:val="002E47F1"/>
    <w:rsid w:val="002E4A8C"/>
    <w:rsid w:val="002E4BCE"/>
    <w:rsid w:val="002E4DFA"/>
    <w:rsid w:val="002E51AD"/>
    <w:rsid w:val="002E527B"/>
    <w:rsid w:val="002E52CA"/>
    <w:rsid w:val="002E58F2"/>
    <w:rsid w:val="002E5BAB"/>
    <w:rsid w:val="002E61D1"/>
    <w:rsid w:val="002E6657"/>
    <w:rsid w:val="002E6AEF"/>
    <w:rsid w:val="002E6EF0"/>
    <w:rsid w:val="002E7C10"/>
    <w:rsid w:val="002E7E1E"/>
    <w:rsid w:val="002F02EE"/>
    <w:rsid w:val="002F0472"/>
    <w:rsid w:val="002F2261"/>
    <w:rsid w:val="002F3901"/>
    <w:rsid w:val="002F3CE6"/>
    <w:rsid w:val="002F42FE"/>
    <w:rsid w:val="002F451B"/>
    <w:rsid w:val="002F558D"/>
    <w:rsid w:val="002F5833"/>
    <w:rsid w:val="002F5CFE"/>
    <w:rsid w:val="002F6732"/>
    <w:rsid w:val="002F6B52"/>
    <w:rsid w:val="002F7235"/>
    <w:rsid w:val="002F7460"/>
    <w:rsid w:val="00300901"/>
    <w:rsid w:val="00302ADE"/>
    <w:rsid w:val="00302B46"/>
    <w:rsid w:val="00302E90"/>
    <w:rsid w:val="00303B83"/>
    <w:rsid w:val="00303C2E"/>
    <w:rsid w:val="00303D95"/>
    <w:rsid w:val="00304ECA"/>
    <w:rsid w:val="003050C6"/>
    <w:rsid w:val="00305241"/>
    <w:rsid w:val="003058D5"/>
    <w:rsid w:val="00306BE8"/>
    <w:rsid w:val="00307698"/>
    <w:rsid w:val="00307F73"/>
    <w:rsid w:val="00310B9F"/>
    <w:rsid w:val="00311430"/>
    <w:rsid w:val="00311ADB"/>
    <w:rsid w:val="00312646"/>
    <w:rsid w:val="003126F7"/>
    <w:rsid w:val="003128B5"/>
    <w:rsid w:val="00313A94"/>
    <w:rsid w:val="00314629"/>
    <w:rsid w:val="00314A83"/>
    <w:rsid w:val="00315856"/>
    <w:rsid w:val="00315D1D"/>
    <w:rsid w:val="00316892"/>
    <w:rsid w:val="00316FEE"/>
    <w:rsid w:val="003170C0"/>
    <w:rsid w:val="003171D3"/>
    <w:rsid w:val="003207C4"/>
    <w:rsid w:val="00320855"/>
    <w:rsid w:val="003213AE"/>
    <w:rsid w:val="003214DF"/>
    <w:rsid w:val="00321BDF"/>
    <w:rsid w:val="00323A26"/>
    <w:rsid w:val="00324DF0"/>
    <w:rsid w:val="00324EBE"/>
    <w:rsid w:val="00326508"/>
    <w:rsid w:val="00326551"/>
    <w:rsid w:val="00327FC8"/>
    <w:rsid w:val="00330B52"/>
    <w:rsid w:val="003313B5"/>
    <w:rsid w:val="00331854"/>
    <w:rsid w:val="00332897"/>
    <w:rsid w:val="00332E3E"/>
    <w:rsid w:val="0033359D"/>
    <w:rsid w:val="00333942"/>
    <w:rsid w:val="00333B2E"/>
    <w:rsid w:val="003340AC"/>
    <w:rsid w:val="00335B68"/>
    <w:rsid w:val="00336934"/>
    <w:rsid w:val="00337862"/>
    <w:rsid w:val="003378A9"/>
    <w:rsid w:val="00341069"/>
    <w:rsid w:val="00341D14"/>
    <w:rsid w:val="0034230C"/>
    <w:rsid w:val="00342910"/>
    <w:rsid w:val="00342D1C"/>
    <w:rsid w:val="00343872"/>
    <w:rsid w:val="003438A0"/>
    <w:rsid w:val="00343A94"/>
    <w:rsid w:val="00344AF8"/>
    <w:rsid w:val="00345423"/>
    <w:rsid w:val="00346311"/>
    <w:rsid w:val="003468C9"/>
    <w:rsid w:val="00346A23"/>
    <w:rsid w:val="00346BFD"/>
    <w:rsid w:val="003472D1"/>
    <w:rsid w:val="00350002"/>
    <w:rsid w:val="003506D1"/>
    <w:rsid w:val="00350B37"/>
    <w:rsid w:val="0035103D"/>
    <w:rsid w:val="003524B2"/>
    <w:rsid w:val="003528CF"/>
    <w:rsid w:val="00352961"/>
    <w:rsid w:val="00354453"/>
    <w:rsid w:val="00354DC3"/>
    <w:rsid w:val="00355050"/>
    <w:rsid w:val="003557B9"/>
    <w:rsid w:val="0035610A"/>
    <w:rsid w:val="00356647"/>
    <w:rsid w:val="003567E9"/>
    <w:rsid w:val="003568B1"/>
    <w:rsid w:val="00357300"/>
    <w:rsid w:val="003609A6"/>
    <w:rsid w:val="00361C29"/>
    <w:rsid w:val="00361F64"/>
    <w:rsid w:val="0036237E"/>
    <w:rsid w:val="00362E17"/>
    <w:rsid w:val="00363ACB"/>
    <w:rsid w:val="00363FDA"/>
    <w:rsid w:val="00363FE4"/>
    <w:rsid w:val="00365267"/>
    <w:rsid w:val="00365A06"/>
    <w:rsid w:val="00365A0C"/>
    <w:rsid w:val="00367B4C"/>
    <w:rsid w:val="00370F51"/>
    <w:rsid w:val="00370FC9"/>
    <w:rsid w:val="00371E4D"/>
    <w:rsid w:val="00372639"/>
    <w:rsid w:val="00372772"/>
    <w:rsid w:val="0037429D"/>
    <w:rsid w:val="00374B60"/>
    <w:rsid w:val="003755DE"/>
    <w:rsid w:val="00375A9A"/>
    <w:rsid w:val="0037637C"/>
    <w:rsid w:val="003763EB"/>
    <w:rsid w:val="00376D86"/>
    <w:rsid w:val="00377BFC"/>
    <w:rsid w:val="003805B7"/>
    <w:rsid w:val="003811C4"/>
    <w:rsid w:val="00381A2D"/>
    <w:rsid w:val="003825BA"/>
    <w:rsid w:val="0038330F"/>
    <w:rsid w:val="003848B5"/>
    <w:rsid w:val="00384EC9"/>
    <w:rsid w:val="003851DF"/>
    <w:rsid w:val="0038548A"/>
    <w:rsid w:val="0038706A"/>
    <w:rsid w:val="003875C2"/>
    <w:rsid w:val="003901E7"/>
    <w:rsid w:val="003902AD"/>
    <w:rsid w:val="0039057A"/>
    <w:rsid w:val="003906A5"/>
    <w:rsid w:val="0039113B"/>
    <w:rsid w:val="0039118D"/>
    <w:rsid w:val="003911D0"/>
    <w:rsid w:val="0039350E"/>
    <w:rsid w:val="00393534"/>
    <w:rsid w:val="00395E09"/>
    <w:rsid w:val="00395F56"/>
    <w:rsid w:val="0039685A"/>
    <w:rsid w:val="0039693A"/>
    <w:rsid w:val="00397D63"/>
    <w:rsid w:val="003A0182"/>
    <w:rsid w:val="003A1553"/>
    <w:rsid w:val="003A1570"/>
    <w:rsid w:val="003A1B75"/>
    <w:rsid w:val="003A3457"/>
    <w:rsid w:val="003A3F4B"/>
    <w:rsid w:val="003A3F7F"/>
    <w:rsid w:val="003A4087"/>
    <w:rsid w:val="003A4697"/>
    <w:rsid w:val="003A4D4B"/>
    <w:rsid w:val="003A4F0F"/>
    <w:rsid w:val="003A4FB0"/>
    <w:rsid w:val="003A5A50"/>
    <w:rsid w:val="003A5BB2"/>
    <w:rsid w:val="003A75B2"/>
    <w:rsid w:val="003B0E3D"/>
    <w:rsid w:val="003B1963"/>
    <w:rsid w:val="003B2341"/>
    <w:rsid w:val="003B31C0"/>
    <w:rsid w:val="003B33D2"/>
    <w:rsid w:val="003B3426"/>
    <w:rsid w:val="003B3DC1"/>
    <w:rsid w:val="003B46C2"/>
    <w:rsid w:val="003B4A2C"/>
    <w:rsid w:val="003B4C3D"/>
    <w:rsid w:val="003B7D18"/>
    <w:rsid w:val="003C11DA"/>
    <w:rsid w:val="003C1760"/>
    <w:rsid w:val="003C1E44"/>
    <w:rsid w:val="003C2754"/>
    <w:rsid w:val="003C325A"/>
    <w:rsid w:val="003C3685"/>
    <w:rsid w:val="003C384E"/>
    <w:rsid w:val="003C6192"/>
    <w:rsid w:val="003C61F2"/>
    <w:rsid w:val="003C66D7"/>
    <w:rsid w:val="003C6B14"/>
    <w:rsid w:val="003C76D8"/>
    <w:rsid w:val="003C7D26"/>
    <w:rsid w:val="003D0615"/>
    <w:rsid w:val="003D0AB3"/>
    <w:rsid w:val="003D2059"/>
    <w:rsid w:val="003D21F5"/>
    <w:rsid w:val="003D2901"/>
    <w:rsid w:val="003D2EC7"/>
    <w:rsid w:val="003D3667"/>
    <w:rsid w:val="003D402A"/>
    <w:rsid w:val="003D4203"/>
    <w:rsid w:val="003D6EFD"/>
    <w:rsid w:val="003D7413"/>
    <w:rsid w:val="003E09E6"/>
    <w:rsid w:val="003E10D3"/>
    <w:rsid w:val="003E166B"/>
    <w:rsid w:val="003E2525"/>
    <w:rsid w:val="003E2EFC"/>
    <w:rsid w:val="003E4AB1"/>
    <w:rsid w:val="003E7579"/>
    <w:rsid w:val="003E7703"/>
    <w:rsid w:val="003F04D6"/>
    <w:rsid w:val="003F04FE"/>
    <w:rsid w:val="003F128E"/>
    <w:rsid w:val="003F1AC5"/>
    <w:rsid w:val="003F1D6A"/>
    <w:rsid w:val="003F1F8C"/>
    <w:rsid w:val="003F2232"/>
    <w:rsid w:val="003F22C0"/>
    <w:rsid w:val="003F3BF5"/>
    <w:rsid w:val="003F3C4D"/>
    <w:rsid w:val="003F3CA3"/>
    <w:rsid w:val="003F4967"/>
    <w:rsid w:val="003F4E09"/>
    <w:rsid w:val="003F5542"/>
    <w:rsid w:val="003F5F46"/>
    <w:rsid w:val="003F7B20"/>
    <w:rsid w:val="00400E19"/>
    <w:rsid w:val="00402E3B"/>
    <w:rsid w:val="00404068"/>
    <w:rsid w:val="004044DC"/>
    <w:rsid w:val="0040477D"/>
    <w:rsid w:val="004047FA"/>
    <w:rsid w:val="00404B0E"/>
    <w:rsid w:val="00405B9F"/>
    <w:rsid w:val="00406314"/>
    <w:rsid w:val="0040647C"/>
    <w:rsid w:val="004065FD"/>
    <w:rsid w:val="00407313"/>
    <w:rsid w:val="00410830"/>
    <w:rsid w:val="0041113D"/>
    <w:rsid w:val="00411215"/>
    <w:rsid w:val="004121B6"/>
    <w:rsid w:val="004127CC"/>
    <w:rsid w:val="00412E79"/>
    <w:rsid w:val="00413347"/>
    <w:rsid w:val="004134F8"/>
    <w:rsid w:val="004138CA"/>
    <w:rsid w:val="00415C19"/>
    <w:rsid w:val="004169E8"/>
    <w:rsid w:val="00416B5D"/>
    <w:rsid w:val="00416E7C"/>
    <w:rsid w:val="004173FC"/>
    <w:rsid w:val="00417419"/>
    <w:rsid w:val="004200F6"/>
    <w:rsid w:val="004201B0"/>
    <w:rsid w:val="004209B8"/>
    <w:rsid w:val="00420B23"/>
    <w:rsid w:val="00422B7E"/>
    <w:rsid w:val="00422D28"/>
    <w:rsid w:val="00423472"/>
    <w:rsid w:val="0042379E"/>
    <w:rsid w:val="004243B9"/>
    <w:rsid w:val="0042607B"/>
    <w:rsid w:val="00427276"/>
    <w:rsid w:val="004273B8"/>
    <w:rsid w:val="004275BE"/>
    <w:rsid w:val="00427786"/>
    <w:rsid w:val="00427829"/>
    <w:rsid w:val="00430AB5"/>
    <w:rsid w:val="00431A73"/>
    <w:rsid w:val="00433D97"/>
    <w:rsid w:val="00434194"/>
    <w:rsid w:val="00434A28"/>
    <w:rsid w:val="00434D42"/>
    <w:rsid w:val="00434D5D"/>
    <w:rsid w:val="00435184"/>
    <w:rsid w:val="0043564D"/>
    <w:rsid w:val="00436726"/>
    <w:rsid w:val="00436A9B"/>
    <w:rsid w:val="00437576"/>
    <w:rsid w:val="004376E1"/>
    <w:rsid w:val="00437E7E"/>
    <w:rsid w:val="00440D31"/>
    <w:rsid w:val="00440F0C"/>
    <w:rsid w:val="00441BAD"/>
    <w:rsid w:val="00441C39"/>
    <w:rsid w:val="004437A3"/>
    <w:rsid w:val="00443C0C"/>
    <w:rsid w:val="00443E1E"/>
    <w:rsid w:val="00444572"/>
    <w:rsid w:val="00444896"/>
    <w:rsid w:val="00444A1A"/>
    <w:rsid w:val="00445557"/>
    <w:rsid w:val="00446736"/>
    <w:rsid w:val="00446FCF"/>
    <w:rsid w:val="00447320"/>
    <w:rsid w:val="00447340"/>
    <w:rsid w:val="004478A8"/>
    <w:rsid w:val="00447A83"/>
    <w:rsid w:val="00447C3A"/>
    <w:rsid w:val="0045088D"/>
    <w:rsid w:val="00450959"/>
    <w:rsid w:val="00451097"/>
    <w:rsid w:val="00451DCA"/>
    <w:rsid w:val="004523FE"/>
    <w:rsid w:val="0045264B"/>
    <w:rsid w:val="00453DB6"/>
    <w:rsid w:val="004543DA"/>
    <w:rsid w:val="0045496D"/>
    <w:rsid w:val="00454B55"/>
    <w:rsid w:val="0045512A"/>
    <w:rsid w:val="00455783"/>
    <w:rsid w:val="0045597B"/>
    <w:rsid w:val="00455EB5"/>
    <w:rsid w:val="004562C1"/>
    <w:rsid w:val="0045670B"/>
    <w:rsid w:val="00457864"/>
    <w:rsid w:val="0046074A"/>
    <w:rsid w:val="00460E02"/>
    <w:rsid w:val="00460E5A"/>
    <w:rsid w:val="004614F8"/>
    <w:rsid w:val="00462434"/>
    <w:rsid w:val="0046277F"/>
    <w:rsid w:val="00462A3F"/>
    <w:rsid w:val="00462CF3"/>
    <w:rsid w:val="00463868"/>
    <w:rsid w:val="0046394A"/>
    <w:rsid w:val="00464617"/>
    <w:rsid w:val="00465410"/>
    <w:rsid w:val="00465E4D"/>
    <w:rsid w:val="00465F14"/>
    <w:rsid w:val="00465FE6"/>
    <w:rsid w:val="004662E0"/>
    <w:rsid w:val="00467107"/>
    <w:rsid w:val="004671E9"/>
    <w:rsid w:val="0047251C"/>
    <w:rsid w:val="00472FF1"/>
    <w:rsid w:val="0047345F"/>
    <w:rsid w:val="004743A7"/>
    <w:rsid w:val="00474B98"/>
    <w:rsid w:val="00474C78"/>
    <w:rsid w:val="00474C81"/>
    <w:rsid w:val="00474FB7"/>
    <w:rsid w:val="00475EBB"/>
    <w:rsid w:val="00476DFD"/>
    <w:rsid w:val="004773C3"/>
    <w:rsid w:val="00480402"/>
    <w:rsid w:val="00481258"/>
    <w:rsid w:val="00481D90"/>
    <w:rsid w:val="0048215F"/>
    <w:rsid w:val="00482D55"/>
    <w:rsid w:val="00483CA8"/>
    <w:rsid w:val="0048453A"/>
    <w:rsid w:val="00485369"/>
    <w:rsid w:val="00485382"/>
    <w:rsid w:val="00485670"/>
    <w:rsid w:val="00485CEA"/>
    <w:rsid w:val="00486102"/>
    <w:rsid w:val="00486812"/>
    <w:rsid w:val="00486A4A"/>
    <w:rsid w:val="00486C6D"/>
    <w:rsid w:val="00487177"/>
    <w:rsid w:val="00487392"/>
    <w:rsid w:val="004877B6"/>
    <w:rsid w:val="00487A72"/>
    <w:rsid w:val="00487F67"/>
    <w:rsid w:val="00490293"/>
    <w:rsid w:val="00490411"/>
    <w:rsid w:val="004905BA"/>
    <w:rsid w:val="00490D10"/>
    <w:rsid w:val="004920E0"/>
    <w:rsid w:val="00492511"/>
    <w:rsid w:val="004931BE"/>
    <w:rsid w:val="00493500"/>
    <w:rsid w:val="0049459A"/>
    <w:rsid w:val="00494D28"/>
    <w:rsid w:val="00495319"/>
    <w:rsid w:val="00495C4D"/>
    <w:rsid w:val="004966D7"/>
    <w:rsid w:val="00496856"/>
    <w:rsid w:val="00496AB9"/>
    <w:rsid w:val="00497252"/>
    <w:rsid w:val="00497F7C"/>
    <w:rsid w:val="004A0011"/>
    <w:rsid w:val="004A0713"/>
    <w:rsid w:val="004A0B95"/>
    <w:rsid w:val="004A3CBD"/>
    <w:rsid w:val="004A3F6C"/>
    <w:rsid w:val="004A615F"/>
    <w:rsid w:val="004A66E3"/>
    <w:rsid w:val="004A6826"/>
    <w:rsid w:val="004A715B"/>
    <w:rsid w:val="004A74E7"/>
    <w:rsid w:val="004B073E"/>
    <w:rsid w:val="004B1180"/>
    <w:rsid w:val="004B175D"/>
    <w:rsid w:val="004B192B"/>
    <w:rsid w:val="004B197B"/>
    <w:rsid w:val="004B1AEE"/>
    <w:rsid w:val="004B28B5"/>
    <w:rsid w:val="004B2AEA"/>
    <w:rsid w:val="004B3BC2"/>
    <w:rsid w:val="004B3FB4"/>
    <w:rsid w:val="004B49D5"/>
    <w:rsid w:val="004B56B4"/>
    <w:rsid w:val="004B61AD"/>
    <w:rsid w:val="004B69DB"/>
    <w:rsid w:val="004B7C27"/>
    <w:rsid w:val="004B7F82"/>
    <w:rsid w:val="004B7FB2"/>
    <w:rsid w:val="004C0ACF"/>
    <w:rsid w:val="004C0EDB"/>
    <w:rsid w:val="004C206D"/>
    <w:rsid w:val="004C3E16"/>
    <w:rsid w:val="004C4667"/>
    <w:rsid w:val="004C58CF"/>
    <w:rsid w:val="004C77F5"/>
    <w:rsid w:val="004D0C9A"/>
    <w:rsid w:val="004D14CE"/>
    <w:rsid w:val="004D25B1"/>
    <w:rsid w:val="004D26BF"/>
    <w:rsid w:val="004D4748"/>
    <w:rsid w:val="004D4B24"/>
    <w:rsid w:val="004D51A8"/>
    <w:rsid w:val="004D52F8"/>
    <w:rsid w:val="004D5CF1"/>
    <w:rsid w:val="004D694B"/>
    <w:rsid w:val="004D6E1A"/>
    <w:rsid w:val="004D72FF"/>
    <w:rsid w:val="004D75A3"/>
    <w:rsid w:val="004E030B"/>
    <w:rsid w:val="004E0DA4"/>
    <w:rsid w:val="004E0E6B"/>
    <w:rsid w:val="004E0F92"/>
    <w:rsid w:val="004E1EC6"/>
    <w:rsid w:val="004E3106"/>
    <w:rsid w:val="004E3225"/>
    <w:rsid w:val="004E3705"/>
    <w:rsid w:val="004E3C3C"/>
    <w:rsid w:val="004E4676"/>
    <w:rsid w:val="004E46D6"/>
    <w:rsid w:val="004E4814"/>
    <w:rsid w:val="004E4EE4"/>
    <w:rsid w:val="004E58FD"/>
    <w:rsid w:val="004E661B"/>
    <w:rsid w:val="004E66CD"/>
    <w:rsid w:val="004E707B"/>
    <w:rsid w:val="004E7112"/>
    <w:rsid w:val="004E76C7"/>
    <w:rsid w:val="004E7959"/>
    <w:rsid w:val="004F010E"/>
    <w:rsid w:val="004F073A"/>
    <w:rsid w:val="004F0E01"/>
    <w:rsid w:val="004F2238"/>
    <w:rsid w:val="004F3356"/>
    <w:rsid w:val="004F3761"/>
    <w:rsid w:val="004F41C7"/>
    <w:rsid w:val="004F4B48"/>
    <w:rsid w:val="004F4E32"/>
    <w:rsid w:val="004F4F5A"/>
    <w:rsid w:val="004F5279"/>
    <w:rsid w:val="004F7089"/>
    <w:rsid w:val="004F72C4"/>
    <w:rsid w:val="00500481"/>
    <w:rsid w:val="0050086D"/>
    <w:rsid w:val="0050096A"/>
    <w:rsid w:val="0050101D"/>
    <w:rsid w:val="00502DA2"/>
    <w:rsid w:val="00503015"/>
    <w:rsid w:val="00503173"/>
    <w:rsid w:val="00504364"/>
    <w:rsid w:val="00504B69"/>
    <w:rsid w:val="00504BBD"/>
    <w:rsid w:val="00506397"/>
    <w:rsid w:val="00507709"/>
    <w:rsid w:val="005106B7"/>
    <w:rsid w:val="005106D7"/>
    <w:rsid w:val="00510D82"/>
    <w:rsid w:val="005111A6"/>
    <w:rsid w:val="00511A02"/>
    <w:rsid w:val="00511A74"/>
    <w:rsid w:val="00512038"/>
    <w:rsid w:val="0051301A"/>
    <w:rsid w:val="005158F5"/>
    <w:rsid w:val="0051621D"/>
    <w:rsid w:val="005162BA"/>
    <w:rsid w:val="0051665F"/>
    <w:rsid w:val="00516843"/>
    <w:rsid w:val="0051790E"/>
    <w:rsid w:val="00517C76"/>
    <w:rsid w:val="00520856"/>
    <w:rsid w:val="00521A99"/>
    <w:rsid w:val="0052313D"/>
    <w:rsid w:val="00523867"/>
    <w:rsid w:val="005238EC"/>
    <w:rsid w:val="00523B7B"/>
    <w:rsid w:val="00523F2B"/>
    <w:rsid w:val="005242EC"/>
    <w:rsid w:val="00524F75"/>
    <w:rsid w:val="005255CB"/>
    <w:rsid w:val="00525761"/>
    <w:rsid w:val="00525A10"/>
    <w:rsid w:val="0053001A"/>
    <w:rsid w:val="005300AF"/>
    <w:rsid w:val="00530698"/>
    <w:rsid w:val="00530706"/>
    <w:rsid w:val="00530ACA"/>
    <w:rsid w:val="005311D2"/>
    <w:rsid w:val="00531681"/>
    <w:rsid w:val="005329B5"/>
    <w:rsid w:val="00533625"/>
    <w:rsid w:val="00533F12"/>
    <w:rsid w:val="005340DC"/>
    <w:rsid w:val="00534E19"/>
    <w:rsid w:val="00535017"/>
    <w:rsid w:val="00535489"/>
    <w:rsid w:val="0053608E"/>
    <w:rsid w:val="005368CB"/>
    <w:rsid w:val="00536D6B"/>
    <w:rsid w:val="00540213"/>
    <w:rsid w:val="005403FC"/>
    <w:rsid w:val="00542080"/>
    <w:rsid w:val="00542CA2"/>
    <w:rsid w:val="00542E6D"/>
    <w:rsid w:val="00543BEB"/>
    <w:rsid w:val="00544704"/>
    <w:rsid w:val="005459CF"/>
    <w:rsid w:val="005469A1"/>
    <w:rsid w:val="00550482"/>
    <w:rsid w:val="00550CC8"/>
    <w:rsid w:val="005516BC"/>
    <w:rsid w:val="005518F3"/>
    <w:rsid w:val="00551C37"/>
    <w:rsid w:val="0055234A"/>
    <w:rsid w:val="0055482B"/>
    <w:rsid w:val="005556DC"/>
    <w:rsid w:val="0055757E"/>
    <w:rsid w:val="0055787A"/>
    <w:rsid w:val="00560132"/>
    <w:rsid w:val="00560817"/>
    <w:rsid w:val="00561164"/>
    <w:rsid w:val="00561D71"/>
    <w:rsid w:val="00562159"/>
    <w:rsid w:val="005621B8"/>
    <w:rsid w:val="005623C1"/>
    <w:rsid w:val="0056244A"/>
    <w:rsid w:val="00562681"/>
    <w:rsid w:val="00562F03"/>
    <w:rsid w:val="005652FE"/>
    <w:rsid w:val="00565F27"/>
    <w:rsid w:val="0056605A"/>
    <w:rsid w:val="005671BE"/>
    <w:rsid w:val="0056783C"/>
    <w:rsid w:val="00567BB6"/>
    <w:rsid w:val="005701A2"/>
    <w:rsid w:val="0057022A"/>
    <w:rsid w:val="00570694"/>
    <w:rsid w:val="00570B3E"/>
    <w:rsid w:val="00571A05"/>
    <w:rsid w:val="005726C0"/>
    <w:rsid w:val="00573995"/>
    <w:rsid w:val="005739B1"/>
    <w:rsid w:val="00574642"/>
    <w:rsid w:val="00574B37"/>
    <w:rsid w:val="00574B64"/>
    <w:rsid w:val="005756EA"/>
    <w:rsid w:val="0057670C"/>
    <w:rsid w:val="00577A3B"/>
    <w:rsid w:val="00580DE1"/>
    <w:rsid w:val="00581D29"/>
    <w:rsid w:val="00582122"/>
    <w:rsid w:val="00582D52"/>
    <w:rsid w:val="0058317B"/>
    <w:rsid w:val="005833E6"/>
    <w:rsid w:val="005845FD"/>
    <w:rsid w:val="00584EBD"/>
    <w:rsid w:val="0058502B"/>
    <w:rsid w:val="0058512D"/>
    <w:rsid w:val="00585281"/>
    <w:rsid w:val="00585AB5"/>
    <w:rsid w:val="00586765"/>
    <w:rsid w:val="00587B1C"/>
    <w:rsid w:val="00591A00"/>
    <w:rsid w:val="00592092"/>
    <w:rsid w:val="005933F9"/>
    <w:rsid w:val="00593E7B"/>
    <w:rsid w:val="00594BCB"/>
    <w:rsid w:val="00595E68"/>
    <w:rsid w:val="00595FF9"/>
    <w:rsid w:val="00596354"/>
    <w:rsid w:val="005965A5"/>
    <w:rsid w:val="005967FD"/>
    <w:rsid w:val="005A0A68"/>
    <w:rsid w:val="005A0EB4"/>
    <w:rsid w:val="005A184B"/>
    <w:rsid w:val="005A20B3"/>
    <w:rsid w:val="005A241E"/>
    <w:rsid w:val="005A242E"/>
    <w:rsid w:val="005A24CD"/>
    <w:rsid w:val="005A3CA5"/>
    <w:rsid w:val="005A4A41"/>
    <w:rsid w:val="005A4AFC"/>
    <w:rsid w:val="005A5D3D"/>
    <w:rsid w:val="005A64A7"/>
    <w:rsid w:val="005B00AD"/>
    <w:rsid w:val="005B01D9"/>
    <w:rsid w:val="005B043E"/>
    <w:rsid w:val="005B04E0"/>
    <w:rsid w:val="005B1B23"/>
    <w:rsid w:val="005B378B"/>
    <w:rsid w:val="005B5934"/>
    <w:rsid w:val="005B5B2A"/>
    <w:rsid w:val="005B6B35"/>
    <w:rsid w:val="005B6DB4"/>
    <w:rsid w:val="005B7570"/>
    <w:rsid w:val="005B7B61"/>
    <w:rsid w:val="005C04CF"/>
    <w:rsid w:val="005C051A"/>
    <w:rsid w:val="005C0A05"/>
    <w:rsid w:val="005C10E6"/>
    <w:rsid w:val="005C17AD"/>
    <w:rsid w:val="005C1814"/>
    <w:rsid w:val="005C2D35"/>
    <w:rsid w:val="005C34A0"/>
    <w:rsid w:val="005C3A15"/>
    <w:rsid w:val="005C421C"/>
    <w:rsid w:val="005C475C"/>
    <w:rsid w:val="005C67D4"/>
    <w:rsid w:val="005C6DCF"/>
    <w:rsid w:val="005D0D9E"/>
    <w:rsid w:val="005D135B"/>
    <w:rsid w:val="005D1410"/>
    <w:rsid w:val="005D1F22"/>
    <w:rsid w:val="005D3372"/>
    <w:rsid w:val="005D3E3F"/>
    <w:rsid w:val="005D4150"/>
    <w:rsid w:val="005D42AC"/>
    <w:rsid w:val="005D471C"/>
    <w:rsid w:val="005D635E"/>
    <w:rsid w:val="005D6985"/>
    <w:rsid w:val="005D70C3"/>
    <w:rsid w:val="005D75CD"/>
    <w:rsid w:val="005D7980"/>
    <w:rsid w:val="005E009B"/>
    <w:rsid w:val="005E01E3"/>
    <w:rsid w:val="005E055D"/>
    <w:rsid w:val="005E0E99"/>
    <w:rsid w:val="005E111A"/>
    <w:rsid w:val="005E13DD"/>
    <w:rsid w:val="005E1AB4"/>
    <w:rsid w:val="005E209A"/>
    <w:rsid w:val="005E37A7"/>
    <w:rsid w:val="005E3C9F"/>
    <w:rsid w:val="005E46AC"/>
    <w:rsid w:val="005E54B2"/>
    <w:rsid w:val="005E5FBA"/>
    <w:rsid w:val="005E63AA"/>
    <w:rsid w:val="005E663F"/>
    <w:rsid w:val="005F3096"/>
    <w:rsid w:val="005F391A"/>
    <w:rsid w:val="005F517C"/>
    <w:rsid w:val="005F572E"/>
    <w:rsid w:val="005F5F71"/>
    <w:rsid w:val="005F5FB2"/>
    <w:rsid w:val="005F6FCC"/>
    <w:rsid w:val="005F74AF"/>
    <w:rsid w:val="0060082B"/>
    <w:rsid w:val="00601314"/>
    <w:rsid w:val="00601E97"/>
    <w:rsid w:val="00602707"/>
    <w:rsid w:val="006047AC"/>
    <w:rsid w:val="006069C0"/>
    <w:rsid w:val="00606F2B"/>
    <w:rsid w:val="00607233"/>
    <w:rsid w:val="00607829"/>
    <w:rsid w:val="00611243"/>
    <w:rsid w:val="00611407"/>
    <w:rsid w:val="006115E3"/>
    <w:rsid w:val="00611703"/>
    <w:rsid w:val="0061294E"/>
    <w:rsid w:val="00612984"/>
    <w:rsid w:val="00612ABB"/>
    <w:rsid w:val="00614D23"/>
    <w:rsid w:val="006152A4"/>
    <w:rsid w:val="006159C6"/>
    <w:rsid w:val="006163D6"/>
    <w:rsid w:val="0061663C"/>
    <w:rsid w:val="006211AD"/>
    <w:rsid w:val="0062189A"/>
    <w:rsid w:val="006223AC"/>
    <w:rsid w:val="00622743"/>
    <w:rsid w:val="006238CA"/>
    <w:rsid w:val="006239CC"/>
    <w:rsid w:val="006239F9"/>
    <w:rsid w:val="00623D63"/>
    <w:rsid w:val="00623E62"/>
    <w:rsid w:val="00624634"/>
    <w:rsid w:val="00624A1C"/>
    <w:rsid w:val="0062573C"/>
    <w:rsid w:val="0062653B"/>
    <w:rsid w:val="00626E7B"/>
    <w:rsid w:val="006272DB"/>
    <w:rsid w:val="00630A49"/>
    <w:rsid w:val="00630A81"/>
    <w:rsid w:val="006323F3"/>
    <w:rsid w:val="0063254A"/>
    <w:rsid w:val="00632B1B"/>
    <w:rsid w:val="00632B8E"/>
    <w:rsid w:val="00632DDC"/>
    <w:rsid w:val="00633E59"/>
    <w:rsid w:val="00635D55"/>
    <w:rsid w:val="00635FB8"/>
    <w:rsid w:val="006365F5"/>
    <w:rsid w:val="00637897"/>
    <w:rsid w:val="0064006B"/>
    <w:rsid w:val="00640813"/>
    <w:rsid w:val="00640C2E"/>
    <w:rsid w:val="00641D83"/>
    <w:rsid w:val="00642143"/>
    <w:rsid w:val="00642D38"/>
    <w:rsid w:val="00642DA6"/>
    <w:rsid w:val="00643204"/>
    <w:rsid w:val="0064418F"/>
    <w:rsid w:val="00644B03"/>
    <w:rsid w:val="00644CFD"/>
    <w:rsid w:val="006451A0"/>
    <w:rsid w:val="006459B9"/>
    <w:rsid w:val="006459CC"/>
    <w:rsid w:val="00645A77"/>
    <w:rsid w:val="00646358"/>
    <w:rsid w:val="00646BC4"/>
    <w:rsid w:val="00647469"/>
    <w:rsid w:val="00647661"/>
    <w:rsid w:val="0065080C"/>
    <w:rsid w:val="006539A1"/>
    <w:rsid w:val="00653A8B"/>
    <w:rsid w:val="00653CBF"/>
    <w:rsid w:val="00653D81"/>
    <w:rsid w:val="00654C94"/>
    <w:rsid w:val="00654D69"/>
    <w:rsid w:val="00655402"/>
    <w:rsid w:val="0065552D"/>
    <w:rsid w:val="00655667"/>
    <w:rsid w:val="00656716"/>
    <w:rsid w:val="00656774"/>
    <w:rsid w:val="00657F55"/>
    <w:rsid w:val="0066018D"/>
    <w:rsid w:val="00661CA0"/>
    <w:rsid w:val="00662A2F"/>
    <w:rsid w:val="006636DA"/>
    <w:rsid w:val="00663DA8"/>
    <w:rsid w:val="00663DB0"/>
    <w:rsid w:val="0066425F"/>
    <w:rsid w:val="00664623"/>
    <w:rsid w:val="0066483F"/>
    <w:rsid w:val="00664EEB"/>
    <w:rsid w:val="006652B3"/>
    <w:rsid w:val="00665AE5"/>
    <w:rsid w:val="00665C9F"/>
    <w:rsid w:val="00667DE7"/>
    <w:rsid w:val="00670AA4"/>
    <w:rsid w:val="00671A44"/>
    <w:rsid w:val="00671BBD"/>
    <w:rsid w:val="00671CEB"/>
    <w:rsid w:val="00671DF9"/>
    <w:rsid w:val="00671F5D"/>
    <w:rsid w:val="0067261A"/>
    <w:rsid w:val="006731F0"/>
    <w:rsid w:val="00676527"/>
    <w:rsid w:val="00676EF0"/>
    <w:rsid w:val="0068162B"/>
    <w:rsid w:val="00681648"/>
    <w:rsid w:val="006827A9"/>
    <w:rsid w:val="00683313"/>
    <w:rsid w:val="0068345D"/>
    <w:rsid w:val="00684083"/>
    <w:rsid w:val="00684329"/>
    <w:rsid w:val="006845F5"/>
    <w:rsid w:val="006848C1"/>
    <w:rsid w:val="0068496E"/>
    <w:rsid w:val="006854A8"/>
    <w:rsid w:val="006858DE"/>
    <w:rsid w:val="00686079"/>
    <w:rsid w:val="00687377"/>
    <w:rsid w:val="006873BE"/>
    <w:rsid w:val="0069037E"/>
    <w:rsid w:val="00690953"/>
    <w:rsid w:val="00691521"/>
    <w:rsid w:val="00692290"/>
    <w:rsid w:val="00692557"/>
    <w:rsid w:val="006937C7"/>
    <w:rsid w:val="00693B83"/>
    <w:rsid w:val="00693CD4"/>
    <w:rsid w:val="00694B47"/>
    <w:rsid w:val="006950DE"/>
    <w:rsid w:val="00695460"/>
    <w:rsid w:val="006959FA"/>
    <w:rsid w:val="00695D98"/>
    <w:rsid w:val="00696B61"/>
    <w:rsid w:val="0069782B"/>
    <w:rsid w:val="00697C00"/>
    <w:rsid w:val="006A090A"/>
    <w:rsid w:val="006A0D22"/>
    <w:rsid w:val="006A0FAB"/>
    <w:rsid w:val="006A12BC"/>
    <w:rsid w:val="006A2607"/>
    <w:rsid w:val="006A2834"/>
    <w:rsid w:val="006A3282"/>
    <w:rsid w:val="006A3DC2"/>
    <w:rsid w:val="006A3E66"/>
    <w:rsid w:val="006A4FE4"/>
    <w:rsid w:val="006A5680"/>
    <w:rsid w:val="006A5824"/>
    <w:rsid w:val="006A6230"/>
    <w:rsid w:val="006A6AE5"/>
    <w:rsid w:val="006A7574"/>
    <w:rsid w:val="006A76EC"/>
    <w:rsid w:val="006B0391"/>
    <w:rsid w:val="006B09DC"/>
    <w:rsid w:val="006B1CF8"/>
    <w:rsid w:val="006B230B"/>
    <w:rsid w:val="006B4AB1"/>
    <w:rsid w:val="006B5528"/>
    <w:rsid w:val="006B5D72"/>
    <w:rsid w:val="006B6229"/>
    <w:rsid w:val="006B68DD"/>
    <w:rsid w:val="006B7258"/>
    <w:rsid w:val="006C0018"/>
    <w:rsid w:val="006C0D02"/>
    <w:rsid w:val="006C1036"/>
    <w:rsid w:val="006C1A3D"/>
    <w:rsid w:val="006C1A59"/>
    <w:rsid w:val="006C1E48"/>
    <w:rsid w:val="006C3A7E"/>
    <w:rsid w:val="006C45A5"/>
    <w:rsid w:val="006C47DD"/>
    <w:rsid w:val="006C48AD"/>
    <w:rsid w:val="006C57DB"/>
    <w:rsid w:val="006C6F5F"/>
    <w:rsid w:val="006D045B"/>
    <w:rsid w:val="006D0DA9"/>
    <w:rsid w:val="006D2F2E"/>
    <w:rsid w:val="006D322D"/>
    <w:rsid w:val="006D356B"/>
    <w:rsid w:val="006D361A"/>
    <w:rsid w:val="006D3788"/>
    <w:rsid w:val="006D3B69"/>
    <w:rsid w:val="006D3FE2"/>
    <w:rsid w:val="006D4A78"/>
    <w:rsid w:val="006D4B54"/>
    <w:rsid w:val="006D5C20"/>
    <w:rsid w:val="006D662B"/>
    <w:rsid w:val="006D6C9D"/>
    <w:rsid w:val="006D7F9D"/>
    <w:rsid w:val="006E037B"/>
    <w:rsid w:val="006E1EE8"/>
    <w:rsid w:val="006E22C0"/>
    <w:rsid w:val="006E2422"/>
    <w:rsid w:val="006E3102"/>
    <w:rsid w:val="006E3720"/>
    <w:rsid w:val="006E3D4E"/>
    <w:rsid w:val="006E480E"/>
    <w:rsid w:val="006E4FB8"/>
    <w:rsid w:val="006E5C68"/>
    <w:rsid w:val="006E5F7A"/>
    <w:rsid w:val="006F0448"/>
    <w:rsid w:val="006F0487"/>
    <w:rsid w:val="006F069A"/>
    <w:rsid w:val="006F09FD"/>
    <w:rsid w:val="006F0A45"/>
    <w:rsid w:val="006F0C50"/>
    <w:rsid w:val="006F331C"/>
    <w:rsid w:val="006F363F"/>
    <w:rsid w:val="006F6A0B"/>
    <w:rsid w:val="00701330"/>
    <w:rsid w:val="007017B2"/>
    <w:rsid w:val="00701A80"/>
    <w:rsid w:val="00702E9C"/>
    <w:rsid w:val="00702FDB"/>
    <w:rsid w:val="00706142"/>
    <w:rsid w:val="00706309"/>
    <w:rsid w:val="00706CBD"/>
    <w:rsid w:val="0070727F"/>
    <w:rsid w:val="007077DE"/>
    <w:rsid w:val="00707E65"/>
    <w:rsid w:val="007103B3"/>
    <w:rsid w:val="00710858"/>
    <w:rsid w:val="00711E47"/>
    <w:rsid w:val="0071314A"/>
    <w:rsid w:val="007136A7"/>
    <w:rsid w:val="00713FFE"/>
    <w:rsid w:val="0071446C"/>
    <w:rsid w:val="007154E3"/>
    <w:rsid w:val="007167C1"/>
    <w:rsid w:val="00717295"/>
    <w:rsid w:val="00717FCD"/>
    <w:rsid w:val="0072011A"/>
    <w:rsid w:val="00720593"/>
    <w:rsid w:val="0072065C"/>
    <w:rsid w:val="00721BBE"/>
    <w:rsid w:val="007221D9"/>
    <w:rsid w:val="00722D01"/>
    <w:rsid w:val="00724228"/>
    <w:rsid w:val="00724A41"/>
    <w:rsid w:val="00724BF6"/>
    <w:rsid w:val="00724CE5"/>
    <w:rsid w:val="00725470"/>
    <w:rsid w:val="00725FF8"/>
    <w:rsid w:val="007270EC"/>
    <w:rsid w:val="00727646"/>
    <w:rsid w:val="00730036"/>
    <w:rsid w:val="007301C2"/>
    <w:rsid w:val="00730C9C"/>
    <w:rsid w:val="00730D89"/>
    <w:rsid w:val="00730FF2"/>
    <w:rsid w:val="00731670"/>
    <w:rsid w:val="00731BA1"/>
    <w:rsid w:val="00731D79"/>
    <w:rsid w:val="007327FF"/>
    <w:rsid w:val="00732E56"/>
    <w:rsid w:val="00732E8C"/>
    <w:rsid w:val="00732EE2"/>
    <w:rsid w:val="00733476"/>
    <w:rsid w:val="007335E1"/>
    <w:rsid w:val="00733C2C"/>
    <w:rsid w:val="00735A07"/>
    <w:rsid w:val="00737168"/>
    <w:rsid w:val="00737E1F"/>
    <w:rsid w:val="00740460"/>
    <w:rsid w:val="0074062C"/>
    <w:rsid w:val="00740854"/>
    <w:rsid w:val="00742999"/>
    <w:rsid w:val="00742B39"/>
    <w:rsid w:val="00743774"/>
    <w:rsid w:val="007437EA"/>
    <w:rsid w:val="00744077"/>
    <w:rsid w:val="007451D1"/>
    <w:rsid w:val="00745F06"/>
    <w:rsid w:val="007465D2"/>
    <w:rsid w:val="00746699"/>
    <w:rsid w:val="0074685C"/>
    <w:rsid w:val="00747061"/>
    <w:rsid w:val="007470C3"/>
    <w:rsid w:val="007474AD"/>
    <w:rsid w:val="007474FE"/>
    <w:rsid w:val="0075078B"/>
    <w:rsid w:val="00751929"/>
    <w:rsid w:val="007521EA"/>
    <w:rsid w:val="007568A5"/>
    <w:rsid w:val="00757680"/>
    <w:rsid w:val="007603D5"/>
    <w:rsid w:val="0076040A"/>
    <w:rsid w:val="007607C7"/>
    <w:rsid w:val="00760A36"/>
    <w:rsid w:val="007611EF"/>
    <w:rsid w:val="007619D0"/>
    <w:rsid w:val="00762304"/>
    <w:rsid w:val="0076301D"/>
    <w:rsid w:val="007635E3"/>
    <w:rsid w:val="0076376F"/>
    <w:rsid w:val="00765266"/>
    <w:rsid w:val="00765F8D"/>
    <w:rsid w:val="00766984"/>
    <w:rsid w:val="00766A90"/>
    <w:rsid w:val="007672A4"/>
    <w:rsid w:val="00767483"/>
    <w:rsid w:val="00767491"/>
    <w:rsid w:val="00767598"/>
    <w:rsid w:val="00773406"/>
    <w:rsid w:val="00773C84"/>
    <w:rsid w:val="007744FC"/>
    <w:rsid w:val="00774B4C"/>
    <w:rsid w:val="00774F69"/>
    <w:rsid w:val="00775205"/>
    <w:rsid w:val="00775A65"/>
    <w:rsid w:val="00775DB0"/>
    <w:rsid w:val="00776442"/>
    <w:rsid w:val="00776AA7"/>
    <w:rsid w:val="00776E13"/>
    <w:rsid w:val="00777619"/>
    <w:rsid w:val="00781081"/>
    <w:rsid w:val="00783759"/>
    <w:rsid w:val="00783F09"/>
    <w:rsid w:val="0078423E"/>
    <w:rsid w:val="00784307"/>
    <w:rsid w:val="00784D33"/>
    <w:rsid w:val="0078544E"/>
    <w:rsid w:val="00785BB0"/>
    <w:rsid w:val="00785ED4"/>
    <w:rsid w:val="00786E90"/>
    <w:rsid w:val="0078739F"/>
    <w:rsid w:val="007873F7"/>
    <w:rsid w:val="007911BC"/>
    <w:rsid w:val="007912B6"/>
    <w:rsid w:val="00791B25"/>
    <w:rsid w:val="00791D58"/>
    <w:rsid w:val="00792B45"/>
    <w:rsid w:val="00792EA4"/>
    <w:rsid w:val="00792F54"/>
    <w:rsid w:val="00793EB9"/>
    <w:rsid w:val="00795258"/>
    <w:rsid w:val="00795506"/>
    <w:rsid w:val="00796588"/>
    <w:rsid w:val="007A0432"/>
    <w:rsid w:val="007A04B3"/>
    <w:rsid w:val="007A09DE"/>
    <w:rsid w:val="007A1C93"/>
    <w:rsid w:val="007A273A"/>
    <w:rsid w:val="007A2CD8"/>
    <w:rsid w:val="007A323B"/>
    <w:rsid w:val="007A379E"/>
    <w:rsid w:val="007A3B29"/>
    <w:rsid w:val="007A3DAD"/>
    <w:rsid w:val="007A3DE8"/>
    <w:rsid w:val="007A46F8"/>
    <w:rsid w:val="007A4CE6"/>
    <w:rsid w:val="007A4CEB"/>
    <w:rsid w:val="007A529E"/>
    <w:rsid w:val="007A5583"/>
    <w:rsid w:val="007A583B"/>
    <w:rsid w:val="007A5B91"/>
    <w:rsid w:val="007A62CE"/>
    <w:rsid w:val="007A6302"/>
    <w:rsid w:val="007A67B0"/>
    <w:rsid w:val="007A68D3"/>
    <w:rsid w:val="007A6FFE"/>
    <w:rsid w:val="007A737C"/>
    <w:rsid w:val="007A77AC"/>
    <w:rsid w:val="007A7960"/>
    <w:rsid w:val="007B1BB4"/>
    <w:rsid w:val="007B258C"/>
    <w:rsid w:val="007B4E4F"/>
    <w:rsid w:val="007B54B7"/>
    <w:rsid w:val="007B5F3B"/>
    <w:rsid w:val="007B6265"/>
    <w:rsid w:val="007B65C0"/>
    <w:rsid w:val="007B6E26"/>
    <w:rsid w:val="007B6EAB"/>
    <w:rsid w:val="007B7D06"/>
    <w:rsid w:val="007C066B"/>
    <w:rsid w:val="007C1DF7"/>
    <w:rsid w:val="007C3499"/>
    <w:rsid w:val="007C4CCA"/>
    <w:rsid w:val="007C518C"/>
    <w:rsid w:val="007C5B63"/>
    <w:rsid w:val="007C73FF"/>
    <w:rsid w:val="007D0989"/>
    <w:rsid w:val="007D155C"/>
    <w:rsid w:val="007D2189"/>
    <w:rsid w:val="007D2BE3"/>
    <w:rsid w:val="007D2CAE"/>
    <w:rsid w:val="007D3E9D"/>
    <w:rsid w:val="007D4AE5"/>
    <w:rsid w:val="007D4CA5"/>
    <w:rsid w:val="007D5EE6"/>
    <w:rsid w:val="007D6891"/>
    <w:rsid w:val="007D6C1B"/>
    <w:rsid w:val="007D6E53"/>
    <w:rsid w:val="007D6F8E"/>
    <w:rsid w:val="007D7182"/>
    <w:rsid w:val="007D723C"/>
    <w:rsid w:val="007D7F91"/>
    <w:rsid w:val="007E0255"/>
    <w:rsid w:val="007E0A53"/>
    <w:rsid w:val="007E131A"/>
    <w:rsid w:val="007E1689"/>
    <w:rsid w:val="007E1AAF"/>
    <w:rsid w:val="007E1ACF"/>
    <w:rsid w:val="007E34FF"/>
    <w:rsid w:val="007E35A5"/>
    <w:rsid w:val="007E384A"/>
    <w:rsid w:val="007E42E9"/>
    <w:rsid w:val="007E433D"/>
    <w:rsid w:val="007E5189"/>
    <w:rsid w:val="007E6465"/>
    <w:rsid w:val="007E66F5"/>
    <w:rsid w:val="007E6A5F"/>
    <w:rsid w:val="007E6EA3"/>
    <w:rsid w:val="007E701F"/>
    <w:rsid w:val="007E753D"/>
    <w:rsid w:val="007E770D"/>
    <w:rsid w:val="007F031C"/>
    <w:rsid w:val="007F0C01"/>
    <w:rsid w:val="007F1E4F"/>
    <w:rsid w:val="007F240C"/>
    <w:rsid w:val="007F2AE5"/>
    <w:rsid w:val="007F6DAC"/>
    <w:rsid w:val="007F785E"/>
    <w:rsid w:val="007F7B66"/>
    <w:rsid w:val="008003FB"/>
    <w:rsid w:val="00801026"/>
    <w:rsid w:val="0080149B"/>
    <w:rsid w:val="008023DB"/>
    <w:rsid w:val="0080289C"/>
    <w:rsid w:val="00802C14"/>
    <w:rsid w:val="008041DE"/>
    <w:rsid w:val="00804269"/>
    <w:rsid w:val="00805949"/>
    <w:rsid w:val="0080628E"/>
    <w:rsid w:val="008066BE"/>
    <w:rsid w:val="008069CF"/>
    <w:rsid w:val="00807B2F"/>
    <w:rsid w:val="00807FC3"/>
    <w:rsid w:val="008110F6"/>
    <w:rsid w:val="00811807"/>
    <w:rsid w:val="00812637"/>
    <w:rsid w:val="00812BAA"/>
    <w:rsid w:val="00812EE2"/>
    <w:rsid w:val="00813312"/>
    <w:rsid w:val="008133E9"/>
    <w:rsid w:val="008139CB"/>
    <w:rsid w:val="00813A2C"/>
    <w:rsid w:val="00814A69"/>
    <w:rsid w:val="00815831"/>
    <w:rsid w:val="00815C8F"/>
    <w:rsid w:val="00815CC2"/>
    <w:rsid w:val="00821663"/>
    <w:rsid w:val="008217BC"/>
    <w:rsid w:val="008218E5"/>
    <w:rsid w:val="008221D2"/>
    <w:rsid w:val="00822BB3"/>
    <w:rsid w:val="00822D57"/>
    <w:rsid w:val="00822F4C"/>
    <w:rsid w:val="008237F3"/>
    <w:rsid w:val="0082585E"/>
    <w:rsid w:val="008260FE"/>
    <w:rsid w:val="00826638"/>
    <w:rsid w:val="00826B52"/>
    <w:rsid w:val="00827961"/>
    <w:rsid w:val="0083046B"/>
    <w:rsid w:val="00830EFF"/>
    <w:rsid w:val="00831927"/>
    <w:rsid w:val="00832A91"/>
    <w:rsid w:val="008333A1"/>
    <w:rsid w:val="00833E90"/>
    <w:rsid w:val="008347B0"/>
    <w:rsid w:val="008351E2"/>
    <w:rsid w:val="008354FF"/>
    <w:rsid w:val="00835C79"/>
    <w:rsid w:val="00836657"/>
    <w:rsid w:val="008366FA"/>
    <w:rsid w:val="00836DC9"/>
    <w:rsid w:val="00837020"/>
    <w:rsid w:val="008370F9"/>
    <w:rsid w:val="00837B5C"/>
    <w:rsid w:val="00837C44"/>
    <w:rsid w:val="0084022E"/>
    <w:rsid w:val="00840C86"/>
    <w:rsid w:val="00840D0E"/>
    <w:rsid w:val="00840D9B"/>
    <w:rsid w:val="0084203C"/>
    <w:rsid w:val="008420D4"/>
    <w:rsid w:val="00842EE5"/>
    <w:rsid w:val="00842F07"/>
    <w:rsid w:val="0084419F"/>
    <w:rsid w:val="008443FC"/>
    <w:rsid w:val="00844DC9"/>
    <w:rsid w:val="00845EE2"/>
    <w:rsid w:val="0084671D"/>
    <w:rsid w:val="00846923"/>
    <w:rsid w:val="0084792D"/>
    <w:rsid w:val="00847F35"/>
    <w:rsid w:val="008519F8"/>
    <w:rsid w:val="00852421"/>
    <w:rsid w:val="00852767"/>
    <w:rsid w:val="008527D6"/>
    <w:rsid w:val="00852B88"/>
    <w:rsid w:val="00852FA3"/>
    <w:rsid w:val="00853EDC"/>
    <w:rsid w:val="008542E1"/>
    <w:rsid w:val="0085433B"/>
    <w:rsid w:val="00854A37"/>
    <w:rsid w:val="00854F1F"/>
    <w:rsid w:val="008558CE"/>
    <w:rsid w:val="00855D6C"/>
    <w:rsid w:val="00855EC9"/>
    <w:rsid w:val="0085631E"/>
    <w:rsid w:val="00856998"/>
    <w:rsid w:val="00856EF6"/>
    <w:rsid w:val="00860124"/>
    <w:rsid w:val="00860144"/>
    <w:rsid w:val="00860FBE"/>
    <w:rsid w:val="00862B04"/>
    <w:rsid w:val="00863E55"/>
    <w:rsid w:val="00864144"/>
    <w:rsid w:val="008641F6"/>
    <w:rsid w:val="00867B49"/>
    <w:rsid w:val="00867C77"/>
    <w:rsid w:val="00871445"/>
    <w:rsid w:val="00871703"/>
    <w:rsid w:val="00872EFD"/>
    <w:rsid w:val="00872FF0"/>
    <w:rsid w:val="00873228"/>
    <w:rsid w:val="00874A3E"/>
    <w:rsid w:val="00875889"/>
    <w:rsid w:val="00875AD1"/>
    <w:rsid w:val="008763ED"/>
    <w:rsid w:val="00876A03"/>
    <w:rsid w:val="00876CF0"/>
    <w:rsid w:val="00876CFE"/>
    <w:rsid w:val="00876E75"/>
    <w:rsid w:val="0087767C"/>
    <w:rsid w:val="008816A0"/>
    <w:rsid w:val="008819B4"/>
    <w:rsid w:val="00882040"/>
    <w:rsid w:val="00883086"/>
    <w:rsid w:val="0088396E"/>
    <w:rsid w:val="0088477E"/>
    <w:rsid w:val="008848FE"/>
    <w:rsid w:val="00884956"/>
    <w:rsid w:val="00886C5E"/>
    <w:rsid w:val="0088756B"/>
    <w:rsid w:val="00887C06"/>
    <w:rsid w:val="00887F8A"/>
    <w:rsid w:val="00891280"/>
    <w:rsid w:val="008914B1"/>
    <w:rsid w:val="00891B6C"/>
    <w:rsid w:val="00893E8A"/>
    <w:rsid w:val="008946CE"/>
    <w:rsid w:val="008947B2"/>
    <w:rsid w:val="00895137"/>
    <w:rsid w:val="00895531"/>
    <w:rsid w:val="00895C1B"/>
    <w:rsid w:val="00895CD6"/>
    <w:rsid w:val="00895F64"/>
    <w:rsid w:val="008966FE"/>
    <w:rsid w:val="00896B97"/>
    <w:rsid w:val="008979D4"/>
    <w:rsid w:val="008A1568"/>
    <w:rsid w:val="008A20AD"/>
    <w:rsid w:val="008A2849"/>
    <w:rsid w:val="008A48AA"/>
    <w:rsid w:val="008A58C5"/>
    <w:rsid w:val="008A59AE"/>
    <w:rsid w:val="008A5B9A"/>
    <w:rsid w:val="008A6F70"/>
    <w:rsid w:val="008B0271"/>
    <w:rsid w:val="008B113D"/>
    <w:rsid w:val="008B11C1"/>
    <w:rsid w:val="008B1221"/>
    <w:rsid w:val="008B1F84"/>
    <w:rsid w:val="008B2E6D"/>
    <w:rsid w:val="008B3904"/>
    <w:rsid w:val="008B3B5E"/>
    <w:rsid w:val="008B4CB5"/>
    <w:rsid w:val="008B605A"/>
    <w:rsid w:val="008B6487"/>
    <w:rsid w:val="008B7387"/>
    <w:rsid w:val="008B7BCC"/>
    <w:rsid w:val="008B7C88"/>
    <w:rsid w:val="008C1951"/>
    <w:rsid w:val="008C2B7F"/>
    <w:rsid w:val="008C2C80"/>
    <w:rsid w:val="008C323E"/>
    <w:rsid w:val="008C36EA"/>
    <w:rsid w:val="008C5626"/>
    <w:rsid w:val="008C57F6"/>
    <w:rsid w:val="008C5CF2"/>
    <w:rsid w:val="008C6D92"/>
    <w:rsid w:val="008C74AD"/>
    <w:rsid w:val="008C7A01"/>
    <w:rsid w:val="008C7C0C"/>
    <w:rsid w:val="008D0230"/>
    <w:rsid w:val="008D05F1"/>
    <w:rsid w:val="008D1425"/>
    <w:rsid w:val="008D1D33"/>
    <w:rsid w:val="008D2DC7"/>
    <w:rsid w:val="008D30DA"/>
    <w:rsid w:val="008D3291"/>
    <w:rsid w:val="008D38D5"/>
    <w:rsid w:val="008D3DBC"/>
    <w:rsid w:val="008D436F"/>
    <w:rsid w:val="008D55A9"/>
    <w:rsid w:val="008D6ABE"/>
    <w:rsid w:val="008D6C4D"/>
    <w:rsid w:val="008D7495"/>
    <w:rsid w:val="008D7A2E"/>
    <w:rsid w:val="008E0382"/>
    <w:rsid w:val="008E0A5F"/>
    <w:rsid w:val="008E0CD7"/>
    <w:rsid w:val="008E1883"/>
    <w:rsid w:val="008E2003"/>
    <w:rsid w:val="008E219D"/>
    <w:rsid w:val="008E22B5"/>
    <w:rsid w:val="008E2FD8"/>
    <w:rsid w:val="008E368C"/>
    <w:rsid w:val="008E4992"/>
    <w:rsid w:val="008E563E"/>
    <w:rsid w:val="008E6192"/>
    <w:rsid w:val="008E61D1"/>
    <w:rsid w:val="008E65D2"/>
    <w:rsid w:val="008E6687"/>
    <w:rsid w:val="008E6892"/>
    <w:rsid w:val="008E7638"/>
    <w:rsid w:val="008E79FE"/>
    <w:rsid w:val="008E7C20"/>
    <w:rsid w:val="008F0290"/>
    <w:rsid w:val="008F072D"/>
    <w:rsid w:val="008F1546"/>
    <w:rsid w:val="008F16B8"/>
    <w:rsid w:val="008F2CC7"/>
    <w:rsid w:val="008F3399"/>
    <w:rsid w:val="008F33BB"/>
    <w:rsid w:val="008F34BD"/>
    <w:rsid w:val="008F3628"/>
    <w:rsid w:val="008F3DD7"/>
    <w:rsid w:val="008F53F3"/>
    <w:rsid w:val="008F57E9"/>
    <w:rsid w:val="008F713F"/>
    <w:rsid w:val="008F72D8"/>
    <w:rsid w:val="008F73A2"/>
    <w:rsid w:val="008F78CD"/>
    <w:rsid w:val="008F7E2A"/>
    <w:rsid w:val="009001BF"/>
    <w:rsid w:val="00900799"/>
    <w:rsid w:val="00900D05"/>
    <w:rsid w:val="00902091"/>
    <w:rsid w:val="00904AAE"/>
    <w:rsid w:val="00904B17"/>
    <w:rsid w:val="009054D5"/>
    <w:rsid w:val="0090595D"/>
    <w:rsid w:val="00906895"/>
    <w:rsid w:val="00907B95"/>
    <w:rsid w:val="00907D91"/>
    <w:rsid w:val="00907E3F"/>
    <w:rsid w:val="00910058"/>
    <w:rsid w:val="00910429"/>
    <w:rsid w:val="00910525"/>
    <w:rsid w:val="009114FB"/>
    <w:rsid w:val="0091179A"/>
    <w:rsid w:val="00912C72"/>
    <w:rsid w:val="00912D11"/>
    <w:rsid w:val="009131FD"/>
    <w:rsid w:val="009132AA"/>
    <w:rsid w:val="00913AAF"/>
    <w:rsid w:val="00913D4E"/>
    <w:rsid w:val="0091487A"/>
    <w:rsid w:val="009162BC"/>
    <w:rsid w:val="009162E2"/>
    <w:rsid w:val="00916A0F"/>
    <w:rsid w:val="009201A2"/>
    <w:rsid w:val="00920496"/>
    <w:rsid w:val="00920524"/>
    <w:rsid w:val="00920720"/>
    <w:rsid w:val="00921E8D"/>
    <w:rsid w:val="00922B97"/>
    <w:rsid w:val="00923503"/>
    <w:rsid w:val="0092374B"/>
    <w:rsid w:val="00923BB8"/>
    <w:rsid w:val="009241A2"/>
    <w:rsid w:val="00924878"/>
    <w:rsid w:val="00925821"/>
    <w:rsid w:val="00926217"/>
    <w:rsid w:val="0092764D"/>
    <w:rsid w:val="00927CB1"/>
    <w:rsid w:val="00927D23"/>
    <w:rsid w:val="0093003A"/>
    <w:rsid w:val="0093197D"/>
    <w:rsid w:val="00931E50"/>
    <w:rsid w:val="00932185"/>
    <w:rsid w:val="00932E21"/>
    <w:rsid w:val="00933B8E"/>
    <w:rsid w:val="00934A7D"/>
    <w:rsid w:val="00935AF1"/>
    <w:rsid w:val="009360D0"/>
    <w:rsid w:val="00936480"/>
    <w:rsid w:val="009365E3"/>
    <w:rsid w:val="009377F8"/>
    <w:rsid w:val="00940807"/>
    <w:rsid w:val="0094136A"/>
    <w:rsid w:val="00943C8F"/>
    <w:rsid w:val="00944DC6"/>
    <w:rsid w:val="009453BD"/>
    <w:rsid w:val="00945653"/>
    <w:rsid w:val="00945CF8"/>
    <w:rsid w:val="009469E5"/>
    <w:rsid w:val="0094755B"/>
    <w:rsid w:val="00947AD8"/>
    <w:rsid w:val="00947D88"/>
    <w:rsid w:val="009504B3"/>
    <w:rsid w:val="009505B3"/>
    <w:rsid w:val="00952128"/>
    <w:rsid w:val="00952160"/>
    <w:rsid w:val="00952193"/>
    <w:rsid w:val="00952A15"/>
    <w:rsid w:val="00952B58"/>
    <w:rsid w:val="0095323F"/>
    <w:rsid w:val="00953528"/>
    <w:rsid w:val="009540E2"/>
    <w:rsid w:val="00954105"/>
    <w:rsid w:val="00954D55"/>
    <w:rsid w:val="0095673A"/>
    <w:rsid w:val="00956BB3"/>
    <w:rsid w:val="00956C60"/>
    <w:rsid w:val="00956D43"/>
    <w:rsid w:val="00956E09"/>
    <w:rsid w:val="009602A3"/>
    <w:rsid w:val="00960ADC"/>
    <w:rsid w:val="009617DC"/>
    <w:rsid w:val="00963021"/>
    <w:rsid w:val="0096352B"/>
    <w:rsid w:val="00964F8A"/>
    <w:rsid w:val="00966211"/>
    <w:rsid w:val="00967BDF"/>
    <w:rsid w:val="009706A1"/>
    <w:rsid w:val="00970CA4"/>
    <w:rsid w:val="00970CE7"/>
    <w:rsid w:val="00971F57"/>
    <w:rsid w:val="0097203A"/>
    <w:rsid w:val="00972218"/>
    <w:rsid w:val="00972B18"/>
    <w:rsid w:val="00972D75"/>
    <w:rsid w:val="00972DF4"/>
    <w:rsid w:val="00973929"/>
    <w:rsid w:val="00973CA1"/>
    <w:rsid w:val="00973E12"/>
    <w:rsid w:val="00976057"/>
    <w:rsid w:val="00976097"/>
    <w:rsid w:val="009803F8"/>
    <w:rsid w:val="00981195"/>
    <w:rsid w:val="009812BD"/>
    <w:rsid w:val="00981E8E"/>
    <w:rsid w:val="00982156"/>
    <w:rsid w:val="0098403A"/>
    <w:rsid w:val="0098426E"/>
    <w:rsid w:val="00984686"/>
    <w:rsid w:val="00984DBE"/>
    <w:rsid w:val="00985E62"/>
    <w:rsid w:val="00986E5E"/>
    <w:rsid w:val="009877EB"/>
    <w:rsid w:val="00987AEE"/>
    <w:rsid w:val="00987DE9"/>
    <w:rsid w:val="00990EF6"/>
    <w:rsid w:val="009910DA"/>
    <w:rsid w:val="00992B5F"/>
    <w:rsid w:val="0099348C"/>
    <w:rsid w:val="00993B30"/>
    <w:rsid w:val="009946BC"/>
    <w:rsid w:val="00994909"/>
    <w:rsid w:val="00994ADD"/>
    <w:rsid w:val="00995B7D"/>
    <w:rsid w:val="009962BC"/>
    <w:rsid w:val="00996939"/>
    <w:rsid w:val="00997720"/>
    <w:rsid w:val="00997D8D"/>
    <w:rsid w:val="009A0267"/>
    <w:rsid w:val="009A090E"/>
    <w:rsid w:val="009A0A99"/>
    <w:rsid w:val="009A192D"/>
    <w:rsid w:val="009A1B2D"/>
    <w:rsid w:val="009A1FF2"/>
    <w:rsid w:val="009A206D"/>
    <w:rsid w:val="009A23CE"/>
    <w:rsid w:val="009A2C4D"/>
    <w:rsid w:val="009A3B60"/>
    <w:rsid w:val="009A3F7A"/>
    <w:rsid w:val="009A40C3"/>
    <w:rsid w:val="009A471F"/>
    <w:rsid w:val="009A4AA4"/>
    <w:rsid w:val="009A65C8"/>
    <w:rsid w:val="009A6C9A"/>
    <w:rsid w:val="009A6F5E"/>
    <w:rsid w:val="009A7ADC"/>
    <w:rsid w:val="009B051B"/>
    <w:rsid w:val="009B1086"/>
    <w:rsid w:val="009B1BE0"/>
    <w:rsid w:val="009B1EA0"/>
    <w:rsid w:val="009B204E"/>
    <w:rsid w:val="009B22D2"/>
    <w:rsid w:val="009B360E"/>
    <w:rsid w:val="009B39AA"/>
    <w:rsid w:val="009B45EF"/>
    <w:rsid w:val="009B483C"/>
    <w:rsid w:val="009B49C0"/>
    <w:rsid w:val="009B647D"/>
    <w:rsid w:val="009C1683"/>
    <w:rsid w:val="009C1F5E"/>
    <w:rsid w:val="009C2085"/>
    <w:rsid w:val="009C2D22"/>
    <w:rsid w:val="009C40DA"/>
    <w:rsid w:val="009C486B"/>
    <w:rsid w:val="009C670A"/>
    <w:rsid w:val="009C77E9"/>
    <w:rsid w:val="009C7C9B"/>
    <w:rsid w:val="009D1460"/>
    <w:rsid w:val="009D147F"/>
    <w:rsid w:val="009D3478"/>
    <w:rsid w:val="009D3A37"/>
    <w:rsid w:val="009D3C98"/>
    <w:rsid w:val="009D3F76"/>
    <w:rsid w:val="009D41B7"/>
    <w:rsid w:val="009D465B"/>
    <w:rsid w:val="009D4D6D"/>
    <w:rsid w:val="009D52B2"/>
    <w:rsid w:val="009D547D"/>
    <w:rsid w:val="009D5693"/>
    <w:rsid w:val="009D5857"/>
    <w:rsid w:val="009D593B"/>
    <w:rsid w:val="009E22A8"/>
    <w:rsid w:val="009E35F4"/>
    <w:rsid w:val="009E3D35"/>
    <w:rsid w:val="009E44FD"/>
    <w:rsid w:val="009E4B86"/>
    <w:rsid w:val="009E51A6"/>
    <w:rsid w:val="009E5850"/>
    <w:rsid w:val="009E600C"/>
    <w:rsid w:val="009E7041"/>
    <w:rsid w:val="009E7246"/>
    <w:rsid w:val="009E7254"/>
    <w:rsid w:val="009E765D"/>
    <w:rsid w:val="009E7D75"/>
    <w:rsid w:val="009E7F1D"/>
    <w:rsid w:val="009E7F52"/>
    <w:rsid w:val="009F13C7"/>
    <w:rsid w:val="009F1610"/>
    <w:rsid w:val="009F1BA1"/>
    <w:rsid w:val="009F206A"/>
    <w:rsid w:val="009F3697"/>
    <w:rsid w:val="009F3B0F"/>
    <w:rsid w:val="009F4652"/>
    <w:rsid w:val="009F4789"/>
    <w:rsid w:val="009F48B0"/>
    <w:rsid w:val="009F4E44"/>
    <w:rsid w:val="009F5EDD"/>
    <w:rsid w:val="009F6514"/>
    <w:rsid w:val="00A008E1"/>
    <w:rsid w:val="00A015AB"/>
    <w:rsid w:val="00A01BD8"/>
    <w:rsid w:val="00A02687"/>
    <w:rsid w:val="00A02EFC"/>
    <w:rsid w:val="00A03BD3"/>
    <w:rsid w:val="00A050D4"/>
    <w:rsid w:val="00A05517"/>
    <w:rsid w:val="00A05730"/>
    <w:rsid w:val="00A064C8"/>
    <w:rsid w:val="00A06FA2"/>
    <w:rsid w:val="00A07B49"/>
    <w:rsid w:val="00A12984"/>
    <w:rsid w:val="00A13517"/>
    <w:rsid w:val="00A14E12"/>
    <w:rsid w:val="00A153B6"/>
    <w:rsid w:val="00A1564C"/>
    <w:rsid w:val="00A15D80"/>
    <w:rsid w:val="00A16649"/>
    <w:rsid w:val="00A17140"/>
    <w:rsid w:val="00A17907"/>
    <w:rsid w:val="00A20456"/>
    <w:rsid w:val="00A21E4E"/>
    <w:rsid w:val="00A224F8"/>
    <w:rsid w:val="00A22B97"/>
    <w:rsid w:val="00A236FE"/>
    <w:rsid w:val="00A241C0"/>
    <w:rsid w:val="00A24DCE"/>
    <w:rsid w:val="00A251B9"/>
    <w:rsid w:val="00A254DD"/>
    <w:rsid w:val="00A25F3C"/>
    <w:rsid w:val="00A263AF"/>
    <w:rsid w:val="00A26403"/>
    <w:rsid w:val="00A26E4D"/>
    <w:rsid w:val="00A270A5"/>
    <w:rsid w:val="00A2781D"/>
    <w:rsid w:val="00A30822"/>
    <w:rsid w:val="00A31540"/>
    <w:rsid w:val="00A320E3"/>
    <w:rsid w:val="00A33525"/>
    <w:rsid w:val="00A33573"/>
    <w:rsid w:val="00A33807"/>
    <w:rsid w:val="00A33AAE"/>
    <w:rsid w:val="00A34710"/>
    <w:rsid w:val="00A34AB0"/>
    <w:rsid w:val="00A34D23"/>
    <w:rsid w:val="00A3611E"/>
    <w:rsid w:val="00A378A8"/>
    <w:rsid w:val="00A37BCE"/>
    <w:rsid w:val="00A37C16"/>
    <w:rsid w:val="00A401B9"/>
    <w:rsid w:val="00A40733"/>
    <w:rsid w:val="00A40744"/>
    <w:rsid w:val="00A40811"/>
    <w:rsid w:val="00A42249"/>
    <w:rsid w:val="00A42944"/>
    <w:rsid w:val="00A4318F"/>
    <w:rsid w:val="00A45365"/>
    <w:rsid w:val="00A473B0"/>
    <w:rsid w:val="00A50A5E"/>
    <w:rsid w:val="00A51122"/>
    <w:rsid w:val="00A5233F"/>
    <w:rsid w:val="00A52661"/>
    <w:rsid w:val="00A526EE"/>
    <w:rsid w:val="00A52BF9"/>
    <w:rsid w:val="00A52C17"/>
    <w:rsid w:val="00A53E5E"/>
    <w:rsid w:val="00A54D63"/>
    <w:rsid w:val="00A54D8F"/>
    <w:rsid w:val="00A556AA"/>
    <w:rsid w:val="00A5591C"/>
    <w:rsid w:val="00A57372"/>
    <w:rsid w:val="00A60628"/>
    <w:rsid w:val="00A60DEC"/>
    <w:rsid w:val="00A61232"/>
    <w:rsid w:val="00A619D1"/>
    <w:rsid w:val="00A635CC"/>
    <w:rsid w:val="00A63FD1"/>
    <w:rsid w:val="00A6479F"/>
    <w:rsid w:val="00A64819"/>
    <w:rsid w:val="00A64BCA"/>
    <w:rsid w:val="00A64EDF"/>
    <w:rsid w:val="00A65D7B"/>
    <w:rsid w:val="00A65E79"/>
    <w:rsid w:val="00A66FEC"/>
    <w:rsid w:val="00A676A2"/>
    <w:rsid w:val="00A67892"/>
    <w:rsid w:val="00A67938"/>
    <w:rsid w:val="00A67B04"/>
    <w:rsid w:val="00A67C17"/>
    <w:rsid w:val="00A70B02"/>
    <w:rsid w:val="00A70B7A"/>
    <w:rsid w:val="00A70E96"/>
    <w:rsid w:val="00A70EA3"/>
    <w:rsid w:val="00A70F3C"/>
    <w:rsid w:val="00A72FBB"/>
    <w:rsid w:val="00A74C07"/>
    <w:rsid w:val="00A77B61"/>
    <w:rsid w:val="00A81BE5"/>
    <w:rsid w:val="00A8223D"/>
    <w:rsid w:val="00A84B71"/>
    <w:rsid w:val="00A85589"/>
    <w:rsid w:val="00A8574E"/>
    <w:rsid w:val="00A86002"/>
    <w:rsid w:val="00A87248"/>
    <w:rsid w:val="00A87A10"/>
    <w:rsid w:val="00A87F2C"/>
    <w:rsid w:val="00A87FC1"/>
    <w:rsid w:val="00A91FED"/>
    <w:rsid w:val="00A928E6"/>
    <w:rsid w:val="00A930E5"/>
    <w:rsid w:val="00A940CE"/>
    <w:rsid w:val="00A963A9"/>
    <w:rsid w:val="00A96B13"/>
    <w:rsid w:val="00A9779E"/>
    <w:rsid w:val="00AA01E6"/>
    <w:rsid w:val="00AA09DD"/>
    <w:rsid w:val="00AA0D20"/>
    <w:rsid w:val="00AA1305"/>
    <w:rsid w:val="00AA16B3"/>
    <w:rsid w:val="00AA1AAC"/>
    <w:rsid w:val="00AA20D5"/>
    <w:rsid w:val="00AA2483"/>
    <w:rsid w:val="00AA2A85"/>
    <w:rsid w:val="00AA31B1"/>
    <w:rsid w:val="00AA41EA"/>
    <w:rsid w:val="00AA497B"/>
    <w:rsid w:val="00AA49D0"/>
    <w:rsid w:val="00AA4A6E"/>
    <w:rsid w:val="00AA6AA2"/>
    <w:rsid w:val="00AA6CD0"/>
    <w:rsid w:val="00AA78BD"/>
    <w:rsid w:val="00AB0E2B"/>
    <w:rsid w:val="00AB121A"/>
    <w:rsid w:val="00AB1EFC"/>
    <w:rsid w:val="00AB22E0"/>
    <w:rsid w:val="00AB398B"/>
    <w:rsid w:val="00AB40B6"/>
    <w:rsid w:val="00AB437C"/>
    <w:rsid w:val="00AB56C1"/>
    <w:rsid w:val="00AB5B72"/>
    <w:rsid w:val="00AB5D49"/>
    <w:rsid w:val="00AB67D0"/>
    <w:rsid w:val="00AB6DB4"/>
    <w:rsid w:val="00AC00F3"/>
    <w:rsid w:val="00AC0C40"/>
    <w:rsid w:val="00AC0C4C"/>
    <w:rsid w:val="00AC0CDE"/>
    <w:rsid w:val="00AC0D52"/>
    <w:rsid w:val="00AC132D"/>
    <w:rsid w:val="00AC146A"/>
    <w:rsid w:val="00AC1733"/>
    <w:rsid w:val="00AC2E73"/>
    <w:rsid w:val="00AC368C"/>
    <w:rsid w:val="00AC55D2"/>
    <w:rsid w:val="00AC64E3"/>
    <w:rsid w:val="00AC7510"/>
    <w:rsid w:val="00AC7BB7"/>
    <w:rsid w:val="00AD039C"/>
    <w:rsid w:val="00AD1F20"/>
    <w:rsid w:val="00AD3773"/>
    <w:rsid w:val="00AD3F52"/>
    <w:rsid w:val="00AD43E1"/>
    <w:rsid w:val="00AD4C8C"/>
    <w:rsid w:val="00AD4CDC"/>
    <w:rsid w:val="00AD61FD"/>
    <w:rsid w:val="00AD63EE"/>
    <w:rsid w:val="00AD66EF"/>
    <w:rsid w:val="00AD67C7"/>
    <w:rsid w:val="00AD6DF6"/>
    <w:rsid w:val="00AD7E5B"/>
    <w:rsid w:val="00AD7FBD"/>
    <w:rsid w:val="00AE096F"/>
    <w:rsid w:val="00AE1420"/>
    <w:rsid w:val="00AE15F8"/>
    <w:rsid w:val="00AE21CB"/>
    <w:rsid w:val="00AE36BD"/>
    <w:rsid w:val="00AE40EB"/>
    <w:rsid w:val="00AE54A9"/>
    <w:rsid w:val="00AE598F"/>
    <w:rsid w:val="00AE606D"/>
    <w:rsid w:val="00AE7163"/>
    <w:rsid w:val="00AE73D8"/>
    <w:rsid w:val="00AE74B3"/>
    <w:rsid w:val="00AE7A6B"/>
    <w:rsid w:val="00AE7CB3"/>
    <w:rsid w:val="00AF04C2"/>
    <w:rsid w:val="00AF0C6F"/>
    <w:rsid w:val="00AF1122"/>
    <w:rsid w:val="00AF1BC1"/>
    <w:rsid w:val="00AF1FC9"/>
    <w:rsid w:val="00AF2359"/>
    <w:rsid w:val="00AF2675"/>
    <w:rsid w:val="00AF308D"/>
    <w:rsid w:val="00AF4F3C"/>
    <w:rsid w:val="00AF5081"/>
    <w:rsid w:val="00AF678F"/>
    <w:rsid w:val="00AF7050"/>
    <w:rsid w:val="00AF78EE"/>
    <w:rsid w:val="00AF7E1F"/>
    <w:rsid w:val="00B0046D"/>
    <w:rsid w:val="00B0099C"/>
    <w:rsid w:val="00B00EDC"/>
    <w:rsid w:val="00B01111"/>
    <w:rsid w:val="00B011E6"/>
    <w:rsid w:val="00B02B0F"/>
    <w:rsid w:val="00B02C5F"/>
    <w:rsid w:val="00B0570D"/>
    <w:rsid w:val="00B06569"/>
    <w:rsid w:val="00B0714F"/>
    <w:rsid w:val="00B07542"/>
    <w:rsid w:val="00B0755E"/>
    <w:rsid w:val="00B077CC"/>
    <w:rsid w:val="00B10C05"/>
    <w:rsid w:val="00B11BCB"/>
    <w:rsid w:val="00B11D45"/>
    <w:rsid w:val="00B124AB"/>
    <w:rsid w:val="00B13181"/>
    <w:rsid w:val="00B1439F"/>
    <w:rsid w:val="00B1479C"/>
    <w:rsid w:val="00B14FC0"/>
    <w:rsid w:val="00B1524D"/>
    <w:rsid w:val="00B152F3"/>
    <w:rsid w:val="00B15566"/>
    <w:rsid w:val="00B1706D"/>
    <w:rsid w:val="00B170A3"/>
    <w:rsid w:val="00B21399"/>
    <w:rsid w:val="00B23340"/>
    <w:rsid w:val="00B23906"/>
    <w:rsid w:val="00B2422D"/>
    <w:rsid w:val="00B245D1"/>
    <w:rsid w:val="00B24E69"/>
    <w:rsid w:val="00B25928"/>
    <w:rsid w:val="00B27036"/>
    <w:rsid w:val="00B2727E"/>
    <w:rsid w:val="00B278FE"/>
    <w:rsid w:val="00B2799F"/>
    <w:rsid w:val="00B279C9"/>
    <w:rsid w:val="00B27DF3"/>
    <w:rsid w:val="00B27E30"/>
    <w:rsid w:val="00B300AD"/>
    <w:rsid w:val="00B30199"/>
    <w:rsid w:val="00B30851"/>
    <w:rsid w:val="00B32115"/>
    <w:rsid w:val="00B32FA0"/>
    <w:rsid w:val="00B33189"/>
    <w:rsid w:val="00B331AE"/>
    <w:rsid w:val="00B33A92"/>
    <w:rsid w:val="00B349BB"/>
    <w:rsid w:val="00B349CD"/>
    <w:rsid w:val="00B3546C"/>
    <w:rsid w:val="00B35610"/>
    <w:rsid w:val="00B35E95"/>
    <w:rsid w:val="00B36623"/>
    <w:rsid w:val="00B3766C"/>
    <w:rsid w:val="00B37C46"/>
    <w:rsid w:val="00B37FDB"/>
    <w:rsid w:val="00B4009D"/>
    <w:rsid w:val="00B4026E"/>
    <w:rsid w:val="00B40628"/>
    <w:rsid w:val="00B40EFB"/>
    <w:rsid w:val="00B4201B"/>
    <w:rsid w:val="00B42AD2"/>
    <w:rsid w:val="00B435B3"/>
    <w:rsid w:val="00B43A2E"/>
    <w:rsid w:val="00B43AF3"/>
    <w:rsid w:val="00B442C0"/>
    <w:rsid w:val="00B44908"/>
    <w:rsid w:val="00B45B3E"/>
    <w:rsid w:val="00B45E32"/>
    <w:rsid w:val="00B46CA9"/>
    <w:rsid w:val="00B470F9"/>
    <w:rsid w:val="00B51E6D"/>
    <w:rsid w:val="00B51F2D"/>
    <w:rsid w:val="00B529E6"/>
    <w:rsid w:val="00B52C64"/>
    <w:rsid w:val="00B535CB"/>
    <w:rsid w:val="00B536DB"/>
    <w:rsid w:val="00B53CDE"/>
    <w:rsid w:val="00B5476F"/>
    <w:rsid w:val="00B5481C"/>
    <w:rsid w:val="00B54C6C"/>
    <w:rsid w:val="00B56F57"/>
    <w:rsid w:val="00B575D0"/>
    <w:rsid w:val="00B57A13"/>
    <w:rsid w:val="00B6053B"/>
    <w:rsid w:val="00B60CC1"/>
    <w:rsid w:val="00B61357"/>
    <w:rsid w:val="00B632B1"/>
    <w:rsid w:val="00B64F63"/>
    <w:rsid w:val="00B6529E"/>
    <w:rsid w:val="00B653E2"/>
    <w:rsid w:val="00B65F4B"/>
    <w:rsid w:val="00B66238"/>
    <w:rsid w:val="00B66C4B"/>
    <w:rsid w:val="00B67081"/>
    <w:rsid w:val="00B67B22"/>
    <w:rsid w:val="00B67CAD"/>
    <w:rsid w:val="00B71C13"/>
    <w:rsid w:val="00B72AEE"/>
    <w:rsid w:val="00B7310E"/>
    <w:rsid w:val="00B73348"/>
    <w:rsid w:val="00B73646"/>
    <w:rsid w:val="00B73D17"/>
    <w:rsid w:val="00B7401C"/>
    <w:rsid w:val="00B74952"/>
    <w:rsid w:val="00B756F5"/>
    <w:rsid w:val="00B7647C"/>
    <w:rsid w:val="00B7710E"/>
    <w:rsid w:val="00B77299"/>
    <w:rsid w:val="00B77CBA"/>
    <w:rsid w:val="00B80A5E"/>
    <w:rsid w:val="00B80E26"/>
    <w:rsid w:val="00B80F13"/>
    <w:rsid w:val="00B81A62"/>
    <w:rsid w:val="00B81B09"/>
    <w:rsid w:val="00B81C1D"/>
    <w:rsid w:val="00B81DC6"/>
    <w:rsid w:val="00B82DD3"/>
    <w:rsid w:val="00B83321"/>
    <w:rsid w:val="00B841EF"/>
    <w:rsid w:val="00B84377"/>
    <w:rsid w:val="00B846C6"/>
    <w:rsid w:val="00B8484B"/>
    <w:rsid w:val="00B8517C"/>
    <w:rsid w:val="00B85C6C"/>
    <w:rsid w:val="00B85F20"/>
    <w:rsid w:val="00B87DED"/>
    <w:rsid w:val="00B9124A"/>
    <w:rsid w:val="00B93132"/>
    <w:rsid w:val="00B93D6A"/>
    <w:rsid w:val="00B9480A"/>
    <w:rsid w:val="00B94BFF"/>
    <w:rsid w:val="00B95152"/>
    <w:rsid w:val="00B956C4"/>
    <w:rsid w:val="00B95B0A"/>
    <w:rsid w:val="00B95D3B"/>
    <w:rsid w:val="00B96271"/>
    <w:rsid w:val="00B97167"/>
    <w:rsid w:val="00BA0A39"/>
    <w:rsid w:val="00BA17A6"/>
    <w:rsid w:val="00BA2D2B"/>
    <w:rsid w:val="00BA36F0"/>
    <w:rsid w:val="00BA3D6D"/>
    <w:rsid w:val="00BA4876"/>
    <w:rsid w:val="00BA51E3"/>
    <w:rsid w:val="00BA5C3A"/>
    <w:rsid w:val="00BA5C82"/>
    <w:rsid w:val="00BA5FB6"/>
    <w:rsid w:val="00BA64E6"/>
    <w:rsid w:val="00BA6EB3"/>
    <w:rsid w:val="00BA7E4B"/>
    <w:rsid w:val="00BB1858"/>
    <w:rsid w:val="00BB1E30"/>
    <w:rsid w:val="00BB224C"/>
    <w:rsid w:val="00BB2349"/>
    <w:rsid w:val="00BB2735"/>
    <w:rsid w:val="00BB2F03"/>
    <w:rsid w:val="00BB4494"/>
    <w:rsid w:val="00BB4715"/>
    <w:rsid w:val="00BB590E"/>
    <w:rsid w:val="00BB64CB"/>
    <w:rsid w:val="00BB65B2"/>
    <w:rsid w:val="00BB6B70"/>
    <w:rsid w:val="00BB6CCF"/>
    <w:rsid w:val="00BB777A"/>
    <w:rsid w:val="00BB7A04"/>
    <w:rsid w:val="00BC09A4"/>
    <w:rsid w:val="00BC1466"/>
    <w:rsid w:val="00BC1484"/>
    <w:rsid w:val="00BC1CFA"/>
    <w:rsid w:val="00BC240C"/>
    <w:rsid w:val="00BC2B30"/>
    <w:rsid w:val="00BC3094"/>
    <w:rsid w:val="00BC321E"/>
    <w:rsid w:val="00BC32EA"/>
    <w:rsid w:val="00BC3903"/>
    <w:rsid w:val="00BC44DF"/>
    <w:rsid w:val="00BC4B2A"/>
    <w:rsid w:val="00BC5031"/>
    <w:rsid w:val="00BC5E34"/>
    <w:rsid w:val="00BC62C2"/>
    <w:rsid w:val="00BC6743"/>
    <w:rsid w:val="00BC799A"/>
    <w:rsid w:val="00BD0754"/>
    <w:rsid w:val="00BD2004"/>
    <w:rsid w:val="00BD265C"/>
    <w:rsid w:val="00BD29E3"/>
    <w:rsid w:val="00BD3524"/>
    <w:rsid w:val="00BD368C"/>
    <w:rsid w:val="00BD39DE"/>
    <w:rsid w:val="00BD4076"/>
    <w:rsid w:val="00BD40A4"/>
    <w:rsid w:val="00BD45D8"/>
    <w:rsid w:val="00BD46B9"/>
    <w:rsid w:val="00BD47AD"/>
    <w:rsid w:val="00BD4A38"/>
    <w:rsid w:val="00BD4D7E"/>
    <w:rsid w:val="00BD501F"/>
    <w:rsid w:val="00BD5BBC"/>
    <w:rsid w:val="00BD5E18"/>
    <w:rsid w:val="00BD5E95"/>
    <w:rsid w:val="00BD7244"/>
    <w:rsid w:val="00BD7452"/>
    <w:rsid w:val="00BD7EB6"/>
    <w:rsid w:val="00BE055C"/>
    <w:rsid w:val="00BE0D5F"/>
    <w:rsid w:val="00BE1556"/>
    <w:rsid w:val="00BE2995"/>
    <w:rsid w:val="00BE35B4"/>
    <w:rsid w:val="00BE35CA"/>
    <w:rsid w:val="00BE3C8A"/>
    <w:rsid w:val="00BE451C"/>
    <w:rsid w:val="00BE49BE"/>
    <w:rsid w:val="00BE69F5"/>
    <w:rsid w:val="00BE75BF"/>
    <w:rsid w:val="00BF0517"/>
    <w:rsid w:val="00BF1118"/>
    <w:rsid w:val="00BF1392"/>
    <w:rsid w:val="00BF2027"/>
    <w:rsid w:val="00BF2053"/>
    <w:rsid w:val="00BF218E"/>
    <w:rsid w:val="00BF2E2E"/>
    <w:rsid w:val="00BF3B45"/>
    <w:rsid w:val="00BF42E7"/>
    <w:rsid w:val="00BF51D5"/>
    <w:rsid w:val="00BF6F8B"/>
    <w:rsid w:val="00BF6FDD"/>
    <w:rsid w:val="00BF7F6A"/>
    <w:rsid w:val="00C0023B"/>
    <w:rsid w:val="00C00783"/>
    <w:rsid w:val="00C008C1"/>
    <w:rsid w:val="00C01844"/>
    <w:rsid w:val="00C024D9"/>
    <w:rsid w:val="00C0288F"/>
    <w:rsid w:val="00C029A2"/>
    <w:rsid w:val="00C02BA3"/>
    <w:rsid w:val="00C02FAA"/>
    <w:rsid w:val="00C030A9"/>
    <w:rsid w:val="00C03134"/>
    <w:rsid w:val="00C034AB"/>
    <w:rsid w:val="00C047C1"/>
    <w:rsid w:val="00C04A4A"/>
    <w:rsid w:val="00C0540C"/>
    <w:rsid w:val="00C0619C"/>
    <w:rsid w:val="00C0668A"/>
    <w:rsid w:val="00C066A9"/>
    <w:rsid w:val="00C07D7A"/>
    <w:rsid w:val="00C10FA7"/>
    <w:rsid w:val="00C11337"/>
    <w:rsid w:val="00C11DD0"/>
    <w:rsid w:val="00C13014"/>
    <w:rsid w:val="00C130D2"/>
    <w:rsid w:val="00C137CE"/>
    <w:rsid w:val="00C13936"/>
    <w:rsid w:val="00C14421"/>
    <w:rsid w:val="00C17198"/>
    <w:rsid w:val="00C171B0"/>
    <w:rsid w:val="00C17567"/>
    <w:rsid w:val="00C17601"/>
    <w:rsid w:val="00C201E0"/>
    <w:rsid w:val="00C2076F"/>
    <w:rsid w:val="00C2087D"/>
    <w:rsid w:val="00C20C6B"/>
    <w:rsid w:val="00C21919"/>
    <w:rsid w:val="00C237FC"/>
    <w:rsid w:val="00C23DE3"/>
    <w:rsid w:val="00C23F5B"/>
    <w:rsid w:val="00C247C3"/>
    <w:rsid w:val="00C24A3E"/>
    <w:rsid w:val="00C25505"/>
    <w:rsid w:val="00C26107"/>
    <w:rsid w:val="00C2662C"/>
    <w:rsid w:val="00C26685"/>
    <w:rsid w:val="00C26AD1"/>
    <w:rsid w:val="00C26DE3"/>
    <w:rsid w:val="00C2704A"/>
    <w:rsid w:val="00C31201"/>
    <w:rsid w:val="00C31377"/>
    <w:rsid w:val="00C32098"/>
    <w:rsid w:val="00C32435"/>
    <w:rsid w:val="00C32463"/>
    <w:rsid w:val="00C32486"/>
    <w:rsid w:val="00C32AA6"/>
    <w:rsid w:val="00C32CA0"/>
    <w:rsid w:val="00C3361E"/>
    <w:rsid w:val="00C336AD"/>
    <w:rsid w:val="00C33A91"/>
    <w:rsid w:val="00C33F97"/>
    <w:rsid w:val="00C42357"/>
    <w:rsid w:val="00C429A1"/>
    <w:rsid w:val="00C42A65"/>
    <w:rsid w:val="00C42D47"/>
    <w:rsid w:val="00C42FBD"/>
    <w:rsid w:val="00C43860"/>
    <w:rsid w:val="00C43D75"/>
    <w:rsid w:val="00C43FA1"/>
    <w:rsid w:val="00C444BE"/>
    <w:rsid w:val="00C44C7D"/>
    <w:rsid w:val="00C45BBF"/>
    <w:rsid w:val="00C46A53"/>
    <w:rsid w:val="00C47897"/>
    <w:rsid w:val="00C5008A"/>
    <w:rsid w:val="00C50FB0"/>
    <w:rsid w:val="00C51431"/>
    <w:rsid w:val="00C52A43"/>
    <w:rsid w:val="00C52C45"/>
    <w:rsid w:val="00C54307"/>
    <w:rsid w:val="00C55095"/>
    <w:rsid w:val="00C55154"/>
    <w:rsid w:val="00C55CE3"/>
    <w:rsid w:val="00C56AD0"/>
    <w:rsid w:val="00C57089"/>
    <w:rsid w:val="00C57AFE"/>
    <w:rsid w:val="00C57D99"/>
    <w:rsid w:val="00C601A3"/>
    <w:rsid w:val="00C6059C"/>
    <w:rsid w:val="00C60BFB"/>
    <w:rsid w:val="00C60D74"/>
    <w:rsid w:val="00C60E5A"/>
    <w:rsid w:val="00C6115D"/>
    <w:rsid w:val="00C6140D"/>
    <w:rsid w:val="00C622FA"/>
    <w:rsid w:val="00C62BAB"/>
    <w:rsid w:val="00C640A5"/>
    <w:rsid w:val="00C64A61"/>
    <w:rsid w:val="00C64ED7"/>
    <w:rsid w:val="00C66BA8"/>
    <w:rsid w:val="00C66F1F"/>
    <w:rsid w:val="00C674F2"/>
    <w:rsid w:val="00C712E3"/>
    <w:rsid w:val="00C72230"/>
    <w:rsid w:val="00C73719"/>
    <w:rsid w:val="00C738D2"/>
    <w:rsid w:val="00C73DDF"/>
    <w:rsid w:val="00C73DEE"/>
    <w:rsid w:val="00C749E7"/>
    <w:rsid w:val="00C74C70"/>
    <w:rsid w:val="00C74EFE"/>
    <w:rsid w:val="00C7569D"/>
    <w:rsid w:val="00C759CE"/>
    <w:rsid w:val="00C75B41"/>
    <w:rsid w:val="00C75D50"/>
    <w:rsid w:val="00C75F7E"/>
    <w:rsid w:val="00C76469"/>
    <w:rsid w:val="00C76578"/>
    <w:rsid w:val="00C7694A"/>
    <w:rsid w:val="00C76CE9"/>
    <w:rsid w:val="00C76EA5"/>
    <w:rsid w:val="00C76EEB"/>
    <w:rsid w:val="00C7758C"/>
    <w:rsid w:val="00C77659"/>
    <w:rsid w:val="00C7797A"/>
    <w:rsid w:val="00C77F6D"/>
    <w:rsid w:val="00C8212E"/>
    <w:rsid w:val="00C82842"/>
    <w:rsid w:val="00C82CD2"/>
    <w:rsid w:val="00C82D9F"/>
    <w:rsid w:val="00C85FD2"/>
    <w:rsid w:val="00C86F14"/>
    <w:rsid w:val="00C9094E"/>
    <w:rsid w:val="00C911A1"/>
    <w:rsid w:val="00C91F83"/>
    <w:rsid w:val="00C92056"/>
    <w:rsid w:val="00C93D64"/>
    <w:rsid w:val="00C949DD"/>
    <w:rsid w:val="00C9504A"/>
    <w:rsid w:val="00C95098"/>
    <w:rsid w:val="00C952A7"/>
    <w:rsid w:val="00C95509"/>
    <w:rsid w:val="00C96220"/>
    <w:rsid w:val="00C96935"/>
    <w:rsid w:val="00C9706C"/>
    <w:rsid w:val="00C97381"/>
    <w:rsid w:val="00C97445"/>
    <w:rsid w:val="00CA022E"/>
    <w:rsid w:val="00CA2C93"/>
    <w:rsid w:val="00CA4461"/>
    <w:rsid w:val="00CA50BB"/>
    <w:rsid w:val="00CA56FB"/>
    <w:rsid w:val="00CA57D4"/>
    <w:rsid w:val="00CA5E4B"/>
    <w:rsid w:val="00CA6B41"/>
    <w:rsid w:val="00CA7442"/>
    <w:rsid w:val="00CB0452"/>
    <w:rsid w:val="00CB04CB"/>
    <w:rsid w:val="00CB04E0"/>
    <w:rsid w:val="00CB0D3F"/>
    <w:rsid w:val="00CB513F"/>
    <w:rsid w:val="00CB61B6"/>
    <w:rsid w:val="00CB75DF"/>
    <w:rsid w:val="00CB7D08"/>
    <w:rsid w:val="00CC08C9"/>
    <w:rsid w:val="00CC09B6"/>
    <w:rsid w:val="00CC108C"/>
    <w:rsid w:val="00CC11FD"/>
    <w:rsid w:val="00CC1323"/>
    <w:rsid w:val="00CC28F2"/>
    <w:rsid w:val="00CC2B43"/>
    <w:rsid w:val="00CC2DCA"/>
    <w:rsid w:val="00CC3655"/>
    <w:rsid w:val="00CC3B2C"/>
    <w:rsid w:val="00CC3B31"/>
    <w:rsid w:val="00CC4725"/>
    <w:rsid w:val="00CC4796"/>
    <w:rsid w:val="00CC4AC4"/>
    <w:rsid w:val="00CC55E7"/>
    <w:rsid w:val="00CC70D6"/>
    <w:rsid w:val="00CD0020"/>
    <w:rsid w:val="00CD0079"/>
    <w:rsid w:val="00CD148A"/>
    <w:rsid w:val="00CD1E0A"/>
    <w:rsid w:val="00CD2A79"/>
    <w:rsid w:val="00CD2DB6"/>
    <w:rsid w:val="00CD2E2C"/>
    <w:rsid w:val="00CD2FBD"/>
    <w:rsid w:val="00CD3257"/>
    <w:rsid w:val="00CD3D07"/>
    <w:rsid w:val="00CD42B7"/>
    <w:rsid w:val="00CD4F5E"/>
    <w:rsid w:val="00CD6077"/>
    <w:rsid w:val="00CD625C"/>
    <w:rsid w:val="00CD6AD4"/>
    <w:rsid w:val="00CD6E68"/>
    <w:rsid w:val="00CD7341"/>
    <w:rsid w:val="00CE02A2"/>
    <w:rsid w:val="00CE0486"/>
    <w:rsid w:val="00CE1168"/>
    <w:rsid w:val="00CE1358"/>
    <w:rsid w:val="00CE1C4A"/>
    <w:rsid w:val="00CE2DC7"/>
    <w:rsid w:val="00CE2F2F"/>
    <w:rsid w:val="00CE3564"/>
    <w:rsid w:val="00CE3659"/>
    <w:rsid w:val="00CE368A"/>
    <w:rsid w:val="00CE3E50"/>
    <w:rsid w:val="00CE52F1"/>
    <w:rsid w:val="00CE5657"/>
    <w:rsid w:val="00CE5D70"/>
    <w:rsid w:val="00CE5E55"/>
    <w:rsid w:val="00CE63BA"/>
    <w:rsid w:val="00CE6768"/>
    <w:rsid w:val="00CE729E"/>
    <w:rsid w:val="00CE7C14"/>
    <w:rsid w:val="00CF1542"/>
    <w:rsid w:val="00CF1AF1"/>
    <w:rsid w:val="00CF1B28"/>
    <w:rsid w:val="00CF2D04"/>
    <w:rsid w:val="00CF2EFE"/>
    <w:rsid w:val="00CF32B2"/>
    <w:rsid w:val="00CF3A3A"/>
    <w:rsid w:val="00CF3FE4"/>
    <w:rsid w:val="00CF4693"/>
    <w:rsid w:val="00CF4839"/>
    <w:rsid w:val="00CF5F95"/>
    <w:rsid w:val="00CF7226"/>
    <w:rsid w:val="00D0150C"/>
    <w:rsid w:val="00D01AB2"/>
    <w:rsid w:val="00D01F64"/>
    <w:rsid w:val="00D021EF"/>
    <w:rsid w:val="00D0271D"/>
    <w:rsid w:val="00D0369C"/>
    <w:rsid w:val="00D0416A"/>
    <w:rsid w:val="00D04799"/>
    <w:rsid w:val="00D04FFE"/>
    <w:rsid w:val="00D0587E"/>
    <w:rsid w:val="00D05C6A"/>
    <w:rsid w:val="00D060F0"/>
    <w:rsid w:val="00D06333"/>
    <w:rsid w:val="00D06D24"/>
    <w:rsid w:val="00D10FE2"/>
    <w:rsid w:val="00D11DC6"/>
    <w:rsid w:val="00D1698C"/>
    <w:rsid w:val="00D17055"/>
    <w:rsid w:val="00D17D25"/>
    <w:rsid w:val="00D202B1"/>
    <w:rsid w:val="00D209DE"/>
    <w:rsid w:val="00D20C27"/>
    <w:rsid w:val="00D215BA"/>
    <w:rsid w:val="00D228E5"/>
    <w:rsid w:val="00D22C87"/>
    <w:rsid w:val="00D23514"/>
    <w:rsid w:val="00D237D8"/>
    <w:rsid w:val="00D239FA"/>
    <w:rsid w:val="00D23AD9"/>
    <w:rsid w:val="00D23BBE"/>
    <w:rsid w:val="00D24882"/>
    <w:rsid w:val="00D24C5C"/>
    <w:rsid w:val="00D24C9F"/>
    <w:rsid w:val="00D24F09"/>
    <w:rsid w:val="00D263DF"/>
    <w:rsid w:val="00D267ED"/>
    <w:rsid w:val="00D268C4"/>
    <w:rsid w:val="00D268D0"/>
    <w:rsid w:val="00D26ACF"/>
    <w:rsid w:val="00D27547"/>
    <w:rsid w:val="00D31E71"/>
    <w:rsid w:val="00D3250D"/>
    <w:rsid w:val="00D334DC"/>
    <w:rsid w:val="00D33E5B"/>
    <w:rsid w:val="00D344A4"/>
    <w:rsid w:val="00D3554D"/>
    <w:rsid w:val="00D35692"/>
    <w:rsid w:val="00D36187"/>
    <w:rsid w:val="00D37C77"/>
    <w:rsid w:val="00D41142"/>
    <w:rsid w:val="00D41FCA"/>
    <w:rsid w:val="00D42008"/>
    <w:rsid w:val="00D42131"/>
    <w:rsid w:val="00D43E25"/>
    <w:rsid w:val="00D43E4E"/>
    <w:rsid w:val="00D441CD"/>
    <w:rsid w:val="00D447B0"/>
    <w:rsid w:val="00D467D5"/>
    <w:rsid w:val="00D468AA"/>
    <w:rsid w:val="00D46B2B"/>
    <w:rsid w:val="00D46D22"/>
    <w:rsid w:val="00D47A71"/>
    <w:rsid w:val="00D50147"/>
    <w:rsid w:val="00D505DF"/>
    <w:rsid w:val="00D50E63"/>
    <w:rsid w:val="00D514CF"/>
    <w:rsid w:val="00D51D3D"/>
    <w:rsid w:val="00D520B2"/>
    <w:rsid w:val="00D525D5"/>
    <w:rsid w:val="00D527AC"/>
    <w:rsid w:val="00D5356D"/>
    <w:rsid w:val="00D53ACB"/>
    <w:rsid w:val="00D547CA"/>
    <w:rsid w:val="00D54EE4"/>
    <w:rsid w:val="00D55391"/>
    <w:rsid w:val="00D558B2"/>
    <w:rsid w:val="00D55D44"/>
    <w:rsid w:val="00D56871"/>
    <w:rsid w:val="00D57563"/>
    <w:rsid w:val="00D577F2"/>
    <w:rsid w:val="00D57C14"/>
    <w:rsid w:val="00D60787"/>
    <w:rsid w:val="00D6165B"/>
    <w:rsid w:val="00D61867"/>
    <w:rsid w:val="00D61C0C"/>
    <w:rsid w:val="00D642C4"/>
    <w:rsid w:val="00D64586"/>
    <w:rsid w:val="00D65162"/>
    <w:rsid w:val="00D651FB"/>
    <w:rsid w:val="00D66705"/>
    <w:rsid w:val="00D6674C"/>
    <w:rsid w:val="00D66E1B"/>
    <w:rsid w:val="00D67037"/>
    <w:rsid w:val="00D670D2"/>
    <w:rsid w:val="00D67102"/>
    <w:rsid w:val="00D67794"/>
    <w:rsid w:val="00D67A02"/>
    <w:rsid w:val="00D71653"/>
    <w:rsid w:val="00D727F5"/>
    <w:rsid w:val="00D72D84"/>
    <w:rsid w:val="00D72FFB"/>
    <w:rsid w:val="00D734E6"/>
    <w:rsid w:val="00D73C9A"/>
    <w:rsid w:val="00D73D3A"/>
    <w:rsid w:val="00D750A8"/>
    <w:rsid w:val="00D751D5"/>
    <w:rsid w:val="00D75319"/>
    <w:rsid w:val="00D7592C"/>
    <w:rsid w:val="00D76357"/>
    <w:rsid w:val="00D7760A"/>
    <w:rsid w:val="00D80BE9"/>
    <w:rsid w:val="00D81397"/>
    <w:rsid w:val="00D81866"/>
    <w:rsid w:val="00D81B9B"/>
    <w:rsid w:val="00D820AD"/>
    <w:rsid w:val="00D82375"/>
    <w:rsid w:val="00D82D2A"/>
    <w:rsid w:val="00D83AD5"/>
    <w:rsid w:val="00D843C2"/>
    <w:rsid w:val="00D852EC"/>
    <w:rsid w:val="00D854AD"/>
    <w:rsid w:val="00D85687"/>
    <w:rsid w:val="00D862DE"/>
    <w:rsid w:val="00D86352"/>
    <w:rsid w:val="00D86A77"/>
    <w:rsid w:val="00D8706A"/>
    <w:rsid w:val="00D87123"/>
    <w:rsid w:val="00D906C8"/>
    <w:rsid w:val="00D91A27"/>
    <w:rsid w:val="00D9391F"/>
    <w:rsid w:val="00D93B01"/>
    <w:rsid w:val="00D93BF4"/>
    <w:rsid w:val="00D93F19"/>
    <w:rsid w:val="00D9422E"/>
    <w:rsid w:val="00D9550A"/>
    <w:rsid w:val="00D9743C"/>
    <w:rsid w:val="00DA02AB"/>
    <w:rsid w:val="00DA2B08"/>
    <w:rsid w:val="00DA2E40"/>
    <w:rsid w:val="00DA31B7"/>
    <w:rsid w:val="00DA3572"/>
    <w:rsid w:val="00DA383F"/>
    <w:rsid w:val="00DA3CD4"/>
    <w:rsid w:val="00DA51C2"/>
    <w:rsid w:val="00DA6459"/>
    <w:rsid w:val="00DA65F7"/>
    <w:rsid w:val="00DA6AEB"/>
    <w:rsid w:val="00DB0157"/>
    <w:rsid w:val="00DB0B29"/>
    <w:rsid w:val="00DB116D"/>
    <w:rsid w:val="00DB1200"/>
    <w:rsid w:val="00DB17B8"/>
    <w:rsid w:val="00DB1952"/>
    <w:rsid w:val="00DB229D"/>
    <w:rsid w:val="00DB2CF1"/>
    <w:rsid w:val="00DB2E00"/>
    <w:rsid w:val="00DB33E6"/>
    <w:rsid w:val="00DB3D79"/>
    <w:rsid w:val="00DB4AD4"/>
    <w:rsid w:val="00DB4B7A"/>
    <w:rsid w:val="00DB4DC3"/>
    <w:rsid w:val="00DB5AF3"/>
    <w:rsid w:val="00DB60FD"/>
    <w:rsid w:val="00DB77D7"/>
    <w:rsid w:val="00DC365B"/>
    <w:rsid w:val="00DC4A37"/>
    <w:rsid w:val="00DC4BA2"/>
    <w:rsid w:val="00DC4FF0"/>
    <w:rsid w:val="00DC5118"/>
    <w:rsid w:val="00DC566C"/>
    <w:rsid w:val="00DC597F"/>
    <w:rsid w:val="00DC6AE3"/>
    <w:rsid w:val="00DC7950"/>
    <w:rsid w:val="00DD09A9"/>
    <w:rsid w:val="00DD1199"/>
    <w:rsid w:val="00DD1DA0"/>
    <w:rsid w:val="00DD235F"/>
    <w:rsid w:val="00DD37C8"/>
    <w:rsid w:val="00DD507F"/>
    <w:rsid w:val="00DD5C06"/>
    <w:rsid w:val="00DD6317"/>
    <w:rsid w:val="00DD6E0C"/>
    <w:rsid w:val="00DD74EA"/>
    <w:rsid w:val="00DE0202"/>
    <w:rsid w:val="00DE058F"/>
    <w:rsid w:val="00DE1CB6"/>
    <w:rsid w:val="00DE1D1F"/>
    <w:rsid w:val="00DE2856"/>
    <w:rsid w:val="00DE3BF8"/>
    <w:rsid w:val="00DE58D9"/>
    <w:rsid w:val="00DE5999"/>
    <w:rsid w:val="00DE5A4C"/>
    <w:rsid w:val="00DE5B51"/>
    <w:rsid w:val="00DE5D13"/>
    <w:rsid w:val="00DE698E"/>
    <w:rsid w:val="00DE6D95"/>
    <w:rsid w:val="00DE7487"/>
    <w:rsid w:val="00DE7A6C"/>
    <w:rsid w:val="00DE7B7C"/>
    <w:rsid w:val="00DF1264"/>
    <w:rsid w:val="00DF15A3"/>
    <w:rsid w:val="00DF1FDA"/>
    <w:rsid w:val="00DF232B"/>
    <w:rsid w:val="00DF34C0"/>
    <w:rsid w:val="00DF3579"/>
    <w:rsid w:val="00DF3AEC"/>
    <w:rsid w:val="00DF484C"/>
    <w:rsid w:val="00DF60D3"/>
    <w:rsid w:val="00DF792A"/>
    <w:rsid w:val="00E000CF"/>
    <w:rsid w:val="00E00D36"/>
    <w:rsid w:val="00E014C9"/>
    <w:rsid w:val="00E01654"/>
    <w:rsid w:val="00E028C9"/>
    <w:rsid w:val="00E02BB9"/>
    <w:rsid w:val="00E04D61"/>
    <w:rsid w:val="00E04E29"/>
    <w:rsid w:val="00E0500A"/>
    <w:rsid w:val="00E051E5"/>
    <w:rsid w:val="00E05893"/>
    <w:rsid w:val="00E07895"/>
    <w:rsid w:val="00E07FF8"/>
    <w:rsid w:val="00E108BA"/>
    <w:rsid w:val="00E10ABB"/>
    <w:rsid w:val="00E10BD8"/>
    <w:rsid w:val="00E11391"/>
    <w:rsid w:val="00E11B34"/>
    <w:rsid w:val="00E124CF"/>
    <w:rsid w:val="00E12690"/>
    <w:rsid w:val="00E1281F"/>
    <w:rsid w:val="00E13781"/>
    <w:rsid w:val="00E13C52"/>
    <w:rsid w:val="00E148D3"/>
    <w:rsid w:val="00E14A75"/>
    <w:rsid w:val="00E1507C"/>
    <w:rsid w:val="00E1509E"/>
    <w:rsid w:val="00E16D9F"/>
    <w:rsid w:val="00E17809"/>
    <w:rsid w:val="00E21672"/>
    <w:rsid w:val="00E21806"/>
    <w:rsid w:val="00E22479"/>
    <w:rsid w:val="00E22C5F"/>
    <w:rsid w:val="00E23737"/>
    <w:rsid w:val="00E23BD1"/>
    <w:rsid w:val="00E23D3E"/>
    <w:rsid w:val="00E24A82"/>
    <w:rsid w:val="00E255B2"/>
    <w:rsid w:val="00E26389"/>
    <w:rsid w:val="00E2768F"/>
    <w:rsid w:val="00E276B2"/>
    <w:rsid w:val="00E2787D"/>
    <w:rsid w:val="00E30000"/>
    <w:rsid w:val="00E30197"/>
    <w:rsid w:val="00E3073F"/>
    <w:rsid w:val="00E30C61"/>
    <w:rsid w:val="00E314AF"/>
    <w:rsid w:val="00E314E9"/>
    <w:rsid w:val="00E3151F"/>
    <w:rsid w:val="00E319BF"/>
    <w:rsid w:val="00E31C39"/>
    <w:rsid w:val="00E32159"/>
    <w:rsid w:val="00E32B74"/>
    <w:rsid w:val="00E32DDD"/>
    <w:rsid w:val="00E33066"/>
    <w:rsid w:val="00E3353B"/>
    <w:rsid w:val="00E33648"/>
    <w:rsid w:val="00E336BD"/>
    <w:rsid w:val="00E33ACA"/>
    <w:rsid w:val="00E348E6"/>
    <w:rsid w:val="00E34EEC"/>
    <w:rsid w:val="00E35775"/>
    <w:rsid w:val="00E362BF"/>
    <w:rsid w:val="00E40545"/>
    <w:rsid w:val="00E41734"/>
    <w:rsid w:val="00E41D6A"/>
    <w:rsid w:val="00E41F66"/>
    <w:rsid w:val="00E428AA"/>
    <w:rsid w:val="00E4350D"/>
    <w:rsid w:val="00E43688"/>
    <w:rsid w:val="00E4396B"/>
    <w:rsid w:val="00E44599"/>
    <w:rsid w:val="00E452E8"/>
    <w:rsid w:val="00E457DE"/>
    <w:rsid w:val="00E4595A"/>
    <w:rsid w:val="00E4624E"/>
    <w:rsid w:val="00E4657F"/>
    <w:rsid w:val="00E46E81"/>
    <w:rsid w:val="00E47398"/>
    <w:rsid w:val="00E47606"/>
    <w:rsid w:val="00E516CD"/>
    <w:rsid w:val="00E519D4"/>
    <w:rsid w:val="00E51C06"/>
    <w:rsid w:val="00E51C12"/>
    <w:rsid w:val="00E51E4C"/>
    <w:rsid w:val="00E52A75"/>
    <w:rsid w:val="00E52AF2"/>
    <w:rsid w:val="00E52F21"/>
    <w:rsid w:val="00E53134"/>
    <w:rsid w:val="00E5330A"/>
    <w:rsid w:val="00E53AD7"/>
    <w:rsid w:val="00E53B6C"/>
    <w:rsid w:val="00E54821"/>
    <w:rsid w:val="00E54BF3"/>
    <w:rsid w:val="00E55A7C"/>
    <w:rsid w:val="00E56B4F"/>
    <w:rsid w:val="00E6075C"/>
    <w:rsid w:val="00E60CC1"/>
    <w:rsid w:val="00E62766"/>
    <w:rsid w:val="00E62D8D"/>
    <w:rsid w:val="00E631AF"/>
    <w:rsid w:val="00E63342"/>
    <w:rsid w:val="00E64231"/>
    <w:rsid w:val="00E643E2"/>
    <w:rsid w:val="00E64DA8"/>
    <w:rsid w:val="00E652B8"/>
    <w:rsid w:val="00E654B9"/>
    <w:rsid w:val="00E6668D"/>
    <w:rsid w:val="00E6728A"/>
    <w:rsid w:val="00E679E0"/>
    <w:rsid w:val="00E707D1"/>
    <w:rsid w:val="00E71FBC"/>
    <w:rsid w:val="00E72919"/>
    <w:rsid w:val="00E72936"/>
    <w:rsid w:val="00E72CA7"/>
    <w:rsid w:val="00E72D5F"/>
    <w:rsid w:val="00E73114"/>
    <w:rsid w:val="00E73771"/>
    <w:rsid w:val="00E73805"/>
    <w:rsid w:val="00E74834"/>
    <w:rsid w:val="00E7543E"/>
    <w:rsid w:val="00E75F0B"/>
    <w:rsid w:val="00E7608A"/>
    <w:rsid w:val="00E76426"/>
    <w:rsid w:val="00E76D57"/>
    <w:rsid w:val="00E803CD"/>
    <w:rsid w:val="00E8093F"/>
    <w:rsid w:val="00E81F81"/>
    <w:rsid w:val="00E8387D"/>
    <w:rsid w:val="00E83BB8"/>
    <w:rsid w:val="00E83EA3"/>
    <w:rsid w:val="00E84443"/>
    <w:rsid w:val="00E84B40"/>
    <w:rsid w:val="00E85631"/>
    <w:rsid w:val="00E8602E"/>
    <w:rsid w:val="00E86608"/>
    <w:rsid w:val="00E86B4E"/>
    <w:rsid w:val="00E86D14"/>
    <w:rsid w:val="00E87329"/>
    <w:rsid w:val="00E87C10"/>
    <w:rsid w:val="00E90149"/>
    <w:rsid w:val="00E909ED"/>
    <w:rsid w:val="00E91C21"/>
    <w:rsid w:val="00E92CC8"/>
    <w:rsid w:val="00E933E7"/>
    <w:rsid w:val="00E93A90"/>
    <w:rsid w:val="00E94CBF"/>
    <w:rsid w:val="00E94D44"/>
    <w:rsid w:val="00E96528"/>
    <w:rsid w:val="00E979D3"/>
    <w:rsid w:val="00EA01D7"/>
    <w:rsid w:val="00EA0D40"/>
    <w:rsid w:val="00EA3D8C"/>
    <w:rsid w:val="00EA4D3C"/>
    <w:rsid w:val="00EA4DDC"/>
    <w:rsid w:val="00EA5643"/>
    <w:rsid w:val="00EB0283"/>
    <w:rsid w:val="00EB0EE8"/>
    <w:rsid w:val="00EB2095"/>
    <w:rsid w:val="00EB248B"/>
    <w:rsid w:val="00EB2EDF"/>
    <w:rsid w:val="00EB38C7"/>
    <w:rsid w:val="00EB41E3"/>
    <w:rsid w:val="00EB570A"/>
    <w:rsid w:val="00EB5A84"/>
    <w:rsid w:val="00EB687C"/>
    <w:rsid w:val="00EB69FF"/>
    <w:rsid w:val="00EB7922"/>
    <w:rsid w:val="00EC02EF"/>
    <w:rsid w:val="00EC2645"/>
    <w:rsid w:val="00EC2C1F"/>
    <w:rsid w:val="00EC31D7"/>
    <w:rsid w:val="00EC4017"/>
    <w:rsid w:val="00EC6D62"/>
    <w:rsid w:val="00EC773A"/>
    <w:rsid w:val="00EC79AA"/>
    <w:rsid w:val="00ED04EC"/>
    <w:rsid w:val="00ED13BF"/>
    <w:rsid w:val="00ED15C2"/>
    <w:rsid w:val="00ED1C92"/>
    <w:rsid w:val="00ED2F0A"/>
    <w:rsid w:val="00ED375E"/>
    <w:rsid w:val="00ED375F"/>
    <w:rsid w:val="00ED3B05"/>
    <w:rsid w:val="00ED4F56"/>
    <w:rsid w:val="00ED5804"/>
    <w:rsid w:val="00ED5ED3"/>
    <w:rsid w:val="00ED6702"/>
    <w:rsid w:val="00ED77D1"/>
    <w:rsid w:val="00ED7D2D"/>
    <w:rsid w:val="00EE04EB"/>
    <w:rsid w:val="00EE0E40"/>
    <w:rsid w:val="00EE0F03"/>
    <w:rsid w:val="00EE1C2C"/>
    <w:rsid w:val="00EE2866"/>
    <w:rsid w:val="00EE3634"/>
    <w:rsid w:val="00EE3744"/>
    <w:rsid w:val="00EE38ED"/>
    <w:rsid w:val="00EE3DDF"/>
    <w:rsid w:val="00EE495C"/>
    <w:rsid w:val="00EE501A"/>
    <w:rsid w:val="00EE56DE"/>
    <w:rsid w:val="00EE6744"/>
    <w:rsid w:val="00EE6C26"/>
    <w:rsid w:val="00EE6CD2"/>
    <w:rsid w:val="00EE71E1"/>
    <w:rsid w:val="00EE7449"/>
    <w:rsid w:val="00EE7FB0"/>
    <w:rsid w:val="00EF0AAB"/>
    <w:rsid w:val="00EF0ECC"/>
    <w:rsid w:val="00EF1C87"/>
    <w:rsid w:val="00EF1E95"/>
    <w:rsid w:val="00EF221B"/>
    <w:rsid w:val="00EF4564"/>
    <w:rsid w:val="00EF4A13"/>
    <w:rsid w:val="00EF4AB0"/>
    <w:rsid w:val="00EF4D52"/>
    <w:rsid w:val="00EF5691"/>
    <w:rsid w:val="00EF5E2D"/>
    <w:rsid w:val="00EF60A0"/>
    <w:rsid w:val="00EF61DC"/>
    <w:rsid w:val="00EF6B75"/>
    <w:rsid w:val="00EF71A6"/>
    <w:rsid w:val="00F00D3B"/>
    <w:rsid w:val="00F010DE"/>
    <w:rsid w:val="00F018EC"/>
    <w:rsid w:val="00F01D65"/>
    <w:rsid w:val="00F01D73"/>
    <w:rsid w:val="00F0394A"/>
    <w:rsid w:val="00F03C70"/>
    <w:rsid w:val="00F041B4"/>
    <w:rsid w:val="00F04347"/>
    <w:rsid w:val="00F04469"/>
    <w:rsid w:val="00F0453E"/>
    <w:rsid w:val="00F064C2"/>
    <w:rsid w:val="00F066E1"/>
    <w:rsid w:val="00F0714C"/>
    <w:rsid w:val="00F07EA2"/>
    <w:rsid w:val="00F1115F"/>
    <w:rsid w:val="00F11336"/>
    <w:rsid w:val="00F11524"/>
    <w:rsid w:val="00F11600"/>
    <w:rsid w:val="00F1181B"/>
    <w:rsid w:val="00F11B6A"/>
    <w:rsid w:val="00F12252"/>
    <w:rsid w:val="00F128EE"/>
    <w:rsid w:val="00F12E24"/>
    <w:rsid w:val="00F14084"/>
    <w:rsid w:val="00F169CC"/>
    <w:rsid w:val="00F204BD"/>
    <w:rsid w:val="00F20588"/>
    <w:rsid w:val="00F20AFD"/>
    <w:rsid w:val="00F25290"/>
    <w:rsid w:val="00F25390"/>
    <w:rsid w:val="00F2558D"/>
    <w:rsid w:val="00F25A4C"/>
    <w:rsid w:val="00F25CBE"/>
    <w:rsid w:val="00F2633C"/>
    <w:rsid w:val="00F26567"/>
    <w:rsid w:val="00F26D56"/>
    <w:rsid w:val="00F272DD"/>
    <w:rsid w:val="00F2755C"/>
    <w:rsid w:val="00F30775"/>
    <w:rsid w:val="00F315B9"/>
    <w:rsid w:val="00F31747"/>
    <w:rsid w:val="00F31F94"/>
    <w:rsid w:val="00F321C4"/>
    <w:rsid w:val="00F3355D"/>
    <w:rsid w:val="00F3364A"/>
    <w:rsid w:val="00F337C4"/>
    <w:rsid w:val="00F34A4E"/>
    <w:rsid w:val="00F355AE"/>
    <w:rsid w:val="00F35602"/>
    <w:rsid w:val="00F35B57"/>
    <w:rsid w:val="00F35E87"/>
    <w:rsid w:val="00F37874"/>
    <w:rsid w:val="00F40B20"/>
    <w:rsid w:val="00F41E5C"/>
    <w:rsid w:val="00F42091"/>
    <w:rsid w:val="00F43C62"/>
    <w:rsid w:val="00F43E07"/>
    <w:rsid w:val="00F44A95"/>
    <w:rsid w:val="00F44A9E"/>
    <w:rsid w:val="00F44DE0"/>
    <w:rsid w:val="00F44EDB"/>
    <w:rsid w:val="00F45B3B"/>
    <w:rsid w:val="00F469BF"/>
    <w:rsid w:val="00F5182D"/>
    <w:rsid w:val="00F51AA9"/>
    <w:rsid w:val="00F53B85"/>
    <w:rsid w:val="00F54279"/>
    <w:rsid w:val="00F54B92"/>
    <w:rsid w:val="00F55D35"/>
    <w:rsid w:val="00F564A2"/>
    <w:rsid w:val="00F56C18"/>
    <w:rsid w:val="00F56DD2"/>
    <w:rsid w:val="00F57649"/>
    <w:rsid w:val="00F57BF1"/>
    <w:rsid w:val="00F57FC3"/>
    <w:rsid w:val="00F60154"/>
    <w:rsid w:val="00F61E02"/>
    <w:rsid w:val="00F62DE8"/>
    <w:rsid w:val="00F63B89"/>
    <w:rsid w:val="00F643AF"/>
    <w:rsid w:val="00F6479E"/>
    <w:rsid w:val="00F64DB2"/>
    <w:rsid w:val="00F6575E"/>
    <w:rsid w:val="00F66419"/>
    <w:rsid w:val="00F71D5C"/>
    <w:rsid w:val="00F725A2"/>
    <w:rsid w:val="00F72984"/>
    <w:rsid w:val="00F729B4"/>
    <w:rsid w:val="00F7377B"/>
    <w:rsid w:val="00F73789"/>
    <w:rsid w:val="00F73B9F"/>
    <w:rsid w:val="00F74091"/>
    <w:rsid w:val="00F74201"/>
    <w:rsid w:val="00F74220"/>
    <w:rsid w:val="00F757A5"/>
    <w:rsid w:val="00F762CA"/>
    <w:rsid w:val="00F76559"/>
    <w:rsid w:val="00F80129"/>
    <w:rsid w:val="00F81146"/>
    <w:rsid w:val="00F81495"/>
    <w:rsid w:val="00F81C6A"/>
    <w:rsid w:val="00F826DA"/>
    <w:rsid w:val="00F82BA9"/>
    <w:rsid w:val="00F84C7D"/>
    <w:rsid w:val="00F859CB"/>
    <w:rsid w:val="00F86A8B"/>
    <w:rsid w:val="00F86B87"/>
    <w:rsid w:val="00F86F4D"/>
    <w:rsid w:val="00F87025"/>
    <w:rsid w:val="00F9039D"/>
    <w:rsid w:val="00F92649"/>
    <w:rsid w:val="00F92A0F"/>
    <w:rsid w:val="00F94C4A"/>
    <w:rsid w:val="00F962DA"/>
    <w:rsid w:val="00F967BE"/>
    <w:rsid w:val="00F9683A"/>
    <w:rsid w:val="00F96DF2"/>
    <w:rsid w:val="00F96E64"/>
    <w:rsid w:val="00F9711F"/>
    <w:rsid w:val="00F97319"/>
    <w:rsid w:val="00F97457"/>
    <w:rsid w:val="00F978F1"/>
    <w:rsid w:val="00FA0995"/>
    <w:rsid w:val="00FA1604"/>
    <w:rsid w:val="00FA1F2E"/>
    <w:rsid w:val="00FA2005"/>
    <w:rsid w:val="00FA47F2"/>
    <w:rsid w:val="00FA616C"/>
    <w:rsid w:val="00FA6506"/>
    <w:rsid w:val="00FA6649"/>
    <w:rsid w:val="00FA6BD0"/>
    <w:rsid w:val="00FA6C2A"/>
    <w:rsid w:val="00FA74AA"/>
    <w:rsid w:val="00FA757A"/>
    <w:rsid w:val="00FB0103"/>
    <w:rsid w:val="00FB04FB"/>
    <w:rsid w:val="00FB0595"/>
    <w:rsid w:val="00FB0E61"/>
    <w:rsid w:val="00FB1119"/>
    <w:rsid w:val="00FB1ACD"/>
    <w:rsid w:val="00FB2B42"/>
    <w:rsid w:val="00FB348B"/>
    <w:rsid w:val="00FB3615"/>
    <w:rsid w:val="00FB384A"/>
    <w:rsid w:val="00FB42E1"/>
    <w:rsid w:val="00FB47C0"/>
    <w:rsid w:val="00FB4881"/>
    <w:rsid w:val="00FB5FEF"/>
    <w:rsid w:val="00FB61AD"/>
    <w:rsid w:val="00FB6489"/>
    <w:rsid w:val="00FB6B61"/>
    <w:rsid w:val="00FB713A"/>
    <w:rsid w:val="00FB7907"/>
    <w:rsid w:val="00FB798B"/>
    <w:rsid w:val="00FB7FB1"/>
    <w:rsid w:val="00FC02C8"/>
    <w:rsid w:val="00FC043C"/>
    <w:rsid w:val="00FC06B6"/>
    <w:rsid w:val="00FC0BE0"/>
    <w:rsid w:val="00FC1057"/>
    <w:rsid w:val="00FC15B2"/>
    <w:rsid w:val="00FC1C01"/>
    <w:rsid w:val="00FC240E"/>
    <w:rsid w:val="00FC2B71"/>
    <w:rsid w:val="00FC2B7C"/>
    <w:rsid w:val="00FC2EB6"/>
    <w:rsid w:val="00FC35A0"/>
    <w:rsid w:val="00FC421E"/>
    <w:rsid w:val="00FC54A1"/>
    <w:rsid w:val="00FC57F2"/>
    <w:rsid w:val="00FC60FA"/>
    <w:rsid w:val="00FC65BE"/>
    <w:rsid w:val="00FC692C"/>
    <w:rsid w:val="00FD0A8B"/>
    <w:rsid w:val="00FD0B2E"/>
    <w:rsid w:val="00FD102F"/>
    <w:rsid w:val="00FD171C"/>
    <w:rsid w:val="00FD1750"/>
    <w:rsid w:val="00FD1F33"/>
    <w:rsid w:val="00FD22BC"/>
    <w:rsid w:val="00FD3206"/>
    <w:rsid w:val="00FD372B"/>
    <w:rsid w:val="00FD39E7"/>
    <w:rsid w:val="00FD3AB9"/>
    <w:rsid w:val="00FD3F0B"/>
    <w:rsid w:val="00FD4376"/>
    <w:rsid w:val="00FD5678"/>
    <w:rsid w:val="00FD5735"/>
    <w:rsid w:val="00FD64D6"/>
    <w:rsid w:val="00FD6750"/>
    <w:rsid w:val="00FD6986"/>
    <w:rsid w:val="00FD782E"/>
    <w:rsid w:val="00FE01AE"/>
    <w:rsid w:val="00FE04CB"/>
    <w:rsid w:val="00FE07A7"/>
    <w:rsid w:val="00FE09EB"/>
    <w:rsid w:val="00FE1A26"/>
    <w:rsid w:val="00FE1B77"/>
    <w:rsid w:val="00FE1D12"/>
    <w:rsid w:val="00FE28C0"/>
    <w:rsid w:val="00FE2D04"/>
    <w:rsid w:val="00FE2F05"/>
    <w:rsid w:val="00FE32E5"/>
    <w:rsid w:val="00FE4613"/>
    <w:rsid w:val="00FE46A5"/>
    <w:rsid w:val="00FE47B2"/>
    <w:rsid w:val="00FE4DDC"/>
    <w:rsid w:val="00FE551E"/>
    <w:rsid w:val="00FE586F"/>
    <w:rsid w:val="00FE5A39"/>
    <w:rsid w:val="00FE5CA0"/>
    <w:rsid w:val="00FE6ADE"/>
    <w:rsid w:val="00FE6CC1"/>
    <w:rsid w:val="00FE723B"/>
    <w:rsid w:val="00FE774A"/>
    <w:rsid w:val="00FF040B"/>
    <w:rsid w:val="00FF0B4F"/>
    <w:rsid w:val="00FF12FC"/>
    <w:rsid w:val="00FF2460"/>
    <w:rsid w:val="00FF289A"/>
    <w:rsid w:val="00FF3142"/>
    <w:rsid w:val="00FF3B7E"/>
    <w:rsid w:val="00FF4ACF"/>
    <w:rsid w:val="00FF5668"/>
    <w:rsid w:val="00FF634E"/>
    <w:rsid w:val="00FF6648"/>
    <w:rsid w:val="00FF68AE"/>
    <w:rsid w:val="00FF7082"/>
    <w:rsid w:val="00FF7E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B0CF1"/>
  <w15:docId w15:val="{1816C4AC-141A-440B-9215-866A814594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046D"/>
    <w:pPr>
      <w:jc w:val="both"/>
    </w:pPr>
    <w:rPr>
      <w:color w:val="44546A" w:themeColor="text2"/>
      <w:sz w:val="20"/>
    </w:rPr>
  </w:style>
  <w:style w:type="paragraph" w:styleId="Heading1">
    <w:name w:val="heading 1"/>
    <w:basedOn w:val="Normal"/>
    <w:next w:val="Normal"/>
    <w:link w:val="Heading1Char"/>
    <w:uiPriority w:val="9"/>
    <w:qFormat/>
    <w:rsid w:val="00AF235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aliases w:val="Podnaslov 2"/>
    <w:basedOn w:val="Normal"/>
    <w:next w:val="Normal"/>
    <w:link w:val="Heading2Char"/>
    <w:uiPriority w:val="9"/>
    <w:unhideWhenUsed/>
    <w:qFormat/>
    <w:rsid w:val="00AF235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570694"/>
    <w:pPr>
      <w:autoSpaceDE w:val="0"/>
      <w:autoSpaceDN w:val="0"/>
      <w:adjustRightInd w:val="0"/>
      <w:spacing w:after="0" w:line="240" w:lineRule="auto"/>
    </w:pPr>
    <w:rPr>
      <w:rFonts w:ascii="Cambria" w:hAnsi="Cambria" w:cs="Cambria"/>
      <w:color w:val="000000"/>
      <w:sz w:val="24"/>
      <w:szCs w:val="24"/>
    </w:rPr>
  </w:style>
  <w:style w:type="paragraph" w:styleId="Header">
    <w:name w:val="header"/>
    <w:basedOn w:val="Normal"/>
    <w:link w:val="HeaderChar"/>
    <w:uiPriority w:val="99"/>
    <w:unhideWhenUsed/>
    <w:rsid w:val="00BF7F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BF7F6A"/>
  </w:style>
  <w:style w:type="paragraph" w:styleId="Footer">
    <w:name w:val="footer"/>
    <w:basedOn w:val="Normal"/>
    <w:link w:val="FooterChar"/>
    <w:uiPriority w:val="99"/>
    <w:unhideWhenUsed/>
    <w:rsid w:val="00BF7F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F7F6A"/>
  </w:style>
  <w:style w:type="character" w:customStyle="1" w:styleId="Heading1Char">
    <w:name w:val="Heading 1 Char"/>
    <w:basedOn w:val="DefaultParagraphFont"/>
    <w:link w:val="Heading1"/>
    <w:uiPriority w:val="9"/>
    <w:rsid w:val="00AF235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AF2359"/>
    <w:pPr>
      <w:outlineLvl w:val="9"/>
    </w:pPr>
  </w:style>
  <w:style w:type="paragraph" w:styleId="TOC1">
    <w:name w:val="toc 1"/>
    <w:basedOn w:val="Normal"/>
    <w:next w:val="Normal"/>
    <w:autoRedefine/>
    <w:uiPriority w:val="39"/>
    <w:unhideWhenUsed/>
    <w:rsid w:val="005311D2"/>
    <w:pPr>
      <w:tabs>
        <w:tab w:val="left" w:pos="270"/>
        <w:tab w:val="right" w:leader="dot" w:pos="9350"/>
      </w:tabs>
      <w:spacing w:after="100"/>
      <w:ind w:firstLine="180"/>
    </w:pPr>
    <w:rPr>
      <w:rFonts w:cstheme="minorHAnsi"/>
      <w:b/>
      <w:bCs/>
      <w:noProof/>
      <w:szCs w:val="20"/>
      <w:lang w:val="sr-Cyrl-RS"/>
    </w:rPr>
  </w:style>
  <w:style w:type="character" w:styleId="Hyperlink">
    <w:name w:val="Hyperlink"/>
    <w:basedOn w:val="DefaultParagraphFont"/>
    <w:uiPriority w:val="99"/>
    <w:unhideWhenUsed/>
    <w:rsid w:val="00AF2359"/>
    <w:rPr>
      <w:color w:val="0563C1" w:themeColor="hyperlink"/>
      <w:u w:val="single"/>
    </w:rPr>
  </w:style>
  <w:style w:type="character" w:customStyle="1" w:styleId="Heading2Char">
    <w:name w:val="Heading 2 Char"/>
    <w:aliases w:val="Podnaslov 2 Char"/>
    <w:basedOn w:val="DefaultParagraphFont"/>
    <w:link w:val="Heading2"/>
    <w:uiPriority w:val="9"/>
    <w:rsid w:val="00AF2359"/>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AF78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72065C"/>
    <w:pPr>
      <w:tabs>
        <w:tab w:val="right" w:leader="dot" w:pos="9350"/>
      </w:tabs>
      <w:spacing w:after="100"/>
      <w:ind w:left="220"/>
    </w:pPr>
    <w:rPr>
      <w:rFonts w:eastAsia="MS PGothic" w:cstheme="minorHAnsi"/>
      <w:b/>
      <w:noProof/>
      <w:lang w:val="sr-Cyrl-RS" w:eastAsia="ja-JP"/>
    </w:rPr>
  </w:style>
  <w:style w:type="paragraph" w:styleId="FootnoteText">
    <w:name w:val="footnote text"/>
    <w:aliases w:val="Footnote Text Char Char Char,Footnote Text Char Char,single space,footnote text,fn,FOOTNOTES,ADB,Footnote Text Char Char Char Char Char,Footnote Text Char Char1,ft,Texto nota pie Car,ft Car,ft Car Car,Texto nota pie2,ft1,f,A,fn1"/>
    <w:basedOn w:val="Normal"/>
    <w:link w:val="FootnoteTextChar"/>
    <w:uiPriority w:val="99"/>
    <w:unhideWhenUsed/>
    <w:qFormat/>
    <w:rsid w:val="005556DC"/>
    <w:pPr>
      <w:spacing w:after="0" w:line="240" w:lineRule="auto"/>
    </w:pPr>
    <w:rPr>
      <w:szCs w:val="20"/>
    </w:rPr>
  </w:style>
  <w:style w:type="character" w:customStyle="1" w:styleId="FootnoteTextChar">
    <w:name w:val="Footnote Text Char"/>
    <w:aliases w:val="Footnote Text Char Char Char Char,Footnote Text Char Char Char1,single space Char,footnote text Char,fn Char,FOOTNOTES Char,ADB Char,Footnote Text Char Char Char Char Char Char,Footnote Text Char Char1 Char,ft Char,ft Car Char,f Char"/>
    <w:basedOn w:val="DefaultParagraphFont"/>
    <w:link w:val="FootnoteText"/>
    <w:uiPriority w:val="99"/>
    <w:qFormat/>
    <w:rsid w:val="005556DC"/>
    <w:rPr>
      <w:sz w:val="20"/>
      <w:szCs w:val="20"/>
    </w:rPr>
  </w:style>
  <w:style w:type="character" w:styleId="FootnoteReference">
    <w:name w:val="footnote reference"/>
    <w:aliases w:val="ftref,Normal + Font:9 Point,Superscript 3 Point Times,SUPERS,EN Footnote Reference,number,Char Char,BVI fnr,Footnote symbol,Footnote reference number,note TESI,ftref Char,BVI fnr Char,BVI fnr Car Char,Char Char Car Char,16 Point Char"/>
    <w:basedOn w:val="DefaultParagraphFont"/>
    <w:link w:val="NumPar1"/>
    <w:uiPriority w:val="99"/>
    <w:unhideWhenUsed/>
    <w:qFormat/>
    <w:rsid w:val="005556DC"/>
    <w:rPr>
      <w:vertAlign w:val="superscript"/>
    </w:rPr>
  </w:style>
  <w:style w:type="character" w:customStyle="1" w:styleId="Hyperlink1">
    <w:name w:val="Hyperlink1"/>
    <w:basedOn w:val="DefaultParagraphFont"/>
    <w:uiPriority w:val="99"/>
    <w:unhideWhenUsed/>
    <w:rsid w:val="005556DC"/>
    <w:rPr>
      <w:color w:val="0563C1"/>
      <w:u w:val="single"/>
    </w:rPr>
  </w:style>
  <w:style w:type="paragraph" w:styleId="Caption">
    <w:name w:val="caption"/>
    <w:basedOn w:val="Normal"/>
    <w:next w:val="Normal"/>
    <w:uiPriority w:val="35"/>
    <w:unhideWhenUsed/>
    <w:qFormat/>
    <w:rsid w:val="004B197B"/>
    <w:pPr>
      <w:jc w:val="center"/>
    </w:pPr>
    <w:rPr>
      <w:b/>
      <w:iCs/>
      <w:color w:val="002060"/>
      <w:szCs w:val="18"/>
    </w:rPr>
  </w:style>
  <w:style w:type="table" w:customStyle="1" w:styleId="GridTable5Dark-Accent51">
    <w:name w:val="Grid Table 5 Dark - Accent 51"/>
    <w:basedOn w:val="TableNormal"/>
    <w:uiPriority w:val="50"/>
    <w:rsid w:val="004351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
    <w:name w:val="Light Shading - Accent 333"/>
    <w:basedOn w:val="TableNormal"/>
    <w:next w:val="LightShading-Accent3"/>
    <w:uiPriority w:val="60"/>
    <w:rsid w:val="00CB0452"/>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Shading-Accent3">
    <w:name w:val="Light Shading Accent 3"/>
    <w:basedOn w:val="TableNormal"/>
    <w:uiPriority w:val="60"/>
    <w:semiHidden/>
    <w:unhideWhenUsed/>
    <w:rsid w:val="00CB0452"/>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character" w:styleId="CommentReference">
    <w:name w:val="annotation reference"/>
    <w:basedOn w:val="DefaultParagraphFont"/>
    <w:uiPriority w:val="99"/>
    <w:semiHidden/>
    <w:unhideWhenUsed/>
    <w:rsid w:val="00CB0452"/>
    <w:rPr>
      <w:sz w:val="16"/>
      <w:szCs w:val="16"/>
    </w:rPr>
  </w:style>
  <w:style w:type="paragraph" w:styleId="CommentText">
    <w:name w:val="annotation text"/>
    <w:basedOn w:val="Normal"/>
    <w:link w:val="CommentTextChar"/>
    <w:uiPriority w:val="99"/>
    <w:unhideWhenUsed/>
    <w:rsid w:val="00CB0452"/>
    <w:pPr>
      <w:spacing w:line="240" w:lineRule="auto"/>
    </w:pPr>
    <w:rPr>
      <w:szCs w:val="20"/>
    </w:rPr>
  </w:style>
  <w:style w:type="character" w:customStyle="1" w:styleId="CommentTextChar">
    <w:name w:val="Comment Text Char"/>
    <w:basedOn w:val="DefaultParagraphFont"/>
    <w:link w:val="CommentText"/>
    <w:uiPriority w:val="99"/>
    <w:rsid w:val="00CB0452"/>
    <w:rPr>
      <w:sz w:val="20"/>
      <w:szCs w:val="20"/>
    </w:rPr>
  </w:style>
  <w:style w:type="paragraph" w:styleId="CommentSubject">
    <w:name w:val="annotation subject"/>
    <w:basedOn w:val="CommentText"/>
    <w:next w:val="CommentText"/>
    <w:link w:val="CommentSubjectChar"/>
    <w:uiPriority w:val="99"/>
    <w:semiHidden/>
    <w:unhideWhenUsed/>
    <w:rsid w:val="00CB0452"/>
    <w:rPr>
      <w:b/>
      <w:bCs/>
    </w:rPr>
  </w:style>
  <w:style w:type="character" w:customStyle="1" w:styleId="CommentSubjectChar">
    <w:name w:val="Comment Subject Char"/>
    <w:basedOn w:val="CommentTextChar"/>
    <w:link w:val="CommentSubject"/>
    <w:uiPriority w:val="99"/>
    <w:semiHidden/>
    <w:rsid w:val="00CB0452"/>
    <w:rPr>
      <w:b/>
      <w:bCs/>
      <w:sz w:val="20"/>
      <w:szCs w:val="20"/>
    </w:rPr>
  </w:style>
  <w:style w:type="paragraph" w:styleId="BalloonText">
    <w:name w:val="Balloon Text"/>
    <w:basedOn w:val="Normal"/>
    <w:link w:val="BalloonTextChar"/>
    <w:uiPriority w:val="99"/>
    <w:semiHidden/>
    <w:unhideWhenUsed/>
    <w:rsid w:val="00CB045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B0452"/>
    <w:rPr>
      <w:rFonts w:ascii="Segoe UI" w:hAnsi="Segoe UI" w:cs="Segoe UI"/>
      <w:sz w:val="18"/>
      <w:szCs w:val="18"/>
    </w:rPr>
  </w:style>
  <w:style w:type="table" w:customStyle="1" w:styleId="TableGrid2">
    <w:name w:val="Table Grid2"/>
    <w:basedOn w:val="TableNormal"/>
    <w:next w:val="TableGrid"/>
    <w:uiPriority w:val="39"/>
    <w:rsid w:val="008E6892"/>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paragraph" w:styleId="ListParagraph">
    <w:name w:val="List Paragraph"/>
    <w:basedOn w:val="Normal"/>
    <w:link w:val="ListParagraphChar"/>
    <w:uiPriority w:val="34"/>
    <w:qFormat/>
    <w:rsid w:val="0001456F"/>
    <w:pPr>
      <w:ind w:left="720"/>
      <w:contextualSpacing/>
    </w:pPr>
  </w:style>
  <w:style w:type="character" w:customStyle="1" w:styleId="UnresolvedMention1">
    <w:name w:val="Unresolved Mention1"/>
    <w:basedOn w:val="DefaultParagraphFont"/>
    <w:uiPriority w:val="99"/>
    <w:semiHidden/>
    <w:unhideWhenUsed/>
    <w:rsid w:val="002C1D90"/>
    <w:rPr>
      <w:color w:val="605E5C"/>
      <w:shd w:val="clear" w:color="auto" w:fill="E1DFDD"/>
    </w:rPr>
  </w:style>
  <w:style w:type="table" w:customStyle="1" w:styleId="LightShading-Accent335">
    <w:name w:val="Light Shading - Accent 335"/>
    <w:basedOn w:val="TableNormal"/>
    <w:next w:val="LightShading-Accent3"/>
    <w:uiPriority w:val="60"/>
    <w:rsid w:val="009877E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
    <w:name w:val="No List1"/>
    <w:next w:val="NoList"/>
    <w:uiPriority w:val="99"/>
    <w:semiHidden/>
    <w:unhideWhenUsed/>
    <w:rsid w:val="00BA4876"/>
  </w:style>
  <w:style w:type="table" w:customStyle="1" w:styleId="TableGrid1">
    <w:name w:val="Table Grid1"/>
    <w:basedOn w:val="TableNormal"/>
    <w:next w:val="TableGrid"/>
    <w:uiPriority w:val="59"/>
    <w:rsid w:val="00BA48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0">
    <w:name w:val="Grid Table 5 Dark - Accent 51"/>
    <w:basedOn w:val="TableNormal"/>
    <w:next w:val="GridTable5Dark-Accent51"/>
    <w:uiPriority w:val="50"/>
    <w:rsid w:val="00BA487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
    <w:name w:val="Light Shading - Accent 3331"/>
    <w:basedOn w:val="TableNormal"/>
    <w:next w:val="LightShading-Accent3"/>
    <w:uiPriority w:val="60"/>
    <w:rsid w:val="00BA4876"/>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
    <w:name w:val="Light Shading - Accent 31"/>
    <w:basedOn w:val="TableNormal"/>
    <w:next w:val="LightShading-Accent3"/>
    <w:uiPriority w:val="60"/>
    <w:semiHidden/>
    <w:unhideWhenUsed/>
    <w:rsid w:val="00BA4876"/>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
    <w:name w:val="Table Grid21"/>
    <w:basedOn w:val="TableNormal"/>
    <w:next w:val="TableGrid"/>
    <w:uiPriority w:val="39"/>
    <w:rsid w:val="00BA4876"/>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
    <w:name w:val="Light Shading - Accent 12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
    <w:name w:val="Light Shading - Accent 12"/>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Spacing">
    <w:name w:val="No Spacing"/>
    <w:aliases w:val="Uvodna rečenica"/>
    <w:uiPriority w:val="1"/>
    <w:qFormat/>
    <w:rsid w:val="00BA4876"/>
    <w:pPr>
      <w:spacing w:after="0" w:line="240" w:lineRule="auto"/>
      <w:jc w:val="both"/>
    </w:pPr>
    <w:rPr>
      <w:b/>
      <w:color w:val="2F5496" w:themeColor="accent1" w:themeShade="BF"/>
      <w:sz w:val="20"/>
    </w:rPr>
  </w:style>
  <w:style w:type="table" w:customStyle="1" w:styleId="LightShading-Accent3351">
    <w:name w:val="Light Shading - Accent 3351"/>
    <w:basedOn w:val="TableNormal"/>
    <w:next w:val="LightShading-Accent3"/>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
    <w:name w:val="Light Shading - Accent 1221"/>
    <w:basedOn w:val="TableNormal"/>
    <w:uiPriority w:val="60"/>
    <w:rsid w:val="00BA4876"/>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rmalWeb">
    <w:name w:val="Normal (Web)"/>
    <w:basedOn w:val="Normal"/>
    <w:uiPriority w:val="99"/>
    <w:semiHidden/>
    <w:unhideWhenUsed/>
    <w:rsid w:val="00BA487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link w:val="ListParagraph"/>
    <w:uiPriority w:val="34"/>
    <w:locked/>
    <w:rsid w:val="00BA4876"/>
  </w:style>
  <w:style w:type="table" w:customStyle="1" w:styleId="LightShading-Accent1211">
    <w:name w:val="Light Shading - Accent 121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
    <w:name w:val="List Table 6 Colorful - Accent 61"/>
    <w:basedOn w:val="TableNormal"/>
    <w:uiPriority w:val="51"/>
    <w:rsid w:val="00BA4876"/>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Hyperlink2">
    <w:name w:val="Hyperlink2"/>
    <w:basedOn w:val="DefaultParagraphFont"/>
    <w:uiPriority w:val="99"/>
    <w:rsid w:val="00BA4876"/>
    <w:rPr>
      <w:color w:val="0563C1"/>
      <w:u w:val="single"/>
    </w:rPr>
  </w:style>
  <w:style w:type="table" w:customStyle="1" w:styleId="ListTable1Light-Accent61">
    <w:name w:val="List Table 1 Light - Accent 61"/>
    <w:basedOn w:val="TableNormal"/>
    <w:uiPriority w:val="46"/>
    <w:rsid w:val="00BA4876"/>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
    <w:name w:val="Light Shading - Accent 336"/>
    <w:basedOn w:val="TableNormal"/>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2">
    <w:name w:val="Unresolved Mention2"/>
    <w:basedOn w:val="DefaultParagraphFont"/>
    <w:uiPriority w:val="99"/>
    <w:semiHidden/>
    <w:unhideWhenUsed/>
    <w:rsid w:val="00BA4876"/>
    <w:rPr>
      <w:color w:val="605E5C"/>
      <w:shd w:val="clear" w:color="auto" w:fill="E1DFDD"/>
    </w:rPr>
  </w:style>
  <w:style w:type="table" w:customStyle="1" w:styleId="LightShading-Accent337">
    <w:name w:val="Light Shading - Accent 337"/>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
    <w:name w:val="Light Shading - Accent 338"/>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3">
    <w:name w:val="Unresolved Mention3"/>
    <w:basedOn w:val="DefaultParagraphFont"/>
    <w:uiPriority w:val="99"/>
    <w:semiHidden/>
    <w:unhideWhenUsed/>
    <w:rsid w:val="001E3C08"/>
    <w:rPr>
      <w:color w:val="605E5C"/>
      <w:shd w:val="clear" w:color="auto" w:fill="E1DFDD"/>
    </w:rPr>
  </w:style>
  <w:style w:type="table" w:customStyle="1" w:styleId="LightShading-Accent3371">
    <w:name w:val="Light Shading - Accent 337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
    <w:name w:val="No List2"/>
    <w:next w:val="NoList"/>
    <w:uiPriority w:val="99"/>
    <w:semiHidden/>
    <w:unhideWhenUsed/>
    <w:rsid w:val="005C34A0"/>
  </w:style>
  <w:style w:type="table" w:customStyle="1" w:styleId="TableGrid3">
    <w:name w:val="Table Grid3"/>
    <w:basedOn w:val="TableNormal"/>
    <w:next w:val="TableGrid"/>
    <w:uiPriority w:val="3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
    <w:name w:val="Grid Table 5 Dark - Accent 52"/>
    <w:basedOn w:val="TableNormal"/>
    <w:next w:val="GridTable5Dark-Accent51"/>
    <w:uiPriority w:val="50"/>
    <w:rsid w:val="005C34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
    <w:name w:val="Light Shading - Accent 3332"/>
    <w:basedOn w:val="TableNormal"/>
    <w:next w:val="LightShading-Accent3"/>
    <w:uiPriority w:val="60"/>
    <w:rsid w:val="005C34A0"/>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
    <w:name w:val="Light Shading - Accent 32"/>
    <w:basedOn w:val="TableNormal"/>
    <w:next w:val="LightShading-Accent3"/>
    <w:uiPriority w:val="60"/>
    <w:semiHidden/>
    <w:unhideWhenUsed/>
    <w:rsid w:val="005C34A0"/>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
    <w:name w:val="Table Grid22"/>
    <w:basedOn w:val="TableNormal"/>
    <w:next w:val="TableGrid"/>
    <w:uiPriority w:val="39"/>
    <w:rsid w:val="005C34A0"/>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
    <w:name w:val="Light Shading - Accent 3352"/>
    <w:basedOn w:val="TableNormal"/>
    <w:next w:val="LightShading-Accent3"/>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
    <w:name w:val="No List11"/>
    <w:next w:val="NoList"/>
    <w:uiPriority w:val="99"/>
    <w:semiHidden/>
    <w:unhideWhenUsed/>
    <w:rsid w:val="005C34A0"/>
  </w:style>
  <w:style w:type="table" w:customStyle="1" w:styleId="TableGrid11">
    <w:name w:val="Table Grid11"/>
    <w:basedOn w:val="TableNormal"/>
    <w:next w:val="TableGrid"/>
    <w:uiPriority w:val="5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
    <w:name w:val="Grid Table 5 Dark - Accent 511"/>
    <w:basedOn w:val="TableNormal"/>
    <w:next w:val="GridTable5Dark-Accent51"/>
    <w:uiPriority w:val="50"/>
    <w:rsid w:val="005C34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
    <w:name w:val="Light Shading - Accent 33311"/>
    <w:basedOn w:val="TableNormal"/>
    <w:next w:val="LightShading-Accent3"/>
    <w:uiPriority w:val="60"/>
    <w:rsid w:val="005C34A0"/>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
    <w:name w:val="Light Shading - Accent 311"/>
    <w:basedOn w:val="TableNormal"/>
    <w:next w:val="LightShading-Accent3"/>
    <w:uiPriority w:val="60"/>
    <w:semiHidden/>
    <w:unhideWhenUsed/>
    <w:rsid w:val="005C34A0"/>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
    <w:name w:val="Table Grid211"/>
    <w:basedOn w:val="TableNormal"/>
    <w:next w:val="TableGrid"/>
    <w:uiPriority w:val="39"/>
    <w:rsid w:val="005C34A0"/>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
    <w:name w:val="Light Shading - Accent 1212"/>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
    <w:name w:val="Light Shading - Accent 122"/>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
    <w:name w:val="Light Shading - Accent 33511"/>
    <w:basedOn w:val="TableNormal"/>
    <w:next w:val="LightShading-Accent3"/>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
    <w:name w:val="Light Shading - Accent 12211"/>
    <w:basedOn w:val="TableNormal"/>
    <w:uiPriority w:val="60"/>
    <w:rsid w:val="005C34A0"/>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
    <w:name w:val="Light Shading - Accent 12111"/>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0">
    <w:name w:val="List Table 6 Colorful - Accent 61"/>
    <w:basedOn w:val="TableNormal"/>
    <w:next w:val="ListTable6Colorful-Accent61"/>
    <w:uiPriority w:val="51"/>
    <w:rsid w:val="005C34A0"/>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
    <w:name w:val="List Table 1 Light - Accent 611"/>
    <w:basedOn w:val="TableNormal"/>
    <w:uiPriority w:val="46"/>
    <w:rsid w:val="005C34A0"/>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
    <w:name w:val="Light Shading - Accent 336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
    <w:name w:val="Light Shading - Accent 3372"/>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
    <w:name w:val="Light Shading - Accent 338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
    <w:name w:val="Table Grid4"/>
    <w:basedOn w:val="TableNormal"/>
    <w:next w:val="TableGrid"/>
    <w:uiPriority w:val="3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6873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6873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51301A"/>
    <w:rPr>
      <w:b/>
      <w:bCs/>
    </w:rPr>
  </w:style>
  <w:style w:type="table" w:customStyle="1" w:styleId="PlainTable41">
    <w:name w:val="Plain Table 41"/>
    <w:basedOn w:val="TableNormal"/>
    <w:uiPriority w:val="44"/>
    <w:rsid w:val="001901F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5Dark-Accent5">
    <w:name w:val="Grid Table 5 Dark Accent 5"/>
    <w:basedOn w:val="TableNormal"/>
    <w:uiPriority w:val="50"/>
    <w:rsid w:val="00C2610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ListTable6Colorful-Accent6">
    <w:name w:val="List Table 6 Colorful Accent 6"/>
    <w:basedOn w:val="TableNormal"/>
    <w:uiPriority w:val="51"/>
    <w:rsid w:val="00C2610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jlqj4b">
    <w:name w:val="jlqj4b"/>
    <w:basedOn w:val="DefaultParagraphFont"/>
    <w:rsid w:val="007A529E"/>
  </w:style>
  <w:style w:type="table" w:styleId="ListTable1Light-Accent3">
    <w:name w:val="List Table 1 Light Accent 3"/>
    <w:basedOn w:val="TableNormal"/>
    <w:uiPriority w:val="46"/>
    <w:rsid w:val="006E4FB8"/>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
    <w:name w:val="Plain Table 411"/>
    <w:basedOn w:val="TableNormal"/>
    <w:uiPriority w:val="44"/>
    <w:rsid w:val="00BB2F03"/>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6Colorful-Accent1">
    <w:name w:val="Grid Table 6 Colorful Accent 1"/>
    <w:basedOn w:val="TableNormal"/>
    <w:uiPriority w:val="51"/>
    <w:rsid w:val="00BB2F03"/>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
    <w:name w:val="Light Shading - Accent 3382"/>
    <w:basedOn w:val="TableNormal"/>
    <w:uiPriority w:val="60"/>
    <w:rsid w:val="00BB2F03"/>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
    <w:name w:val="Light Shading - Accent 12121"/>
    <w:basedOn w:val="TableNormal"/>
    <w:uiPriority w:val="60"/>
    <w:rsid w:val="00BB2F03"/>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
    <w:name w:val="Light Shading - Accent 1222"/>
    <w:basedOn w:val="TableNormal"/>
    <w:uiPriority w:val="60"/>
    <w:rsid w:val="00BB2F03"/>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
    <w:name w:val="Table Grid61"/>
    <w:basedOn w:val="TableNormal"/>
    <w:next w:val="TableGrid"/>
    <w:uiPriority w:val="39"/>
    <w:rsid w:val="00BB2F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
    <w:name w:val="Table Grid62"/>
    <w:basedOn w:val="TableNormal"/>
    <w:next w:val="TableGrid"/>
    <w:uiPriority w:val="39"/>
    <w:rsid w:val="00BB2F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
    <w:name w:val="Grid Table 5 Dark - Accent 512"/>
    <w:basedOn w:val="TableNormal"/>
    <w:next w:val="GridTable5Dark-Accent510"/>
    <w:uiPriority w:val="50"/>
    <w:rsid w:val="00E124C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
    <w:name w:val="List Table 6 Colorful - Accent 611"/>
    <w:basedOn w:val="TableNormal"/>
    <w:next w:val="ListTable6Colorful-Accent610"/>
    <w:uiPriority w:val="51"/>
    <w:rsid w:val="00E124CF"/>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593E7B"/>
    <w:rPr>
      <w:color w:val="954F72" w:themeColor="followedHyperlink"/>
      <w:u w:val="single"/>
    </w:rPr>
  </w:style>
  <w:style w:type="paragraph" w:customStyle="1" w:styleId="NumPar1">
    <w:name w:val="NumPar 1"/>
    <w:basedOn w:val="Normal"/>
    <w:next w:val="Normal"/>
    <w:link w:val="FootnoteReference"/>
    <w:uiPriority w:val="99"/>
    <w:rsid w:val="00593E7B"/>
    <w:pPr>
      <w:numPr>
        <w:numId w:val="18"/>
      </w:numPr>
      <w:spacing w:before="120" w:after="120" w:line="240" w:lineRule="auto"/>
    </w:pPr>
    <w:rPr>
      <w:color w:val="auto"/>
      <w:sz w:val="22"/>
      <w:vertAlign w:val="superscript"/>
    </w:rPr>
  </w:style>
  <w:style w:type="paragraph" w:customStyle="1" w:styleId="NumPar2">
    <w:name w:val="NumPar 2"/>
    <w:basedOn w:val="Normal"/>
    <w:next w:val="Normal"/>
    <w:rsid w:val="00593E7B"/>
    <w:pPr>
      <w:numPr>
        <w:ilvl w:val="1"/>
        <w:numId w:val="18"/>
      </w:numPr>
      <w:spacing w:before="120" w:after="120" w:line="240" w:lineRule="auto"/>
    </w:pPr>
    <w:rPr>
      <w:rFonts w:ascii="Tunga" w:eastAsia="Arial Unicode MS" w:hAnsi="Tunga" w:cs="Tunga"/>
      <w:snapToGrid w:val="0"/>
      <w:color w:val="auto"/>
      <w:szCs w:val="20"/>
    </w:rPr>
  </w:style>
  <w:style w:type="paragraph" w:customStyle="1" w:styleId="NumPar3">
    <w:name w:val="NumPar 3"/>
    <w:basedOn w:val="Normal"/>
    <w:next w:val="Normal"/>
    <w:rsid w:val="00593E7B"/>
    <w:pPr>
      <w:numPr>
        <w:ilvl w:val="2"/>
        <w:numId w:val="18"/>
      </w:numPr>
      <w:spacing w:before="120" w:after="120" w:line="240" w:lineRule="auto"/>
    </w:pPr>
    <w:rPr>
      <w:rFonts w:ascii="Tunga" w:eastAsia="Arial Unicode MS" w:hAnsi="Tunga" w:cs="Tunga"/>
      <w:snapToGrid w:val="0"/>
      <w:color w:val="auto"/>
      <w:szCs w:val="20"/>
    </w:rPr>
  </w:style>
  <w:style w:type="paragraph" w:customStyle="1" w:styleId="NumPar4">
    <w:name w:val="NumPar 4"/>
    <w:basedOn w:val="Normal"/>
    <w:next w:val="Normal"/>
    <w:rsid w:val="00593E7B"/>
    <w:pPr>
      <w:numPr>
        <w:ilvl w:val="3"/>
        <w:numId w:val="18"/>
      </w:numPr>
      <w:spacing w:before="120" w:after="120" w:line="240" w:lineRule="auto"/>
    </w:pPr>
    <w:rPr>
      <w:rFonts w:ascii="Tunga" w:eastAsia="Arial Unicode MS" w:hAnsi="Tunga" w:cs="Tunga"/>
      <w:snapToGrid w:val="0"/>
      <w:color w:val="auto"/>
      <w:szCs w:val="20"/>
    </w:rPr>
  </w:style>
  <w:style w:type="paragraph" w:styleId="Revision">
    <w:name w:val="Revision"/>
    <w:hidden/>
    <w:uiPriority w:val="99"/>
    <w:semiHidden/>
    <w:rsid w:val="009377F8"/>
    <w:pPr>
      <w:spacing w:after="0" w:line="240" w:lineRule="auto"/>
    </w:pPr>
    <w:rPr>
      <w:color w:val="44546A" w:themeColor="text2"/>
      <w:sz w:val="20"/>
    </w:rPr>
  </w:style>
  <w:style w:type="character" w:customStyle="1" w:styleId="rynqvb">
    <w:name w:val="rynqvb"/>
    <w:basedOn w:val="DefaultParagraphFont"/>
    <w:rsid w:val="00907B95"/>
  </w:style>
  <w:style w:type="character" w:customStyle="1" w:styleId="hwtze">
    <w:name w:val="hwtze"/>
    <w:basedOn w:val="DefaultParagraphFont"/>
    <w:rsid w:val="00907B95"/>
  </w:style>
  <w:style w:type="table" w:customStyle="1" w:styleId="TableGrid621">
    <w:name w:val="Table Grid621"/>
    <w:basedOn w:val="TableNormal"/>
    <w:next w:val="TableGrid"/>
    <w:uiPriority w:val="39"/>
    <w:rsid w:val="000724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62937">
      <w:bodyDiv w:val="1"/>
      <w:marLeft w:val="0"/>
      <w:marRight w:val="0"/>
      <w:marTop w:val="0"/>
      <w:marBottom w:val="0"/>
      <w:divBdr>
        <w:top w:val="none" w:sz="0" w:space="0" w:color="auto"/>
        <w:left w:val="none" w:sz="0" w:space="0" w:color="auto"/>
        <w:bottom w:val="none" w:sz="0" w:space="0" w:color="auto"/>
        <w:right w:val="none" w:sz="0" w:space="0" w:color="auto"/>
      </w:divBdr>
    </w:div>
    <w:div w:id="224491268">
      <w:bodyDiv w:val="1"/>
      <w:marLeft w:val="0"/>
      <w:marRight w:val="0"/>
      <w:marTop w:val="0"/>
      <w:marBottom w:val="0"/>
      <w:divBdr>
        <w:top w:val="none" w:sz="0" w:space="0" w:color="auto"/>
        <w:left w:val="none" w:sz="0" w:space="0" w:color="auto"/>
        <w:bottom w:val="none" w:sz="0" w:space="0" w:color="auto"/>
        <w:right w:val="none" w:sz="0" w:space="0" w:color="auto"/>
      </w:divBdr>
    </w:div>
    <w:div w:id="327100904">
      <w:bodyDiv w:val="1"/>
      <w:marLeft w:val="0"/>
      <w:marRight w:val="0"/>
      <w:marTop w:val="0"/>
      <w:marBottom w:val="0"/>
      <w:divBdr>
        <w:top w:val="none" w:sz="0" w:space="0" w:color="auto"/>
        <w:left w:val="none" w:sz="0" w:space="0" w:color="auto"/>
        <w:bottom w:val="none" w:sz="0" w:space="0" w:color="auto"/>
        <w:right w:val="none" w:sz="0" w:space="0" w:color="auto"/>
      </w:divBdr>
    </w:div>
    <w:div w:id="405343483">
      <w:bodyDiv w:val="1"/>
      <w:marLeft w:val="0"/>
      <w:marRight w:val="0"/>
      <w:marTop w:val="0"/>
      <w:marBottom w:val="0"/>
      <w:divBdr>
        <w:top w:val="none" w:sz="0" w:space="0" w:color="auto"/>
        <w:left w:val="none" w:sz="0" w:space="0" w:color="auto"/>
        <w:bottom w:val="none" w:sz="0" w:space="0" w:color="auto"/>
        <w:right w:val="none" w:sz="0" w:space="0" w:color="auto"/>
      </w:divBdr>
    </w:div>
    <w:div w:id="496309330">
      <w:bodyDiv w:val="1"/>
      <w:marLeft w:val="0"/>
      <w:marRight w:val="0"/>
      <w:marTop w:val="0"/>
      <w:marBottom w:val="0"/>
      <w:divBdr>
        <w:top w:val="none" w:sz="0" w:space="0" w:color="auto"/>
        <w:left w:val="none" w:sz="0" w:space="0" w:color="auto"/>
        <w:bottom w:val="none" w:sz="0" w:space="0" w:color="auto"/>
        <w:right w:val="none" w:sz="0" w:space="0" w:color="auto"/>
      </w:divBdr>
    </w:div>
    <w:div w:id="496505828">
      <w:bodyDiv w:val="1"/>
      <w:marLeft w:val="0"/>
      <w:marRight w:val="0"/>
      <w:marTop w:val="0"/>
      <w:marBottom w:val="0"/>
      <w:divBdr>
        <w:top w:val="none" w:sz="0" w:space="0" w:color="auto"/>
        <w:left w:val="none" w:sz="0" w:space="0" w:color="auto"/>
        <w:bottom w:val="none" w:sz="0" w:space="0" w:color="auto"/>
        <w:right w:val="none" w:sz="0" w:space="0" w:color="auto"/>
      </w:divBdr>
    </w:div>
    <w:div w:id="707607753">
      <w:bodyDiv w:val="1"/>
      <w:marLeft w:val="0"/>
      <w:marRight w:val="0"/>
      <w:marTop w:val="0"/>
      <w:marBottom w:val="0"/>
      <w:divBdr>
        <w:top w:val="none" w:sz="0" w:space="0" w:color="auto"/>
        <w:left w:val="none" w:sz="0" w:space="0" w:color="auto"/>
        <w:bottom w:val="none" w:sz="0" w:space="0" w:color="auto"/>
        <w:right w:val="none" w:sz="0" w:space="0" w:color="auto"/>
      </w:divBdr>
    </w:div>
    <w:div w:id="758334793">
      <w:bodyDiv w:val="1"/>
      <w:marLeft w:val="0"/>
      <w:marRight w:val="0"/>
      <w:marTop w:val="0"/>
      <w:marBottom w:val="0"/>
      <w:divBdr>
        <w:top w:val="none" w:sz="0" w:space="0" w:color="auto"/>
        <w:left w:val="none" w:sz="0" w:space="0" w:color="auto"/>
        <w:bottom w:val="none" w:sz="0" w:space="0" w:color="auto"/>
        <w:right w:val="none" w:sz="0" w:space="0" w:color="auto"/>
      </w:divBdr>
    </w:div>
    <w:div w:id="815489490">
      <w:bodyDiv w:val="1"/>
      <w:marLeft w:val="0"/>
      <w:marRight w:val="0"/>
      <w:marTop w:val="0"/>
      <w:marBottom w:val="0"/>
      <w:divBdr>
        <w:top w:val="none" w:sz="0" w:space="0" w:color="auto"/>
        <w:left w:val="none" w:sz="0" w:space="0" w:color="auto"/>
        <w:bottom w:val="none" w:sz="0" w:space="0" w:color="auto"/>
        <w:right w:val="none" w:sz="0" w:space="0" w:color="auto"/>
      </w:divBdr>
    </w:div>
    <w:div w:id="988559316">
      <w:bodyDiv w:val="1"/>
      <w:marLeft w:val="0"/>
      <w:marRight w:val="0"/>
      <w:marTop w:val="0"/>
      <w:marBottom w:val="0"/>
      <w:divBdr>
        <w:top w:val="none" w:sz="0" w:space="0" w:color="auto"/>
        <w:left w:val="none" w:sz="0" w:space="0" w:color="auto"/>
        <w:bottom w:val="none" w:sz="0" w:space="0" w:color="auto"/>
        <w:right w:val="none" w:sz="0" w:space="0" w:color="auto"/>
      </w:divBdr>
    </w:div>
    <w:div w:id="1221474541">
      <w:bodyDiv w:val="1"/>
      <w:marLeft w:val="0"/>
      <w:marRight w:val="0"/>
      <w:marTop w:val="0"/>
      <w:marBottom w:val="0"/>
      <w:divBdr>
        <w:top w:val="none" w:sz="0" w:space="0" w:color="auto"/>
        <w:left w:val="none" w:sz="0" w:space="0" w:color="auto"/>
        <w:bottom w:val="none" w:sz="0" w:space="0" w:color="auto"/>
        <w:right w:val="none" w:sz="0" w:space="0" w:color="auto"/>
      </w:divBdr>
    </w:div>
    <w:div w:id="1241981220">
      <w:bodyDiv w:val="1"/>
      <w:marLeft w:val="0"/>
      <w:marRight w:val="0"/>
      <w:marTop w:val="0"/>
      <w:marBottom w:val="0"/>
      <w:divBdr>
        <w:top w:val="none" w:sz="0" w:space="0" w:color="auto"/>
        <w:left w:val="none" w:sz="0" w:space="0" w:color="auto"/>
        <w:bottom w:val="none" w:sz="0" w:space="0" w:color="auto"/>
        <w:right w:val="none" w:sz="0" w:space="0" w:color="auto"/>
      </w:divBdr>
    </w:div>
    <w:div w:id="1285890058">
      <w:bodyDiv w:val="1"/>
      <w:marLeft w:val="0"/>
      <w:marRight w:val="0"/>
      <w:marTop w:val="0"/>
      <w:marBottom w:val="0"/>
      <w:divBdr>
        <w:top w:val="none" w:sz="0" w:space="0" w:color="auto"/>
        <w:left w:val="none" w:sz="0" w:space="0" w:color="auto"/>
        <w:bottom w:val="none" w:sz="0" w:space="0" w:color="auto"/>
        <w:right w:val="none" w:sz="0" w:space="0" w:color="auto"/>
      </w:divBdr>
    </w:div>
    <w:div w:id="1442995780">
      <w:bodyDiv w:val="1"/>
      <w:marLeft w:val="0"/>
      <w:marRight w:val="0"/>
      <w:marTop w:val="0"/>
      <w:marBottom w:val="0"/>
      <w:divBdr>
        <w:top w:val="none" w:sz="0" w:space="0" w:color="auto"/>
        <w:left w:val="none" w:sz="0" w:space="0" w:color="auto"/>
        <w:bottom w:val="none" w:sz="0" w:space="0" w:color="auto"/>
        <w:right w:val="none" w:sz="0" w:space="0" w:color="auto"/>
      </w:divBdr>
    </w:div>
    <w:div w:id="1579943587">
      <w:bodyDiv w:val="1"/>
      <w:marLeft w:val="0"/>
      <w:marRight w:val="0"/>
      <w:marTop w:val="0"/>
      <w:marBottom w:val="0"/>
      <w:divBdr>
        <w:top w:val="none" w:sz="0" w:space="0" w:color="auto"/>
        <w:left w:val="none" w:sz="0" w:space="0" w:color="auto"/>
        <w:bottom w:val="none" w:sz="0" w:space="0" w:color="auto"/>
        <w:right w:val="none" w:sz="0" w:space="0" w:color="auto"/>
      </w:divBdr>
    </w:div>
    <w:div w:id="1613324982">
      <w:bodyDiv w:val="1"/>
      <w:marLeft w:val="0"/>
      <w:marRight w:val="0"/>
      <w:marTop w:val="0"/>
      <w:marBottom w:val="0"/>
      <w:divBdr>
        <w:top w:val="none" w:sz="0" w:space="0" w:color="auto"/>
        <w:left w:val="none" w:sz="0" w:space="0" w:color="auto"/>
        <w:bottom w:val="none" w:sz="0" w:space="0" w:color="auto"/>
        <w:right w:val="none" w:sz="0" w:space="0" w:color="auto"/>
      </w:divBdr>
    </w:div>
    <w:div w:id="1678337853">
      <w:bodyDiv w:val="1"/>
      <w:marLeft w:val="0"/>
      <w:marRight w:val="0"/>
      <w:marTop w:val="0"/>
      <w:marBottom w:val="0"/>
      <w:divBdr>
        <w:top w:val="none" w:sz="0" w:space="0" w:color="auto"/>
        <w:left w:val="none" w:sz="0" w:space="0" w:color="auto"/>
        <w:bottom w:val="none" w:sz="0" w:space="0" w:color="auto"/>
        <w:right w:val="none" w:sz="0" w:space="0" w:color="auto"/>
      </w:divBdr>
    </w:div>
    <w:div w:id="1697268533">
      <w:bodyDiv w:val="1"/>
      <w:marLeft w:val="0"/>
      <w:marRight w:val="0"/>
      <w:marTop w:val="0"/>
      <w:marBottom w:val="0"/>
      <w:divBdr>
        <w:top w:val="none" w:sz="0" w:space="0" w:color="auto"/>
        <w:left w:val="none" w:sz="0" w:space="0" w:color="auto"/>
        <w:bottom w:val="none" w:sz="0" w:space="0" w:color="auto"/>
        <w:right w:val="none" w:sz="0" w:space="0" w:color="auto"/>
      </w:divBdr>
    </w:div>
    <w:div w:id="1741367302">
      <w:bodyDiv w:val="1"/>
      <w:marLeft w:val="0"/>
      <w:marRight w:val="0"/>
      <w:marTop w:val="0"/>
      <w:marBottom w:val="0"/>
      <w:divBdr>
        <w:top w:val="none" w:sz="0" w:space="0" w:color="auto"/>
        <w:left w:val="none" w:sz="0" w:space="0" w:color="auto"/>
        <w:bottom w:val="none" w:sz="0" w:space="0" w:color="auto"/>
        <w:right w:val="none" w:sz="0" w:space="0" w:color="auto"/>
      </w:divBdr>
    </w:div>
    <w:div w:id="1750691447">
      <w:bodyDiv w:val="1"/>
      <w:marLeft w:val="0"/>
      <w:marRight w:val="0"/>
      <w:marTop w:val="0"/>
      <w:marBottom w:val="0"/>
      <w:divBdr>
        <w:top w:val="none" w:sz="0" w:space="0" w:color="auto"/>
        <w:left w:val="none" w:sz="0" w:space="0" w:color="auto"/>
        <w:bottom w:val="none" w:sz="0" w:space="0" w:color="auto"/>
        <w:right w:val="none" w:sz="0" w:space="0" w:color="auto"/>
      </w:divBdr>
    </w:div>
    <w:div w:id="1825513892">
      <w:bodyDiv w:val="1"/>
      <w:marLeft w:val="0"/>
      <w:marRight w:val="0"/>
      <w:marTop w:val="0"/>
      <w:marBottom w:val="0"/>
      <w:divBdr>
        <w:top w:val="none" w:sz="0" w:space="0" w:color="auto"/>
        <w:left w:val="none" w:sz="0" w:space="0" w:color="auto"/>
        <w:bottom w:val="none" w:sz="0" w:space="0" w:color="auto"/>
        <w:right w:val="none" w:sz="0" w:space="0" w:color="auto"/>
      </w:divBdr>
    </w:div>
    <w:div w:id="1980568835">
      <w:bodyDiv w:val="1"/>
      <w:marLeft w:val="0"/>
      <w:marRight w:val="0"/>
      <w:marTop w:val="0"/>
      <w:marBottom w:val="0"/>
      <w:divBdr>
        <w:top w:val="none" w:sz="0" w:space="0" w:color="auto"/>
        <w:left w:val="none" w:sz="0" w:space="0" w:color="auto"/>
        <w:bottom w:val="none" w:sz="0" w:space="0" w:color="auto"/>
        <w:right w:val="none" w:sz="0" w:space="0" w:color="auto"/>
      </w:divBdr>
    </w:div>
    <w:div w:id="2078817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24.xml"/><Relationship Id="rId21" Type="http://schemas.openxmlformats.org/officeDocument/2006/relationships/chart" Target="charts/chart2.xml"/><Relationship Id="rId42" Type="http://schemas.openxmlformats.org/officeDocument/2006/relationships/chart" Target="charts/chart12.xml"/><Relationship Id="rId63" Type="http://schemas.openxmlformats.org/officeDocument/2006/relationships/chart" Target="charts/chart32.xml"/><Relationship Id="rId84" Type="http://schemas.openxmlformats.org/officeDocument/2006/relationships/header" Target="header11.xml"/><Relationship Id="rId138" Type="http://schemas.openxmlformats.org/officeDocument/2006/relationships/header" Target="header34.xml"/><Relationship Id="rId159" Type="http://schemas.openxmlformats.org/officeDocument/2006/relationships/header" Target="header44.xml"/><Relationship Id="rId170" Type="http://schemas.openxmlformats.org/officeDocument/2006/relationships/chart" Target="charts/chart67.xml"/><Relationship Id="rId191" Type="http://schemas.openxmlformats.org/officeDocument/2006/relationships/header" Target="header55.xml"/><Relationship Id="rId205" Type="http://schemas.openxmlformats.org/officeDocument/2006/relationships/image" Target="media/image11.jpeg"/><Relationship Id="rId226" Type="http://schemas.openxmlformats.org/officeDocument/2006/relationships/theme" Target="theme/theme1.xml"/><Relationship Id="rId107" Type="http://schemas.openxmlformats.org/officeDocument/2006/relationships/footer" Target="footer19.xml"/><Relationship Id="rId11" Type="http://schemas.openxmlformats.org/officeDocument/2006/relationships/footer" Target="footer2.xml"/><Relationship Id="rId32" Type="http://schemas.openxmlformats.org/officeDocument/2006/relationships/footer" Target="footer9.xml"/><Relationship Id="rId53" Type="http://schemas.openxmlformats.org/officeDocument/2006/relationships/chart" Target="charts/chart22.xml"/><Relationship Id="rId74" Type="http://schemas.openxmlformats.org/officeDocument/2006/relationships/chart" Target="charts/chart42.xml"/><Relationship Id="rId128" Type="http://schemas.openxmlformats.org/officeDocument/2006/relationships/footer" Target="footer27.xml"/><Relationship Id="rId149" Type="http://schemas.openxmlformats.org/officeDocument/2006/relationships/header" Target="header38.xml"/><Relationship Id="rId5" Type="http://schemas.openxmlformats.org/officeDocument/2006/relationships/webSettings" Target="webSettings.xml"/><Relationship Id="rId95" Type="http://schemas.openxmlformats.org/officeDocument/2006/relationships/header" Target="header12.xml"/><Relationship Id="rId160" Type="http://schemas.openxmlformats.org/officeDocument/2006/relationships/footer" Target="footer40.xml"/><Relationship Id="rId181" Type="http://schemas.openxmlformats.org/officeDocument/2006/relationships/footer" Target="footer46.xml"/><Relationship Id="rId216" Type="http://schemas.openxmlformats.org/officeDocument/2006/relationships/chart" Target="charts/chart81.xml"/><Relationship Id="rId22" Type="http://schemas.openxmlformats.org/officeDocument/2006/relationships/image" Target="media/image1.png"/><Relationship Id="rId43" Type="http://schemas.openxmlformats.org/officeDocument/2006/relationships/chart" Target="charts/chart13.xml"/><Relationship Id="rId64" Type="http://schemas.openxmlformats.org/officeDocument/2006/relationships/chart" Target="charts/chart33.xml"/><Relationship Id="rId118" Type="http://schemas.openxmlformats.org/officeDocument/2006/relationships/footer" Target="footer22.xml"/><Relationship Id="rId139" Type="http://schemas.openxmlformats.org/officeDocument/2006/relationships/footer" Target="footer30.xml"/><Relationship Id="rId85" Type="http://schemas.openxmlformats.org/officeDocument/2006/relationships/footer" Target="footer13.xml"/><Relationship Id="rId150" Type="http://schemas.openxmlformats.org/officeDocument/2006/relationships/header" Target="header39.xml"/><Relationship Id="rId171" Type="http://schemas.openxmlformats.org/officeDocument/2006/relationships/chart" Target="charts/chart68.xml"/><Relationship Id="rId192" Type="http://schemas.openxmlformats.org/officeDocument/2006/relationships/header" Target="header56.xml"/><Relationship Id="rId206" Type="http://schemas.openxmlformats.org/officeDocument/2006/relationships/image" Target="media/image12.jpeg"/><Relationship Id="rId12" Type="http://schemas.openxmlformats.org/officeDocument/2006/relationships/header" Target="header3.xml"/><Relationship Id="rId33" Type="http://schemas.openxmlformats.org/officeDocument/2006/relationships/header" Target="header8.xml"/><Relationship Id="rId108" Type="http://schemas.openxmlformats.org/officeDocument/2006/relationships/header" Target="header19.xml"/><Relationship Id="rId129" Type="http://schemas.openxmlformats.org/officeDocument/2006/relationships/header" Target="header30.xml"/><Relationship Id="rId54" Type="http://schemas.openxmlformats.org/officeDocument/2006/relationships/chart" Target="charts/chart23.xml"/><Relationship Id="rId75" Type="http://schemas.openxmlformats.org/officeDocument/2006/relationships/header" Target="header10.xml"/><Relationship Id="rId96" Type="http://schemas.openxmlformats.org/officeDocument/2006/relationships/header" Target="header13.xml"/><Relationship Id="rId140" Type="http://schemas.openxmlformats.org/officeDocument/2006/relationships/footer" Target="footer31.xml"/><Relationship Id="rId161" Type="http://schemas.openxmlformats.org/officeDocument/2006/relationships/footer" Target="footer41.xml"/><Relationship Id="rId182" Type="http://schemas.openxmlformats.org/officeDocument/2006/relationships/footer" Target="footer47.xml"/><Relationship Id="rId217" Type="http://schemas.openxmlformats.org/officeDocument/2006/relationships/image" Target="media/image15.emf"/><Relationship Id="rId6" Type="http://schemas.openxmlformats.org/officeDocument/2006/relationships/footnotes" Target="footnotes.xml"/><Relationship Id="rId23" Type="http://schemas.openxmlformats.org/officeDocument/2006/relationships/chart" Target="charts/chart3.xml"/><Relationship Id="rId119" Type="http://schemas.openxmlformats.org/officeDocument/2006/relationships/footer" Target="footer23.xml"/><Relationship Id="rId44" Type="http://schemas.openxmlformats.org/officeDocument/2006/relationships/chart" Target="charts/chart14.xml"/><Relationship Id="rId65" Type="http://schemas.openxmlformats.org/officeDocument/2006/relationships/image" Target="media/image4.png"/><Relationship Id="rId86" Type="http://schemas.openxmlformats.org/officeDocument/2006/relationships/chart" Target="charts/chart50.xml"/><Relationship Id="rId130" Type="http://schemas.openxmlformats.org/officeDocument/2006/relationships/chart" Target="charts/chart60.xml"/><Relationship Id="rId151" Type="http://schemas.openxmlformats.org/officeDocument/2006/relationships/footer" Target="footer36.xml"/><Relationship Id="rId172" Type="http://schemas.openxmlformats.org/officeDocument/2006/relationships/header" Target="header48.xml"/><Relationship Id="rId193" Type="http://schemas.openxmlformats.org/officeDocument/2006/relationships/footer" Target="footer50.xml"/><Relationship Id="rId207" Type="http://schemas.openxmlformats.org/officeDocument/2006/relationships/image" Target="media/image13.jpeg"/><Relationship Id="rId13" Type="http://schemas.openxmlformats.org/officeDocument/2006/relationships/footer" Target="footer3.xml"/><Relationship Id="rId109" Type="http://schemas.openxmlformats.org/officeDocument/2006/relationships/header" Target="header20.xml"/><Relationship Id="rId34" Type="http://schemas.openxmlformats.org/officeDocument/2006/relationships/footer" Target="footer10.xml"/><Relationship Id="rId55" Type="http://schemas.openxmlformats.org/officeDocument/2006/relationships/chart" Target="charts/chart24.xml"/><Relationship Id="rId76" Type="http://schemas.openxmlformats.org/officeDocument/2006/relationships/footer" Target="footer12.xml"/><Relationship Id="rId97" Type="http://schemas.openxmlformats.org/officeDocument/2006/relationships/footer" Target="footer14.xml"/><Relationship Id="rId120" Type="http://schemas.openxmlformats.org/officeDocument/2006/relationships/header" Target="header25.xml"/><Relationship Id="rId141" Type="http://schemas.openxmlformats.org/officeDocument/2006/relationships/header" Target="header35.xml"/><Relationship Id="rId7" Type="http://schemas.openxmlformats.org/officeDocument/2006/relationships/endnotes" Target="endnotes.xml"/><Relationship Id="rId162" Type="http://schemas.openxmlformats.org/officeDocument/2006/relationships/header" Target="header45.xml"/><Relationship Id="rId183" Type="http://schemas.openxmlformats.org/officeDocument/2006/relationships/header" Target="header52.xml"/><Relationship Id="rId218" Type="http://schemas.openxmlformats.org/officeDocument/2006/relationships/image" Target="media/image16.emf"/><Relationship Id="rId24" Type="http://schemas.openxmlformats.org/officeDocument/2006/relationships/chart" Target="charts/chart4.xml"/><Relationship Id="rId45" Type="http://schemas.openxmlformats.org/officeDocument/2006/relationships/chart" Target="charts/chart15.xml"/><Relationship Id="rId66" Type="http://schemas.openxmlformats.org/officeDocument/2006/relationships/chart" Target="charts/chart34.xml"/><Relationship Id="rId87" Type="http://schemas.openxmlformats.org/officeDocument/2006/relationships/chart" Target="charts/chart51.xml"/><Relationship Id="rId110" Type="http://schemas.openxmlformats.org/officeDocument/2006/relationships/header" Target="header21.xml"/><Relationship Id="rId131" Type="http://schemas.openxmlformats.org/officeDocument/2006/relationships/chart" Target="charts/chart61.xml"/><Relationship Id="rId152" Type="http://schemas.openxmlformats.org/officeDocument/2006/relationships/header" Target="header40.xml"/><Relationship Id="rId173" Type="http://schemas.openxmlformats.org/officeDocument/2006/relationships/footer" Target="footer44.xml"/><Relationship Id="rId194" Type="http://schemas.openxmlformats.org/officeDocument/2006/relationships/footer" Target="footer51.xml"/><Relationship Id="rId208" Type="http://schemas.openxmlformats.org/officeDocument/2006/relationships/image" Target="media/image14.jpeg"/><Relationship Id="rId14" Type="http://schemas.openxmlformats.org/officeDocument/2006/relationships/image" Target="media/image1.gif"/><Relationship Id="rId35" Type="http://schemas.openxmlformats.org/officeDocument/2006/relationships/header" Target="header9.xml"/><Relationship Id="rId56" Type="http://schemas.openxmlformats.org/officeDocument/2006/relationships/chart" Target="charts/chart25.xml"/><Relationship Id="rId77" Type="http://schemas.openxmlformats.org/officeDocument/2006/relationships/chart" Target="charts/chart43.xml"/><Relationship Id="rId100" Type="http://schemas.openxmlformats.org/officeDocument/2006/relationships/header" Target="header15.xml"/><Relationship Id="rId8" Type="http://schemas.openxmlformats.org/officeDocument/2006/relationships/header" Target="header1.xml"/><Relationship Id="rId98" Type="http://schemas.openxmlformats.org/officeDocument/2006/relationships/footer" Target="footer15.xml"/><Relationship Id="rId121" Type="http://schemas.openxmlformats.org/officeDocument/2006/relationships/header" Target="header26.xml"/><Relationship Id="rId142" Type="http://schemas.openxmlformats.org/officeDocument/2006/relationships/header" Target="header36.xml"/><Relationship Id="rId163" Type="http://schemas.openxmlformats.org/officeDocument/2006/relationships/chart" Target="charts/chart64.xml"/><Relationship Id="rId184" Type="http://schemas.openxmlformats.org/officeDocument/2006/relationships/header" Target="header53.xml"/><Relationship Id="rId219" Type="http://schemas.openxmlformats.org/officeDocument/2006/relationships/header" Target="header60.xml"/><Relationship Id="rId3" Type="http://schemas.openxmlformats.org/officeDocument/2006/relationships/styles" Target="styles.xml"/><Relationship Id="rId214" Type="http://schemas.openxmlformats.org/officeDocument/2006/relationships/chart" Target="charts/chart79.xml"/><Relationship Id="rId25" Type="http://schemas.openxmlformats.org/officeDocument/2006/relationships/chart" Target="charts/chart5.xml"/><Relationship Id="rId46" Type="http://schemas.openxmlformats.org/officeDocument/2006/relationships/chart" Target="charts/chart16.xml"/><Relationship Id="rId67" Type="http://schemas.openxmlformats.org/officeDocument/2006/relationships/chart" Target="charts/chart35.xml"/><Relationship Id="rId116" Type="http://schemas.openxmlformats.org/officeDocument/2006/relationships/header" Target="header23.xml"/><Relationship Id="rId137" Type="http://schemas.openxmlformats.org/officeDocument/2006/relationships/header" Target="header33.xml"/><Relationship Id="rId158" Type="http://schemas.openxmlformats.org/officeDocument/2006/relationships/header" Target="header43.xml"/><Relationship Id="rId20" Type="http://schemas.openxmlformats.org/officeDocument/2006/relationships/chart" Target="charts/chart1.xml"/><Relationship Id="rId41" Type="http://schemas.openxmlformats.org/officeDocument/2006/relationships/chart" Target="charts/chart11.xml"/><Relationship Id="rId62" Type="http://schemas.openxmlformats.org/officeDocument/2006/relationships/chart" Target="charts/chart31.xml"/><Relationship Id="rId83" Type="http://schemas.openxmlformats.org/officeDocument/2006/relationships/chart" Target="charts/chart49.xml"/><Relationship Id="rId88" Type="http://schemas.openxmlformats.org/officeDocument/2006/relationships/chart" Target="charts/chart52.xml"/><Relationship Id="rId111" Type="http://schemas.openxmlformats.org/officeDocument/2006/relationships/footer" Target="footer20.xml"/><Relationship Id="rId132" Type="http://schemas.openxmlformats.org/officeDocument/2006/relationships/chart" Target="charts/chart62.xml"/><Relationship Id="rId153" Type="http://schemas.openxmlformats.org/officeDocument/2006/relationships/footer" Target="footer37.xml"/><Relationship Id="rId174" Type="http://schemas.openxmlformats.org/officeDocument/2006/relationships/footer" Target="footer45.xml"/><Relationship Id="rId179" Type="http://schemas.openxmlformats.org/officeDocument/2006/relationships/header" Target="header50.xml"/><Relationship Id="rId195" Type="http://schemas.openxmlformats.org/officeDocument/2006/relationships/header" Target="header57.xml"/><Relationship Id="rId209" Type="http://schemas.openxmlformats.org/officeDocument/2006/relationships/header" Target="header58.xml"/><Relationship Id="rId190" Type="http://schemas.openxmlformats.org/officeDocument/2006/relationships/chart" Target="charts/chart74.xml"/><Relationship Id="rId204" Type="http://schemas.openxmlformats.org/officeDocument/2006/relationships/image" Target="media/image10.jpeg"/><Relationship Id="rId220" Type="http://schemas.openxmlformats.org/officeDocument/2006/relationships/header" Target="header61.xml"/><Relationship Id="rId225" Type="http://schemas.openxmlformats.org/officeDocument/2006/relationships/fontTable" Target="fontTable.xml"/><Relationship Id="rId15" Type="http://schemas.openxmlformats.org/officeDocument/2006/relationships/header" Target="header4.xml"/><Relationship Id="rId36" Type="http://schemas.openxmlformats.org/officeDocument/2006/relationships/footer" Target="footer11.xml"/><Relationship Id="rId57" Type="http://schemas.openxmlformats.org/officeDocument/2006/relationships/chart" Target="charts/chart26.xml"/><Relationship Id="rId106" Type="http://schemas.openxmlformats.org/officeDocument/2006/relationships/footer" Target="footer18.xml"/><Relationship Id="rId127" Type="http://schemas.openxmlformats.org/officeDocument/2006/relationships/footer" Target="footer26.xml"/><Relationship Id="rId10" Type="http://schemas.openxmlformats.org/officeDocument/2006/relationships/header" Target="header2.xml"/><Relationship Id="rId31" Type="http://schemas.openxmlformats.org/officeDocument/2006/relationships/footer" Target="footer8.xml"/><Relationship Id="rId52" Type="http://schemas.openxmlformats.org/officeDocument/2006/relationships/chart" Target="charts/chart21.xml"/><Relationship Id="rId73" Type="http://schemas.openxmlformats.org/officeDocument/2006/relationships/chart" Target="charts/chart41.xml"/><Relationship Id="rId78" Type="http://schemas.openxmlformats.org/officeDocument/2006/relationships/chart" Target="charts/chart44.xml"/><Relationship Id="rId94" Type="http://schemas.openxmlformats.org/officeDocument/2006/relationships/chart" Target="charts/chart58.xml"/><Relationship Id="rId99" Type="http://schemas.openxmlformats.org/officeDocument/2006/relationships/header" Target="header14.xml"/><Relationship Id="rId101" Type="http://schemas.openxmlformats.org/officeDocument/2006/relationships/header" Target="header16.xml"/><Relationship Id="rId122" Type="http://schemas.openxmlformats.org/officeDocument/2006/relationships/header" Target="header27.xml"/><Relationship Id="rId143" Type="http://schemas.openxmlformats.org/officeDocument/2006/relationships/footer" Target="footer32.xml"/><Relationship Id="rId148" Type="http://schemas.openxmlformats.org/officeDocument/2006/relationships/footer" Target="footer35.xml"/><Relationship Id="rId164" Type="http://schemas.openxmlformats.org/officeDocument/2006/relationships/chart" Target="charts/chart65.xml"/><Relationship Id="rId169" Type="http://schemas.openxmlformats.org/officeDocument/2006/relationships/chart" Target="charts/chart66.xml"/><Relationship Id="rId185" Type="http://schemas.openxmlformats.org/officeDocument/2006/relationships/footer" Target="footer48.xml"/><Relationship Id="rId4" Type="http://schemas.openxmlformats.org/officeDocument/2006/relationships/settings" Target="settings.xml"/><Relationship Id="rId9" Type="http://schemas.openxmlformats.org/officeDocument/2006/relationships/footer" Target="footer1.xml"/><Relationship Id="rId180" Type="http://schemas.openxmlformats.org/officeDocument/2006/relationships/header" Target="header51.xml"/><Relationship Id="rId210" Type="http://schemas.openxmlformats.org/officeDocument/2006/relationships/footer" Target="footer52.xml"/><Relationship Id="rId215" Type="http://schemas.openxmlformats.org/officeDocument/2006/relationships/chart" Target="charts/chart80.xml"/><Relationship Id="rId26" Type="http://schemas.openxmlformats.org/officeDocument/2006/relationships/image" Target="media/image2.png"/><Relationship Id="rId47" Type="http://schemas.openxmlformats.org/officeDocument/2006/relationships/chart" Target="charts/chart17.xml"/><Relationship Id="rId68" Type="http://schemas.openxmlformats.org/officeDocument/2006/relationships/chart" Target="charts/chart36.xml"/><Relationship Id="rId89" Type="http://schemas.openxmlformats.org/officeDocument/2006/relationships/chart" Target="charts/chart53.xml"/><Relationship Id="rId112" Type="http://schemas.openxmlformats.org/officeDocument/2006/relationships/footer" Target="footer21.xml"/><Relationship Id="rId133" Type="http://schemas.openxmlformats.org/officeDocument/2006/relationships/header" Target="header31.xml"/><Relationship Id="rId154" Type="http://schemas.openxmlformats.org/officeDocument/2006/relationships/header" Target="header41.xml"/><Relationship Id="rId175" Type="http://schemas.openxmlformats.org/officeDocument/2006/relationships/header" Target="header49.xml"/><Relationship Id="rId196" Type="http://schemas.openxmlformats.org/officeDocument/2006/relationships/chart" Target="charts/chart75.xml"/><Relationship Id="rId200" Type="http://schemas.openxmlformats.org/officeDocument/2006/relationships/chart" Target="charts/chart78.xml"/><Relationship Id="rId16" Type="http://schemas.openxmlformats.org/officeDocument/2006/relationships/header" Target="header5.xml"/><Relationship Id="rId221" Type="http://schemas.openxmlformats.org/officeDocument/2006/relationships/footer" Target="footer55.xml"/><Relationship Id="rId37" Type="http://schemas.openxmlformats.org/officeDocument/2006/relationships/chart" Target="charts/chart7.xml"/><Relationship Id="rId58" Type="http://schemas.openxmlformats.org/officeDocument/2006/relationships/chart" Target="charts/chart27.xml"/><Relationship Id="rId79" Type="http://schemas.openxmlformats.org/officeDocument/2006/relationships/chart" Target="charts/chart45.xml"/><Relationship Id="rId102" Type="http://schemas.openxmlformats.org/officeDocument/2006/relationships/footer" Target="footer16.xml"/><Relationship Id="rId123" Type="http://schemas.openxmlformats.org/officeDocument/2006/relationships/footer" Target="footer24.xml"/><Relationship Id="rId144" Type="http://schemas.openxmlformats.org/officeDocument/2006/relationships/footer" Target="footer33.xml"/><Relationship Id="rId90" Type="http://schemas.openxmlformats.org/officeDocument/2006/relationships/chart" Target="charts/chart54.xml"/><Relationship Id="rId165" Type="http://schemas.openxmlformats.org/officeDocument/2006/relationships/header" Target="header46.xml"/><Relationship Id="rId186" Type="http://schemas.openxmlformats.org/officeDocument/2006/relationships/footer" Target="footer49.xml"/><Relationship Id="rId211" Type="http://schemas.openxmlformats.org/officeDocument/2006/relationships/footer" Target="footer53.xml"/><Relationship Id="rId27" Type="http://schemas.openxmlformats.org/officeDocument/2006/relationships/chart" Target="charts/chart6.xml"/><Relationship Id="rId48" Type="http://schemas.openxmlformats.org/officeDocument/2006/relationships/chart" Target="charts/chart18.xml"/><Relationship Id="rId69" Type="http://schemas.openxmlformats.org/officeDocument/2006/relationships/chart" Target="charts/chart37.xml"/><Relationship Id="rId113" Type="http://schemas.openxmlformats.org/officeDocument/2006/relationships/header" Target="header22.xml"/><Relationship Id="rId134" Type="http://schemas.openxmlformats.org/officeDocument/2006/relationships/header" Target="header32.xml"/><Relationship Id="rId80" Type="http://schemas.openxmlformats.org/officeDocument/2006/relationships/chart" Target="charts/chart46.xml"/><Relationship Id="rId155" Type="http://schemas.openxmlformats.org/officeDocument/2006/relationships/footer" Target="footer38.xml"/><Relationship Id="rId176" Type="http://schemas.openxmlformats.org/officeDocument/2006/relationships/chart" Target="charts/chart69.xml"/><Relationship Id="rId197" Type="http://schemas.openxmlformats.org/officeDocument/2006/relationships/chart" Target="charts/chart76.xml"/><Relationship Id="rId201" Type="http://schemas.openxmlformats.org/officeDocument/2006/relationships/image" Target="media/image7.jpeg"/><Relationship Id="rId222" Type="http://schemas.openxmlformats.org/officeDocument/2006/relationships/footer" Target="footer56.xml"/><Relationship Id="rId17" Type="http://schemas.openxmlformats.org/officeDocument/2006/relationships/footer" Target="footer4.xml"/><Relationship Id="rId38" Type="http://schemas.openxmlformats.org/officeDocument/2006/relationships/chart" Target="charts/chart8.xml"/><Relationship Id="rId59" Type="http://schemas.openxmlformats.org/officeDocument/2006/relationships/chart" Target="charts/chart28.xml"/><Relationship Id="rId103" Type="http://schemas.openxmlformats.org/officeDocument/2006/relationships/footer" Target="footer17.xml"/><Relationship Id="rId124" Type="http://schemas.openxmlformats.org/officeDocument/2006/relationships/footer" Target="footer25.xml"/><Relationship Id="rId70" Type="http://schemas.openxmlformats.org/officeDocument/2006/relationships/chart" Target="charts/chart38.xml"/><Relationship Id="rId91" Type="http://schemas.openxmlformats.org/officeDocument/2006/relationships/chart" Target="charts/chart55.xml"/><Relationship Id="rId145" Type="http://schemas.openxmlformats.org/officeDocument/2006/relationships/header" Target="header37.xml"/><Relationship Id="rId166" Type="http://schemas.openxmlformats.org/officeDocument/2006/relationships/footer" Target="footer42.xml"/><Relationship Id="rId187" Type="http://schemas.openxmlformats.org/officeDocument/2006/relationships/header" Target="header54.xml"/><Relationship Id="rId1" Type="http://schemas.openxmlformats.org/officeDocument/2006/relationships/customXml" Target="../customXml/item1.xml"/><Relationship Id="rId212" Type="http://schemas.openxmlformats.org/officeDocument/2006/relationships/header" Target="header59.xml"/><Relationship Id="rId28" Type="http://schemas.openxmlformats.org/officeDocument/2006/relationships/footer" Target="footer7.xml"/><Relationship Id="rId49" Type="http://schemas.openxmlformats.org/officeDocument/2006/relationships/chart" Target="charts/chart19.xml"/><Relationship Id="rId114" Type="http://schemas.openxmlformats.org/officeDocument/2006/relationships/chart" Target="charts/chart59.xml"/><Relationship Id="rId60" Type="http://schemas.openxmlformats.org/officeDocument/2006/relationships/chart" Target="charts/chart29.xml"/><Relationship Id="rId81" Type="http://schemas.openxmlformats.org/officeDocument/2006/relationships/chart" Target="charts/chart47.xml"/><Relationship Id="rId135" Type="http://schemas.openxmlformats.org/officeDocument/2006/relationships/footer" Target="footer28.xml"/><Relationship Id="rId156" Type="http://schemas.openxmlformats.org/officeDocument/2006/relationships/footer" Target="footer39.xml"/><Relationship Id="rId177" Type="http://schemas.openxmlformats.org/officeDocument/2006/relationships/chart" Target="charts/chart70.xml"/><Relationship Id="rId198" Type="http://schemas.openxmlformats.org/officeDocument/2006/relationships/chart" Target="charts/chart77.xml"/><Relationship Id="rId202" Type="http://schemas.openxmlformats.org/officeDocument/2006/relationships/image" Target="media/image8.jpeg"/><Relationship Id="rId223" Type="http://schemas.openxmlformats.org/officeDocument/2006/relationships/header" Target="header62.xml"/><Relationship Id="rId18" Type="http://schemas.openxmlformats.org/officeDocument/2006/relationships/footer" Target="footer5.xml"/><Relationship Id="rId39" Type="http://schemas.openxmlformats.org/officeDocument/2006/relationships/chart" Target="charts/chart9.xml"/><Relationship Id="rId50" Type="http://schemas.openxmlformats.org/officeDocument/2006/relationships/chart" Target="charts/chart20.xml"/><Relationship Id="rId104" Type="http://schemas.openxmlformats.org/officeDocument/2006/relationships/header" Target="header17.xml"/><Relationship Id="rId125" Type="http://schemas.openxmlformats.org/officeDocument/2006/relationships/header" Target="header28.xml"/><Relationship Id="rId146" Type="http://schemas.openxmlformats.org/officeDocument/2006/relationships/chart" Target="charts/chart63.xml"/><Relationship Id="rId167" Type="http://schemas.openxmlformats.org/officeDocument/2006/relationships/footer" Target="footer43.xml"/><Relationship Id="rId188" Type="http://schemas.openxmlformats.org/officeDocument/2006/relationships/chart" Target="charts/chart72.xml"/><Relationship Id="rId71" Type="http://schemas.openxmlformats.org/officeDocument/2006/relationships/chart" Target="charts/chart39.xml"/><Relationship Id="rId92" Type="http://schemas.openxmlformats.org/officeDocument/2006/relationships/chart" Target="charts/chart56.xml"/><Relationship Id="rId213" Type="http://schemas.openxmlformats.org/officeDocument/2006/relationships/footer" Target="footer54.xml"/><Relationship Id="rId2" Type="http://schemas.openxmlformats.org/officeDocument/2006/relationships/numbering" Target="numbering.xml"/><Relationship Id="rId29" Type="http://schemas.openxmlformats.org/officeDocument/2006/relationships/header" Target="header6.xml"/><Relationship Id="rId40" Type="http://schemas.openxmlformats.org/officeDocument/2006/relationships/chart" Target="charts/chart10.xml"/><Relationship Id="rId115" Type="http://schemas.openxmlformats.org/officeDocument/2006/relationships/image" Target="media/image5.png"/><Relationship Id="rId136" Type="http://schemas.openxmlformats.org/officeDocument/2006/relationships/footer" Target="footer29.xml"/><Relationship Id="rId157" Type="http://schemas.openxmlformats.org/officeDocument/2006/relationships/header" Target="header42.xml"/><Relationship Id="rId178" Type="http://schemas.openxmlformats.org/officeDocument/2006/relationships/chart" Target="charts/chart71.xml"/><Relationship Id="rId61" Type="http://schemas.openxmlformats.org/officeDocument/2006/relationships/chart" Target="charts/chart30.xml"/><Relationship Id="rId82" Type="http://schemas.openxmlformats.org/officeDocument/2006/relationships/chart" Target="charts/chart48.xml"/><Relationship Id="rId199" Type="http://schemas.openxmlformats.org/officeDocument/2006/relationships/image" Target="media/image6.emf"/><Relationship Id="rId203" Type="http://schemas.openxmlformats.org/officeDocument/2006/relationships/image" Target="media/image9.jpeg"/><Relationship Id="rId19" Type="http://schemas.openxmlformats.org/officeDocument/2006/relationships/footer" Target="footer6.xml"/><Relationship Id="rId224" Type="http://schemas.openxmlformats.org/officeDocument/2006/relationships/footer" Target="footer57.xml"/><Relationship Id="rId30" Type="http://schemas.openxmlformats.org/officeDocument/2006/relationships/header" Target="header7.xml"/><Relationship Id="rId105" Type="http://schemas.openxmlformats.org/officeDocument/2006/relationships/header" Target="header18.xml"/><Relationship Id="rId126" Type="http://schemas.openxmlformats.org/officeDocument/2006/relationships/header" Target="header29.xml"/><Relationship Id="rId147" Type="http://schemas.openxmlformats.org/officeDocument/2006/relationships/footer" Target="footer34.xml"/><Relationship Id="rId168" Type="http://schemas.openxmlformats.org/officeDocument/2006/relationships/header" Target="header47.xml"/><Relationship Id="rId51" Type="http://schemas.openxmlformats.org/officeDocument/2006/relationships/image" Target="media/image3.png"/><Relationship Id="rId72" Type="http://schemas.openxmlformats.org/officeDocument/2006/relationships/chart" Target="charts/chart40.xml"/><Relationship Id="rId93" Type="http://schemas.openxmlformats.org/officeDocument/2006/relationships/chart" Target="charts/chart57.xml"/><Relationship Id="rId189" Type="http://schemas.openxmlformats.org/officeDocument/2006/relationships/chart" Target="charts/chart73.xml"/></Relationships>
</file>

<file path=word/_rels/footnotes.xml.rels><?xml version="1.0" encoding="UTF-8" standalone="yes"?>
<Relationships xmlns="http://schemas.openxmlformats.org/package/2006/relationships"><Relationship Id="rId2" Type="http://schemas.openxmlformats.org/officeDocument/2006/relationships/hyperlink" Target="https://www.mfin.gov.rs//upload/media/jzsbpL_601ab1585ca02.pdf" TargetMode="External"/><Relationship Id="rId1" Type="http://schemas.openxmlformats.org/officeDocument/2006/relationships/hyperlink" Target="https://www.mfin.gov.rs//upload/media/ZzkTpV_601696edb3a9a.pdf"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sara.radulovic\Dropbox\Makro%20sektor\6.%20Fiskalna%202024-2026%20-%20revidirana\Makro%20radni%20fajlovi\GRAFIKONI_MAKRO_sep23.xlsx" TargetMode="External"/></Relationships>
</file>

<file path=word/charts/_rels/chart4.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Makro%20radni%20fajlovi\GRAFIKONI_MAKRO_apr23.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Makro%20radni%20fajlovi\GRAFIKONI_MAKRO_apr23.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1.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20-%20revidirana\Makro%20radni%20fajlovi\GRAFIKONI_MAKRO_sep23.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Makro%20radni%20fajlovi\GRAFIKONI_MAKRO_apr23.xlsx" TargetMode="Externa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chartUserShapes" Target="../drawings/drawing2.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Makro%20radni%20fajlovi\GRAFIKONI_MAKRO_apr23.xlsx" TargetMode="Externa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chartUserShapes" Target="../drawings/drawing3.xm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9.xml"/><Relationship Id="rId1" Type="http://schemas.microsoft.com/office/2011/relationships/chartStyle" Target="style9.xml"/><Relationship Id="rId5" Type="http://schemas.openxmlformats.org/officeDocument/2006/relationships/chartUserShapes" Target="../drawings/drawing4.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10.xml"/><Relationship Id="rId1" Type="http://schemas.microsoft.com/office/2011/relationships/chartStyle" Target="style10.xml"/><Relationship Id="rId5" Type="http://schemas.openxmlformats.org/officeDocument/2006/relationships/chartUserShapes" Target="../drawings/drawing5.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file:///C:\Users\jovana.djeric\Dropbox\Makro%20sektor\6.%20Fiskalna%202024-2026%20-%20revidirana\Makro%20radni%20fajlovi\GRAFIKONI_MAKRO_sep23.xlsx" TargetMode="External"/><Relationship Id="rId1" Type="http://schemas.openxmlformats.org/officeDocument/2006/relationships/themeOverride" Target="../theme/themeOverride6.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file:///C:\Users\jovana.djeric\Dropbox\Makro%20sektor\6.%20Fiskalna%202024-2026%20-%20revidirana\Makro%20radni%20fajlovi\GRAFIKONI_MAKRO_sep23.xlsx" TargetMode="External"/><Relationship Id="rId1" Type="http://schemas.openxmlformats.org/officeDocument/2006/relationships/themeOverride" Target="../theme/themeOverride7.xml"/></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11.xml"/><Relationship Id="rId1" Type="http://schemas.microsoft.com/office/2011/relationships/chartStyle" Target="style11.xml"/><Relationship Id="rId5" Type="http://schemas.openxmlformats.org/officeDocument/2006/relationships/chartUserShapes" Target="../drawings/drawing8.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14.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Makro%20radni%20fajlovi\GRAFIKONI_MAKRO_apr23.xlsx" TargetMode="Externa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chartUserShapes" Target="../drawings/drawing9.xml"/></Relationships>
</file>

<file path=word/charts/_rels/chart15.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oleObject" Target="file:///C:\Users\jovana.djeric\Dropbox\Makro%20sektor\6.%20Fiskalna%202024-2026%20-%20revidirana\Makro%20radni%20fajlovi\GRAFIKONI_MAKRO_sep23.xlsx" TargetMode="External"/><Relationship Id="rId1" Type="http://schemas.openxmlformats.org/officeDocument/2006/relationships/themeOverride" Target="../theme/themeOverride9.xml"/></Relationships>
</file>

<file path=word/charts/_rels/chart16.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oleObject" Target="file:///C:\Users\jovana.djeric\Dropbox\Makro%20sektor\6.%20Fiskalna%202024-2026%20-%20revidirana\Makro%20radni%20fajlovi\GRAFIKONI_MAKRO_sep23.xlsx" TargetMode="External"/><Relationship Id="rId1" Type="http://schemas.openxmlformats.org/officeDocument/2006/relationships/themeOverride" Target="../theme/themeOverride10.xml"/></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file:///C:\Users\rade.ciric\Dropbox\Makro%20sektor\6.%20Fiskalna%202024-2026%20-%20revidirana\Makro%20radni%20fajlovi\GRAFIKONI_MAKRO_sep23.xlsx" TargetMode="External"/></Relationships>
</file>

<file path=word/charts/_rels/chart20.xml.rels><?xml version="1.0" encoding="UTF-8" standalone="yes"?>
<Relationships xmlns="http://schemas.openxmlformats.org/package/2006/relationships"><Relationship Id="rId2" Type="http://schemas.openxmlformats.org/officeDocument/2006/relationships/oleObject" Target="file:///C:\Users\rade.ciric\Dropbox\Makro%20sektor\6.%20Fiskalna%202024-2026%20-%20revidirana\Makro%20radni%20fajlovi\GRAFIKONI_MAKRO_sep23.xlsx" TargetMode="External"/><Relationship Id="rId1" Type="http://schemas.openxmlformats.org/officeDocument/2006/relationships/themeOverride" Target="../theme/themeOverride14.xm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17.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24.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25.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26.xml.rels><?xml version="1.0" encoding="UTF-8" standalone="yes"?>
<Relationships xmlns="http://schemas.openxmlformats.org/package/2006/relationships"><Relationship Id="rId3" Type="http://schemas.openxmlformats.org/officeDocument/2006/relationships/themeOverride" Target="../theme/themeOverride20.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21.xml"/><Relationship Id="rId2" Type="http://schemas.microsoft.com/office/2011/relationships/chartColorStyle" Target="colors22.xml"/><Relationship Id="rId1" Type="http://schemas.microsoft.com/office/2011/relationships/chartStyle" Target="style22.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28.xml.rels><?xml version="1.0" encoding="UTF-8" standalone="yes"?>
<Relationships xmlns="http://schemas.openxmlformats.org/package/2006/relationships"><Relationship Id="rId3" Type="http://schemas.openxmlformats.org/officeDocument/2006/relationships/themeOverride" Target="../theme/themeOverride22.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29.xml.rels><?xml version="1.0" encoding="UTF-8" standalone="yes"?>
<Relationships xmlns="http://schemas.openxmlformats.org/package/2006/relationships"><Relationship Id="rId3" Type="http://schemas.openxmlformats.org/officeDocument/2006/relationships/themeOverride" Target="../theme/themeOverride23.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30.xml.rels><?xml version="1.0" encoding="UTF-8" standalone="yes"?>
<Relationships xmlns="http://schemas.openxmlformats.org/package/2006/relationships"><Relationship Id="rId3" Type="http://schemas.openxmlformats.org/officeDocument/2006/relationships/themeOverride" Target="../theme/themeOverride24.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31.xml.rels><?xml version="1.0" encoding="UTF-8" standalone="yes"?>
<Relationships xmlns="http://schemas.openxmlformats.org/package/2006/relationships"><Relationship Id="rId3" Type="http://schemas.openxmlformats.org/officeDocument/2006/relationships/themeOverride" Target="../theme/themeOverride25.xm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32.xml.rels><?xml version="1.0" encoding="UTF-8" standalone="yes"?>
<Relationships xmlns="http://schemas.openxmlformats.org/package/2006/relationships"><Relationship Id="rId3" Type="http://schemas.openxmlformats.org/officeDocument/2006/relationships/themeOverride" Target="../theme/themeOverride26.xm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33.xml.rels><?xml version="1.0" encoding="UTF-8" standalone="yes"?>
<Relationships xmlns="http://schemas.openxmlformats.org/package/2006/relationships"><Relationship Id="rId3" Type="http://schemas.openxmlformats.org/officeDocument/2006/relationships/themeOverride" Target="../theme/themeOverride27.xml"/><Relationship Id="rId2" Type="http://schemas.microsoft.com/office/2011/relationships/chartColorStyle" Target="colors28.xml"/><Relationship Id="rId1" Type="http://schemas.microsoft.com/office/2011/relationships/chartStyle" Target="style28.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34.xml.rels><?xml version="1.0" encoding="UTF-8" standalone="yes"?>
<Relationships xmlns="http://schemas.openxmlformats.org/package/2006/relationships"><Relationship Id="rId3" Type="http://schemas.openxmlformats.org/officeDocument/2006/relationships/themeOverride" Target="../theme/themeOverride28.xml"/><Relationship Id="rId2" Type="http://schemas.microsoft.com/office/2011/relationships/chartColorStyle" Target="colors29.xml"/><Relationship Id="rId1" Type="http://schemas.microsoft.com/office/2011/relationships/chartStyle" Target="style29.xml"/><Relationship Id="rId5" Type="http://schemas.openxmlformats.org/officeDocument/2006/relationships/chartUserShapes" Target="../drawings/drawing12.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35.xml.rels><?xml version="1.0" encoding="UTF-8" standalone="yes"?>
<Relationships xmlns="http://schemas.openxmlformats.org/package/2006/relationships"><Relationship Id="rId3" Type="http://schemas.openxmlformats.org/officeDocument/2006/relationships/themeOverride" Target="../theme/themeOverride29.xml"/><Relationship Id="rId2" Type="http://schemas.microsoft.com/office/2011/relationships/chartColorStyle" Target="colors30.xml"/><Relationship Id="rId1" Type="http://schemas.microsoft.com/office/2011/relationships/chartStyle" Target="style30.xml"/><Relationship Id="rId5" Type="http://schemas.openxmlformats.org/officeDocument/2006/relationships/chartUserShapes" Target="../drawings/drawing13.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36.xml.rels><?xml version="1.0" encoding="UTF-8" standalone="yes"?>
<Relationships xmlns="http://schemas.openxmlformats.org/package/2006/relationships"><Relationship Id="rId3" Type="http://schemas.openxmlformats.org/officeDocument/2006/relationships/themeOverride" Target="../theme/themeOverride30.xml"/><Relationship Id="rId2" Type="http://schemas.microsoft.com/office/2011/relationships/chartColorStyle" Target="colors31.xml"/><Relationship Id="rId1" Type="http://schemas.microsoft.com/office/2011/relationships/chartStyle" Target="style31.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37.xml.rels><?xml version="1.0" encoding="UTF-8" standalone="yes"?>
<Relationships xmlns="http://schemas.openxmlformats.org/package/2006/relationships"><Relationship Id="rId3" Type="http://schemas.openxmlformats.org/officeDocument/2006/relationships/themeOverride" Target="../theme/themeOverride31.xml"/><Relationship Id="rId2" Type="http://schemas.microsoft.com/office/2011/relationships/chartColorStyle" Target="colors32.xml"/><Relationship Id="rId1" Type="http://schemas.microsoft.com/office/2011/relationships/chartStyle" Target="style32.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38.xml.rels><?xml version="1.0" encoding="UTF-8" standalone="yes"?>
<Relationships xmlns="http://schemas.openxmlformats.org/package/2006/relationships"><Relationship Id="rId3" Type="http://schemas.openxmlformats.org/officeDocument/2006/relationships/themeOverride" Target="../theme/themeOverride32.xml"/><Relationship Id="rId2" Type="http://schemas.microsoft.com/office/2011/relationships/chartColorStyle" Target="colors33.xml"/><Relationship Id="rId1" Type="http://schemas.microsoft.com/office/2011/relationships/chartStyle" Target="style33.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39.xml.rels><?xml version="1.0" encoding="UTF-8" standalone="yes"?>
<Relationships xmlns="http://schemas.openxmlformats.org/package/2006/relationships"><Relationship Id="rId3" Type="http://schemas.openxmlformats.org/officeDocument/2006/relationships/themeOverride" Target="../theme/themeOverride33.xml"/><Relationship Id="rId2" Type="http://schemas.microsoft.com/office/2011/relationships/chartColorStyle" Target="colors34.xml"/><Relationship Id="rId1" Type="http://schemas.microsoft.com/office/2011/relationships/chartStyle" Target="style34.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40.xml.rels><?xml version="1.0" encoding="UTF-8" standalone="yes"?>
<Relationships xmlns="http://schemas.openxmlformats.org/package/2006/relationships"><Relationship Id="rId3" Type="http://schemas.openxmlformats.org/officeDocument/2006/relationships/themeOverride" Target="../theme/themeOverride34.xml"/><Relationship Id="rId2" Type="http://schemas.microsoft.com/office/2011/relationships/chartColorStyle" Target="colors35.xml"/><Relationship Id="rId1" Type="http://schemas.microsoft.com/office/2011/relationships/chartStyle" Target="style35.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41.xml.rels><?xml version="1.0" encoding="UTF-8" standalone="yes"?>
<Relationships xmlns="http://schemas.openxmlformats.org/package/2006/relationships"><Relationship Id="rId3" Type="http://schemas.openxmlformats.org/officeDocument/2006/relationships/themeOverride" Target="../theme/themeOverride35.xml"/><Relationship Id="rId2" Type="http://schemas.microsoft.com/office/2011/relationships/chartColorStyle" Target="colors36.xml"/><Relationship Id="rId1" Type="http://schemas.microsoft.com/office/2011/relationships/chartStyle" Target="style36.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42.xml.rels><?xml version="1.0" encoding="UTF-8" standalone="yes"?>
<Relationships xmlns="http://schemas.openxmlformats.org/package/2006/relationships"><Relationship Id="rId3" Type="http://schemas.openxmlformats.org/officeDocument/2006/relationships/themeOverride" Target="../theme/themeOverride36.xml"/><Relationship Id="rId2" Type="http://schemas.microsoft.com/office/2011/relationships/chartColorStyle" Target="colors37.xml"/><Relationship Id="rId1" Type="http://schemas.microsoft.com/office/2011/relationships/chartStyle" Target="style37.xml"/><Relationship Id="rId5" Type="http://schemas.openxmlformats.org/officeDocument/2006/relationships/chartUserShapes" Target="../drawings/drawing14.xml"/><Relationship Id="rId4" Type="http://schemas.openxmlformats.org/officeDocument/2006/relationships/oleObject" Target="file:///C:\Users\jovana.djeric\Dropbox\Makro%20sektor\6.%20Fiskalna%202024-2026%20-%20revidirana\Makro%20radni%20fajlovi\GRAFIKONI_MAKRO_sep23.xlsx" TargetMode="External"/></Relationships>
</file>

<file path=word/charts/_rels/chart43.xml.rels><?xml version="1.0" encoding="UTF-8" standalone="yes"?>
<Relationships xmlns="http://schemas.openxmlformats.org/package/2006/relationships"><Relationship Id="rId3" Type="http://schemas.openxmlformats.org/officeDocument/2006/relationships/themeOverride" Target="../theme/themeOverride37.xml"/><Relationship Id="rId2" Type="http://schemas.microsoft.com/office/2011/relationships/chartColorStyle" Target="colors38.xml"/><Relationship Id="rId1" Type="http://schemas.microsoft.com/office/2011/relationships/chartStyle" Target="style38.xml"/><Relationship Id="rId5" Type="http://schemas.openxmlformats.org/officeDocument/2006/relationships/chartUserShapes" Target="../drawings/drawing15.xml"/><Relationship Id="rId4" Type="http://schemas.openxmlformats.org/officeDocument/2006/relationships/oleObject" Target="file:///C:\Users\rade.ciric\Dropbox\Makro%20sektor\6.%20Fiskalna%202024-2026%20-%20revidirana\Makro%20radni%20fajlovi\GRAFIKONI_MAKRO_sep23.xlsx" TargetMode="External"/></Relationships>
</file>

<file path=word/charts/_rels/chart44.xml.rels><?xml version="1.0" encoding="UTF-8" standalone="yes"?>
<Relationships xmlns="http://schemas.openxmlformats.org/package/2006/relationships"><Relationship Id="rId3" Type="http://schemas.openxmlformats.org/officeDocument/2006/relationships/themeOverride" Target="../theme/themeOverride38.xml"/><Relationship Id="rId2" Type="http://schemas.microsoft.com/office/2011/relationships/chartColorStyle" Target="colors39.xml"/><Relationship Id="rId1" Type="http://schemas.microsoft.com/office/2011/relationships/chartStyle" Target="style39.xml"/><Relationship Id="rId5" Type="http://schemas.openxmlformats.org/officeDocument/2006/relationships/chartUserShapes" Target="../drawings/drawing16.xml"/><Relationship Id="rId4" Type="http://schemas.openxmlformats.org/officeDocument/2006/relationships/oleObject" Target="file:///C:\Users\rade.ciric\Dropbox\Makro%20sektor\6.%20Fiskalna%202024-2026%20-%20revidirana\Makro%20radni%20fajlovi\GRAFIKONI_MAKRO_sep23.xlsx" TargetMode="External"/></Relationships>
</file>

<file path=word/charts/_rels/chart45.xml.rels><?xml version="1.0" encoding="UTF-8" standalone="yes"?>
<Relationships xmlns="http://schemas.openxmlformats.org/package/2006/relationships"><Relationship Id="rId2" Type="http://schemas.openxmlformats.org/officeDocument/2006/relationships/oleObject" Target="file:///C:\Users\rade.ciric\Dropbox\Makro%20sektor\6.%20Fiskalna%202024-2026%20-%20revidirana\Makro%20radni%20fajlovi\GRAFIKONI_MAKRO_sep23.xlsx" TargetMode="External"/><Relationship Id="rId1" Type="http://schemas.openxmlformats.org/officeDocument/2006/relationships/themeOverride" Target="../theme/themeOverride39.xml"/></Relationships>
</file>

<file path=word/charts/_rels/chart46.xml.rels><?xml version="1.0" encoding="UTF-8" standalone="yes"?>
<Relationships xmlns="http://schemas.openxmlformats.org/package/2006/relationships"><Relationship Id="rId3" Type="http://schemas.openxmlformats.org/officeDocument/2006/relationships/themeOverride" Target="../theme/themeOverride40.xml"/><Relationship Id="rId2" Type="http://schemas.microsoft.com/office/2011/relationships/chartColorStyle" Target="colors40.xml"/><Relationship Id="rId1" Type="http://schemas.microsoft.com/office/2011/relationships/chartStyle" Target="style40.xml"/><Relationship Id="rId5" Type="http://schemas.openxmlformats.org/officeDocument/2006/relationships/chartUserShapes" Target="../drawings/drawing17.xml"/><Relationship Id="rId4" Type="http://schemas.openxmlformats.org/officeDocument/2006/relationships/oleObject" Target="file:///C:\Users\rade.ciric\Dropbox\Makro%20sektor\6.%20Fiskalna%202024-2026\Makro%20radni%20fajlovi\GRAFIKONI_MAKRO_apr23.xlsx" TargetMode="External"/></Relationships>
</file>

<file path=word/charts/_rels/chart47.xml.rels><?xml version="1.0" encoding="UTF-8" standalone="yes"?>
<Relationships xmlns="http://schemas.openxmlformats.org/package/2006/relationships"><Relationship Id="rId3" Type="http://schemas.openxmlformats.org/officeDocument/2006/relationships/themeOverride" Target="../theme/themeOverride41.xml"/><Relationship Id="rId2" Type="http://schemas.microsoft.com/office/2011/relationships/chartColorStyle" Target="colors41.xml"/><Relationship Id="rId1" Type="http://schemas.microsoft.com/office/2011/relationships/chartStyle" Target="style41.xml"/><Relationship Id="rId4" Type="http://schemas.openxmlformats.org/officeDocument/2006/relationships/oleObject" Target="file:///C:\Users\marko.lisica\Dropbox\Makro%20sektor\6.%20Fiskalna%202024-2026%20-%20revidirana\Makro%20radni%20fajlovi\GRAFIKONI_MAKRO_sep23.xlsx" TargetMode="External"/></Relationships>
</file>

<file path=word/charts/_rels/chart48.xml.rels><?xml version="1.0" encoding="UTF-8" standalone="yes"?>
<Relationships xmlns="http://schemas.openxmlformats.org/package/2006/relationships"><Relationship Id="rId3" Type="http://schemas.openxmlformats.org/officeDocument/2006/relationships/chartUserShapes" Target="../drawings/drawing18.xml"/><Relationship Id="rId2" Type="http://schemas.openxmlformats.org/officeDocument/2006/relationships/oleObject" Target="file:///C:\Users\jovana.djeric\Dropbox\Makro%20sektor\6.%20Fiskalna%202024-2026%20-%20revidirana\Makro%20radni%20fajlovi\GRAFIKONI_MAKRO_sep23.xlsx" TargetMode="External"/><Relationship Id="rId1" Type="http://schemas.openxmlformats.org/officeDocument/2006/relationships/themeOverride" Target="../theme/themeOverride42.xml"/></Relationships>
</file>

<file path=word/charts/_rels/chart49.xml.rels><?xml version="1.0" encoding="UTF-8" standalone="yes"?>
<Relationships xmlns="http://schemas.openxmlformats.org/package/2006/relationships"><Relationship Id="rId3" Type="http://schemas.openxmlformats.org/officeDocument/2006/relationships/themeOverride" Target="../theme/themeOverride43.xml"/><Relationship Id="rId2" Type="http://schemas.microsoft.com/office/2011/relationships/chartColorStyle" Target="colors42.xml"/><Relationship Id="rId1" Type="http://schemas.microsoft.com/office/2011/relationships/chartStyle" Target="style42.xml"/><Relationship Id="rId4" Type="http://schemas.openxmlformats.org/officeDocument/2006/relationships/oleObject" Target="file:///C:\Users\marko.lisica\Dropbox\Makro%20sektor\6.%20Fiskalna%202024-2026%20-%20revidirana\Makro%20radni%20fajlovi\GRAFIKONI_MAKRO_sep23.xlsx" TargetMode="External"/></Relationships>
</file>

<file path=word/charts/_rels/chart50.xml.rels><?xml version="1.0" encoding="UTF-8" standalone="yes"?>
<Relationships xmlns="http://schemas.openxmlformats.org/package/2006/relationships"><Relationship Id="rId3" Type="http://schemas.openxmlformats.org/officeDocument/2006/relationships/themeOverride" Target="../theme/themeOverride44.xml"/><Relationship Id="rId2" Type="http://schemas.microsoft.com/office/2011/relationships/chartColorStyle" Target="colors43.xml"/><Relationship Id="rId1" Type="http://schemas.microsoft.com/office/2011/relationships/chartStyle" Target="style43.xml"/><Relationship Id="rId4" Type="http://schemas.openxmlformats.org/officeDocument/2006/relationships/oleObject" Target="file:///C:\Users\marko.lisica\Dropbox\Makro%20sektor\6.%20Fiskalna%202024-2026%20-%20revidirana\Makro%20radni%20fajlovi\GRAFIKONI_MAKRO_sep23.xlsx" TargetMode="External"/></Relationships>
</file>

<file path=word/charts/_rels/chart51.xml.rels><?xml version="1.0" encoding="UTF-8" standalone="yes"?>
<Relationships xmlns="http://schemas.openxmlformats.org/package/2006/relationships"><Relationship Id="rId3" Type="http://schemas.openxmlformats.org/officeDocument/2006/relationships/themeOverride" Target="../theme/themeOverride45.xml"/><Relationship Id="rId2" Type="http://schemas.microsoft.com/office/2011/relationships/chartColorStyle" Target="colors44.xml"/><Relationship Id="rId1" Type="http://schemas.microsoft.com/office/2011/relationships/chartStyle" Target="style44.xml"/><Relationship Id="rId4" Type="http://schemas.openxmlformats.org/officeDocument/2006/relationships/oleObject" Target="file:///C:\Users\marko.lisica\Dropbox\Makro%20sektor\6.%20Fiskalna%202024-2026%20-%20revidirana\Makro%20radni%20fajlovi\GRAFIKONI_MAKRO_sep23.xlsx" TargetMode="External"/></Relationships>
</file>

<file path=word/charts/_rels/chart52.xml.rels><?xml version="1.0" encoding="UTF-8" standalone="yes"?>
<Relationships xmlns="http://schemas.openxmlformats.org/package/2006/relationships"><Relationship Id="rId3" Type="http://schemas.openxmlformats.org/officeDocument/2006/relationships/themeOverride" Target="../theme/themeOverride46.xml"/><Relationship Id="rId2" Type="http://schemas.microsoft.com/office/2011/relationships/chartColorStyle" Target="colors45.xml"/><Relationship Id="rId1" Type="http://schemas.microsoft.com/office/2011/relationships/chartStyle" Target="style45.xml"/><Relationship Id="rId4" Type="http://schemas.openxmlformats.org/officeDocument/2006/relationships/oleObject" Target="file:///C:\Users\marko.lisica\Dropbox\Makro%20sektor\6.%20Fiskalna%202024-2026%20-%20revidirana\Makro%20radni%20fajlovi\GRAFIKONI_MAKRO_sep23.xlsx" TargetMode="External"/></Relationships>
</file>

<file path=word/charts/_rels/chart53.xml.rels><?xml version="1.0" encoding="UTF-8" standalone="yes"?>
<Relationships xmlns="http://schemas.openxmlformats.org/package/2006/relationships"><Relationship Id="rId3" Type="http://schemas.openxmlformats.org/officeDocument/2006/relationships/themeOverride" Target="../theme/themeOverride47.xml"/><Relationship Id="rId2" Type="http://schemas.microsoft.com/office/2011/relationships/chartColorStyle" Target="colors46.xml"/><Relationship Id="rId1" Type="http://schemas.microsoft.com/office/2011/relationships/chartStyle" Target="style46.xml"/><Relationship Id="rId5" Type="http://schemas.openxmlformats.org/officeDocument/2006/relationships/chartUserShapes" Target="../drawings/drawing19.xml"/><Relationship Id="rId4" Type="http://schemas.openxmlformats.org/officeDocument/2006/relationships/oleObject" Target="file:///C:\Users\marko.lisica\Dropbox\Makro%20sektor\6.%20Fiskalna%202024-2026%20-%20revidirana\Makro%20radni%20fajlovi\GRAFIKONI_MAKRO_sep23.xlsx" TargetMode="External"/></Relationships>
</file>

<file path=word/charts/_rels/chart54.xml.rels><?xml version="1.0" encoding="UTF-8" standalone="yes"?>
<Relationships xmlns="http://schemas.openxmlformats.org/package/2006/relationships"><Relationship Id="rId3" Type="http://schemas.openxmlformats.org/officeDocument/2006/relationships/themeOverride" Target="../theme/themeOverride48.xml"/><Relationship Id="rId2" Type="http://schemas.microsoft.com/office/2011/relationships/chartColorStyle" Target="colors47.xml"/><Relationship Id="rId1" Type="http://schemas.microsoft.com/office/2011/relationships/chartStyle" Target="style47.xml"/><Relationship Id="rId5" Type="http://schemas.openxmlformats.org/officeDocument/2006/relationships/chartUserShapes" Target="../drawings/drawing20.xml"/><Relationship Id="rId4" Type="http://schemas.openxmlformats.org/officeDocument/2006/relationships/oleObject" Target="file:///F:\POSAO\GRAFIKONI_MAKRO_apr23.xlsx" TargetMode="External"/></Relationships>
</file>

<file path=word/charts/_rels/chart55.xml.rels><?xml version="1.0" encoding="UTF-8" standalone="yes"?>
<Relationships xmlns="http://schemas.openxmlformats.org/package/2006/relationships"><Relationship Id="rId3" Type="http://schemas.openxmlformats.org/officeDocument/2006/relationships/oleObject" Target="file:///C:\Users\milos.gligorijevic\Dropbox\Dropbox\Makro%20sektor\6.%20Fiskalna%202024-2026%20-%20revidirana\Makro%20radni%20fajlovi\GRAFIKONI_MAKRO_sep23.xlsx" TargetMode="External"/><Relationship Id="rId2" Type="http://schemas.microsoft.com/office/2011/relationships/chartColorStyle" Target="colors48.xml"/><Relationship Id="rId1" Type="http://schemas.microsoft.com/office/2011/relationships/chartStyle" Target="style48.xml"/></Relationships>
</file>

<file path=word/charts/_rels/chart56.xml.rels><?xml version="1.0" encoding="UTF-8" standalone="yes"?>
<Relationships xmlns="http://schemas.openxmlformats.org/package/2006/relationships"><Relationship Id="rId2" Type="http://schemas.openxmlformats.org/officeDocument/2006/relationships/oleObject" Target="file:///C:\Users\milos.gligorijevic\Dropbox\Dropbox\Makro%20sektor\6.%20Fiskalna%202024-2026%20-%20revidirana\Makro%20radni%20fajlovi\GRAFIKONI_MAKRO_sep23.xlsx" TargetMode="External"/><Relationship Id="rId1" Type="http://schemas.openxmlformats.org/officeDocument/2006/relationships/themeOverride" Target="../theme/themeOverride49.xml"/></Relationships>
</file>

<file path=word/charts/_rels/chart57.xml.rels><?xml version="1.0" encoding="UTF-8" standalone="yes"?>
<Relationships xmlns="http://schemas.openxmlformats.org/package/2006/relationships"><Relationship Id="rId3" Type="http://schemas.openxmlformats.org/officeDocument/2006/relationships/themeOverride" Target="../theme/themeOverride50.xml"/><Relationship Id="rId2" Type="http://schemas.microsoft.com/office/2011/relationships/chartColorStyle" Target="colors49.xml"/><Relationship Id="rId1" Type="http://schemas.microsoft.com/office/2011/relationships/chartStyle" Target="style49.xml"/><Relationship Id="rId5" Type="http://schemas.openxmlformats.org/officeDocument/2006/relationships/chartUserShapes" Target="../drawings/drawing21.xml"/><Relationship Id="rId4" Type="http://schemas.openxmlformats.org/officeDocument/2006/relationships/oleObject" Target="file:///C:\Users\milos.gligorijevic\Dropbox\Dropbox\Makro%20sektor\6.%20Fiskalna%202024-2026%20-%20revidirana\Makro%20radni%20fajlovi\GRAFIKONI_MAKRO_sep23.xlsx" TargetMode="External"/></Relationships>
</file>

<file path=word/charts/_rels/chart58.xml.rels><?xml version="1.0" encoding="UTF-8" standalone="yes"?>
<Relationships xmlns="http://schemas.openxmlformats.org/package/2006/relationships"><Relationship Id="rId3" Type="http://schemas.openxmlformats.org/officeDocument/2006/relationships/themeOverride" Target="../theme/themeOverride51.xml"/><Relationship Id="rId2" Type="http://schemas.microsoft.com/office/2011/relationships/chartColorStyle" Target="colors50.xml"/><Relationship Id="rId1" Type="http://schemas.microsoft.com/office/2011/relationships/chartStyle" Target="style50.xml"/><Relationship Id="rId5" Type="http://schemas.openxmlformats.org/officeDocument/2006/relationships/chartUserShapes" Target="../drawings/drawing22.xml"/><Relationship Id="rId4" Type="http://schemas.openxmlformats.org/officeDocument/2006/relationships/oleObject" Target="file:///C:\Users\milos.gligorijevic\Dropbox\Dropbox\Makro%20sektor\6.%20Fiskalna%202024-2026%20-%20revidirana\Makro%20radni%20fajlovi\GRAFIKONI_MAKRO_sep23.xlsx" TargetMode="External"/></Relationships>
</file>

<file path=word/charts/_rels/chart59.xml.rels><?xml version="1.0" encoding="UTF-8" standalone="yes"?>
<Relationships xmlns="http://schemas.openxmlformats.org/package/2006/relationships"><Relationship Id="rId3" Type="http://schemas.openxmlformats.org/officeDocument/2006/relationships/oleObject" Target="file:///C:\Users\vladimir.malbasic\Desktop\Novi%20RFZO%20Za%20bazu-%20GFS,%20SS%20bs%20,%20MMF%20table\GFS%20CONSOLIDATION_za%20analizu%20radni%20fajl-2080mq1.xlsx" TargetMode="External"/><Relationship Id="rId2" Type="http://schemas.microsoft.com/office/2011/relationships/chartColorStyle" Target="colors51.xml"/><Relationship Id="rId1" Type="http://schemas.microsoft.com/office/2011/relationships/chartStyle" Target="style51.xml"/></Relationships>
</file>

<file path=word/charts/_rels/chart60.xml.rels><?xml version="1.0" encoding="UTF-8" standalone="yes"?>
<Relationships xmlns="http://schemas.openxmlformats.org/package/2006/relationships"><Relationship Id="rId3" Type="http://schemas.openxmlformats.org/officeDocument/2006/relationships/themeOverride" Target="../theme/themeOverride52.xml"/><Relationship Id="rId2" Type="http://schemas.microsoft.com/office/2011/relationships/chartColorStyle" Target="colors52.xml"/><Relationship Id="rId1" Type="http://schemas.microsoft.com/office/2011/relationships/chartStyle" Target="style52.xml"/><Relationship Id="rId4" Type="http://schemas.openxmlformats.org/officeDocument/2006/relationships/oleObject" Target="file:///C:\Users\Jovana\Desktop\pom%20brr\FS\S0_manji%20fajl\S0%202022.xlsx" TargetMode="External"/></Relationships>
</file>

<file path=word/charts/_rels/chart61.xml.rels><?xml version="1.0" encoding="UTF-8" standalone="yes"?>
<Relationships xmlns="http://schemas.openxmlformats.org/package/2006/relationships"><Relationship Id="rId3" Type="http://schemas.openxmlformats.org/officeDocument/2006/relationships/themeOverride" Target="../theme/themeOverride53.xml"/><Relationship Id="rId2" Type="http://schemas.microsoft.com/office/2011/relationships/chartColorStyle" Target="colors53.xml"/><Relationship Id="rId1" Type="http://schemas.microsoft.com/office/2011/relationships/chartStyle" Target="style53.xml"/><Relationship Id="rId5" Type="http://schemas.openxmlformats.org/officeDocument/2006/relationships/chartUserShapes" Target="../drawings/drawing23.xml"/><Relationship Id="rId4" Type="http://schemas.openxmlformats.org/officeDocument/2006/relationships/oleObject" Target="file:///C:\Users\Jovana\Desktop\pom%20brr\FS\S0_manji%20fajl\S0%202022.xlsx" TargetMode="External"/></Relationships>
</file>

<file path=word/charts/_rels/chart62.xml.rels><?xml version="1.0" encoding="UTF-8" standalone="yes"?>
<Relationships xmlns="http://schemas.openxmlformats.org/package/2006/relationships"><Relationship Id="rId3" Type="http://schemas.openxmlformats.org/officeDocument/2006/relationships/themeOverride" Target="../theme/themeOverride54.xml"/><Relationship Id="rId2" Type="http://schemas.microsoft.com/office/2011/relationships/chartColorStyle" Target="colors54.xml"/><Relationship Id="rId1" Type="http://schemas.microsoft.com/office/2011/relationships/chartStyle" Target="style54.xml"/><Relationship Id="rId5" Type="http://schemas.openxmlformats.org/officeDocument/2006/relationships/chartUserShapes" Target="../drawings/drawing24.xml"/><Relationship Id="rId4" Type="http://schemas.openxmlformats.org/officeDocument/2006/relationships/oleObject" Target="file:///C:\Users\Jovana\Desktop\pom%20brr\FS\S0_manji%20fajl\S0%202022.xlsx" TargetMode="External"/></Relationships>
</file>

<file path=word/charts/_rels/chart63.xml.rels><?xml version="1.0" encoding="UTF-8" standalone="yes"?>
<Relationships xmlns="http://schemas.openxmlformats.org/package/2006/relationships"><Relationship Id="rId3" Type="http://schemas.openxmlformats.org/officeDocument/2006/relationships/chartUserShapes" Target="../drawings/drawing25.xml"/><Relationship Id="rId2" Type="http://schemas.openxmlformats.org/officeDocument/2006/relationships/oleObject" Target="file:///C:\Users\ognjen.jancic\Dropbox\Makro%20sektor\6.%20Fiskalna%202024-2026%20-%20revidirana\Fiskal%20radni%20fajlovi\fiskal%20ognjen\za%20grafikone%20def,dug%20baseline%20i%20sa%20merama.xlsx" TargetMode="External"/><Relationship Id="rId1" Type="http://schemas.openxmlformats.org/officeDocument/2006/relationships/themeOverride" Target="../theme/themeOverride55.xml"/></Relationships>
</file>

<file path=word/charts/_rels/chart64.xml.rels><?xml version="1.0" encoding="UTF-8" standalone="yes"?>
<Relationships xmlns="http://schemas.openxmlformats.org/package/2006/relationships"><Relationship Id="rId3" Type="http://schemas.openxmlformats.org/officeDocument/2006/relationships/themeOverride" Target="../theme/themeOverride56.xml"/><Relationship Id="rId2" Type="http://schemas.microsoft.com/office/2011/relationships/chartColorStyle" Target="colors55.xml"/><Relationship Id="rId1" Type="http://schemas.microsoft.com/office/2011/relationships/chartStyle" Target="style55.xml"/><Relationship Id="rId4" Type="http://schemas.openxmlformats.org/officeDocument/2006/relationships/oleObject" Target="file:///\\10.9.19.72\fiskalnirizici$\Pracenje%20fiskalnih%20rizika\2023\Fiskalna%20strategija%20Q2%202023\&#1060;&#1057;%20&#1090;&#1072;&#1073;&#1077;&#1083;&#1077;%20&#1080;%20&#1075;&#1088;&#1072;&#1092;&#1080;&#1082;&#1086;&#1085;&#1080;.xlsx" TargetMode="External"/></Relationships>
</file>

<file path=word/charts/_rels/chart65.xml.rels><?xml version="1.0" encoding="UTF-8" standalone="yes"?>
<Relationships xmlns="http://schemas.openxmlformats.org/package/2006/relationships"><Relationship Id="rId3" Type="http://schemas.openxmlformats.org/officeDocument/2006/relationships/themeOverride" Target="../theme/themeOverride57.xml"/><Relationship Id="rId2" Type="http://schemas.microsoft.com/office/2011/relationships/chartColorStyle" Target="colors56.xml"/><Relationship Id="rId1" Type="http://schemas.microsoft.com/office/2011/relationships/chartStyle" Target="style56.xml"/><Relationship Id="rId4" Type="http://schemas.openxmlformats.org/officeDocument/2006/relationships/oleObject" Target="file:///\\10.9.19.72\fiskalnirizici$\Pracenje%20fiskalnih%20rizika\2023\Fiskalna%20strategija%20Q2%202023\&#1060;&#1057;%20&#1090;&#1072;&#1073;&#1077;&#1083;&#1077;%20&#1080;%20&#1075;&#1088;&#1072;&#1092;&#1080;&#1082;&#1086;&#1085;&#1080;.xlsx" TargetMode="External"/></Relationships>
</file>

<file path=word/charts/_rels/chart66.xml.rels><?xml version="1.0" encoding="UTF-8" standalone="yes"?>
<Relationships xmlns="http://schemas.openxmlformats.org/package/2006/relationships"><Relationship Id="rId2" Type="http://schemas.openxmlformats.org/officeDocument/2006/relationships/oleObject" Target="file:///C:\Users\zlatko.dzigal\Desktop\Fiskalna%20strategija\2024\FR%20-%20sudski%20sporovi%20do%2030.06.2023.xls" TargetMode="External"/><Relationship Id="rId1" Type="http://schemas.openxmlformats.org/officeDocument/2006/relationships/themeOverride" Target="../theme/themeOverride58.xml"/></Relationships>
</file>

<file path=word/charts/_rels/chart67.xml.rels><?xml version="1.0" encoding="UTF-8" standalone="yes"?>
<Relationships xmlns="http://schemas.openxmlformats.org/package/2006/relationships"><Relationship Id="rId3" Type="http://schemas.openxmlformats.org/officeDocument/2006/relationships/oleObject" Target="file:///C:\Users\zlatko.dzigal\Desktop\Fiskalna%20strategija\2024\Dijagrami%20i%20tabele%20za%20fiskalnu%20strategiju%202024.xlsx" TargetMode="External"/><Relationship Id="rId2" Type="http://schemas.microsoft.com/office/2011/relationships/chartColorStyle" Target="colors57.xml"/><Relationship Id="rId1" Type="http://schemas.microsoft.com/office/2011/relationships/chartStyle" Target="style57.xml"/><Relationship Id="rId4" Type="http://schemas.openxmlformats.org/officeDocument/2006/relationships/chartUserShapes" Target="../drawings/drawing26.xml"/></Relationships>
</file>

<file path=word/charts/_rels/chart68.xml.rels><?xml version="1.0" encoding="UTF-8" standalone="yes"?>
<Relationships xmlns="http://schemas.openxmlformats.org/package/2006/relationships"><Relationship Id="rId3" Type="http://schemas.openxmlformats.org/officeDocument/2006/relationships/oleObject" Target="file:///C:\Users\zlatko.dzigal\Desktop\Fiskalna%20strategija\2024\Dijagrami%20i%20tabele%20za%20fiskalnu%20strategiju%202024.xlsx" TargetMode="External"/><Relationship Id="rId2" Type="http://schemas.microsoft.com/office/2011/relationships/chartColorStyle" Target="colors58.xml"/><Relationship Id="rId1" Type="http://schemas.microsoft.com/office/2011/relationships/chartStyle" Target="style58.xml"/><Relationship Id="rId4" Type="http://schemas.openxmlformats.org/officeDocument/2006/relationships/chartUserShapes" Target="../drawings/drawing27.xml"/></Relationships>
</file>

<file path=word/charts/_rels/chart69.xml.rels><?xml version="1.0" encoding="UTF-8" standalone="yes"?>
<Relationships xmlns="http://schemas.openxmlformats.org/package/2006/relationships"><Relationship Id="rId3" Type="http://schemas.openxmlformats.org/officeDocument/2006/relationships/oleObject" Target="file:///C:\Users\vladimir.malbasic\Dropbox\Makro%20sektor\6.%20Fiskalna%202024-2026%20-%20revidirana\Fiskal%20radni%20fajlovi\Grafikoni%20ciklicnog%20deficita,%20poreske%20elasticnosti%20i%20osetljivost%20balansa%20rev%20februar%202023,%20izvrsenje%202022.xlsx" TargetMode="External"/><Relationship Id="rId2" Type="http://schemas.microsoft.com/office/2011/relationships/chartColorStyle" Target="colors59.xml"/><Relationship Id="rId1" Type="http://schemas.microsoft.com/office/2011/relationships/chartStyle" Target="style59.xml"/><Relationship Id="rId4" Type="http://schemas.openxmlformats.org/officeDocument/2006/relationships/chartUserShapes" Target="../drawings/drawing28.xml"/></Relationships>
</file>

<file path=word/charts/_rels/chart70.xml.rels><?xml version="1.0" encoding="UTF-8" standalone="yes"?>
<Relationships xmlns="http://schemas.openxmlformats.org/package/2006/relationships"><Relationship Id="rId3" Type="http://schemas.openxmlformats.org/officeDocument/2006/relationships/oleObject" Target="file:///C:\Users\vladimir.malbasic\Dropbox\Makro%20sektor\6.%20Fiskalna%202024-2026%20-%20revidirana\Fiskal%20radni%20fajlovi\Grafikoni%20ciklicnog%20deficita,%20poreske%20elasticnosti%20i%20osetljivost%20balansa%20rev%20februar%202023,%20izvrsenje%202022.xlsx" TargetMode="External"/><Relationship Id="rId2" Type="http://schemas.microsoft.com/office/2011/relationships/chartColorStyle" Target="colors60.xml"/><Relationship Id="rId1" Type="http://schemas.microsoft.com/office/2011/relationships/chartStyle" Target="style60.xml"/><Relationship Id="rId4" Type="http://schemas.openxmlformats.org/officeDocument/2006/relationships/chartUserShapes" Target="../drawings/drawing29.xml"/></Relationships>
</file>

<file path=word/charts/_rels/chart71.xml.rels><?xml version="1.0" encoding="UTF-8" standalone="yes"?>
<Relationships xmlns="http://schemas.openxmlformats.org/package/2006/relationships"><Relationship Id="rId3" Type="http://schemas.openxmlformats.org/officeDocument/2006/relationships/chartUserShapes" Target="../drawings/drawing30.xml"/><Relationship Id="rId2" Type="http://schemas.openxmlformats.org/officeDocument/2006/relationships/oleObject" Target="file:///C:\Users\vladimir.malbasic\Dropbox\Makro%20sektor\6.%20Fiskalna%202024-2026%20-%20revidirana\Fiskal%20radni%20fajlovi\Grafikoni%20ciklicnog%20deficita,%20poreske%20elasticnosti%20i%20osetljivost%20balansa%20rev%20februar%202023,%20izvrsenje%202022.xlsx" TargetMode="External"/><Relationship Id="rId1" Type="http://schemas.openxmlformats.org/officeDocument/2006/relationships/themeOverride" Target="../theme/themeOverride59.xml"/></Relationships>
</file>

<file path=word/charts/_rels/chart72.xml.rels><?xml version="1.0" encoding="UTF-8" standalone="yes"?>
<Relationships xmlns="http://schemas.openxmlformats.org/package/2006/relationships"><Relationship Id="rId3" Type="http://schemas.openxmlformats.org/officeDocument/2006/relationships/oleObject" Target="file:///C:\Users\vladimir.malbasic\Dropbox\Makro%20sektor\6.%20Fiskalna%202024-2026%20-%20revidirana\Fiskal%20radni%20fajlovi\Scenarija%20javni%20dug%20fiskalno%20prilagodjavanje.xlsx" TargetMode="External"/><Relationship Id="rId2" Type="http://schemas.microsoft.com/office/2011/relationships/chartColorStyle" Target="colors61.xml"/><Relationship Id="rId1" Type="http://schemas.microsoft.com/office/2011/relationships/chartStyle" Target="style61.xml"/></Relationships>
</file>

<file path=word/charts/_rels/chart73.xml.rels><?xml version="1.0" encoding="UTF-8" standalone="yes"?>
<Relationships xmlns="http://schemas.openxmlformats.org/package/2006/relationships"><Relationship Id="rId3" Type="http://schemas.openxmlformats.org/officeDocument/2006/relationships/oleObject" Target="file:///C:\Users\vladimir.malbasic\Desktop\Novi%20RFZO%20Za%20bazu-%20GFS,%20SS%20bs%20,%20MMF%20table\GFS%20CONSOLIDATION_za%20analizu%20radni%20fajl-2080mq1.xlsx" TargetMode="External"/><Relationship Id="rId2" Type="http://schemas.microsoft.com/office/2011/relationships/chartColorStyle" Target="colors62.xml"/><Relationship Id="rId1" Type="http://schemas.microsoft.com/office/2011/relationships/chartStyle" Target="style62.xml"/></Relationships>
</file>

<file path=word/charts/_rels/chart74.xml.rels><?xml version="1.0" encoding="UTF-8" standalone="yes"?>
<Relationships xmlns="http://schemas.openxmlformats.org/package/2006/relationships"><Relationship Id="rId3" Type="http://schemas.openxmlformats.org/officeDocument/2006/relationships/oleObject" Target="file:///C:\Users\vladimir.malbasic\Dropbox\Makro%20sektor\6.%20Fiskalna%202024-2026%20-%20revidirana\Fiskal%20radni%20fajlovi\Scenarija%20javni%20dug%20fiskalno%20prilagodjavanje.xlsx" TargetMode="External"/><Relationship Id="rId2" Type="http://schemas.microsoft.com/office/2011/relationships/chartColorStyle" Target="colors63.xml"/><Relationship Id="rId1" Type="http://schemas.microsoft.com/office/2011/relationships/chartStyle" Target="style63.xml"/><Relationship Id="rId4" Type="http://schemas.openxmlformats.org/officeDocument/2006/relationships/chartUserShapes" Target="../drawings/drawing31.xml"/></Relationships>
</file>

<file path=word/charts/_rels/chart75.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60.xml"/></Relationships>
</file>

<file path=word/charts/_rels/chart76.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61.xml"/></Relationships>
</file>

<file path=word/charts/_rels/chart77.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62.xml"/></Relationships>
</file>

<file path=word/charts/_rels/chart78.xml.rels><?xml version="1.0" encoding="UTF-8" standalone="yes"?>
<Relationships xmlns="http://schemas.openxmlformats.org/package/2006/relationships"><Relationship Id="rId1" Type="http://schemas.openxmlformats.org/officeDocument/2006/relationships/oleObject" Target="file:///C:\Users\Admin\Desktop\Razni%20dokumenti\Za%20Fiskalnu%20Strategiju\Chart%20in%20Microsoft%20Word.xlsx" TargetMode="External"/></Relationships>
</file>

<file path=word/charts/_rels/chart79.xml.rels><?xml version="1.0" encoding="UTF-8" standalone="yes"?>
<Relationships xmlns="http://schemas.openxmlformats.org/package/2006/relationships"><Relationship Id="rId2" Type="http://schemas.openxmlformats.org/officeDocument/2006/relationships/oleObject" Target="file:///C:\Users\Milena\Desktop\revidiriana%202024%202026\MTDS%202024-2026%20R%20final_promena%20ro&#269;nosti%20rsd%20S1.xlsm" TargetMode="External"/><Relationship Id="rId1" Type="http://schemas.openxmlformats.org/officeDocument/2006/relationships/themeOverride" Target="../theme/themeOverride63.xml"/></Relationships>
</file>

<file path=word/charts/_rels/chart80.xml.rels><?xml version="1.0" encoding="UTF-8" standalone="yes"?>
<Relationships xmlns="http://schemas.openxmlformats.org/package/2006/relationships"><Relationship Id="rId1" Type="http://schemas.openxmlformats.org/officeDocument/2006/relationships/oleObject" Target="file:///C:\Users\Milena\Desktop\revidiriana%202024%202026\MTDS%202024-2026%20R%20final_promena%20ro&#269;nosti%20rsd%20S1.xlsm" TargetMode="External"/></Relationships>
</file>

<file path=word/charts/_rels/chart81.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64.xml"/><Relationship Id="rId1" Type="http://schemas.microsoft.com/office/2011/relationships/chartStyle" Target="style6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0" i="0" u="none" strike="noStrike" kern="1200" spc="0" baseline="0">
                <a:solidFill>
                  <a:schemeClr val="tx2"/>
                </a:solidFill>
                <a:latin typeface="+mn-lt"/>
                <a:ea typeface="+mn-ea"/>
                <a:cs typeface="Times New Roman" panose="02020603050405020304" pitchFamily="18" charset="0"/>
              </a:defRPr>
            </a:pPr>
            <a:r>
              <a:rPr lang="sr-Cyrl-RS" sz="800">
                <a:solidFill>
                  <a:schemeClr val="tx2"/>
                </a:solidFill>
                <a:latin typeface="+mn-lt"/>
              </a:rPr>
              <a:t>Раст БДП у Немачкој, %</a:t>
            </a:r>
          </a:p>
        </c:rich>
      </c:tx>
      <c:layout>
        <c:manualLayout>
          <c:xMode val="edge"/>
          <c:yMode val="edge"/>
          <c:x val="0.3266378600823045"/>
          <c:y val="2.1166666666666667E-2"/>
        </c:manualLayout>
      </c:layout>
      <c:overlay val="0"/>
      <c:spPr>
        <a:noFill/>
        <a:ln>
          <a:noFill/>
        </a:ln>
        <a:effectLst/>
      </c:spPr>
      <c:txPr>
        <a:bodyPr rot="0" spcFirstLastPara="1" vertOverflow="ellipsis" vert="horz" wrap="square" anchor="ctr" anchorCtr="1"/>
        <a:lstStyle/>
        <a:p>
          <a:pPr>
            <a:defRPr sz="800" b="0" i="0" u="none" strike="noStrike" kern="1200" spc="0" baseline="0">
              <a:solidFill>
                <a:schemeClr val="tx2"/>
              </a:solidFill>
              <a:latin typeface="+mn-lt"/>
              <a:ea typeface="+mn-ea"/>
              <a:cs typeface="Times New Roman" panose="02020603050405020304" pitchFamily="18" charset="0"/>
            </a:defRPr>
          </a:pPr>
          <a:endParaRPr lang="sr-Latn-RS"/>
        </a:p>
      </c:txPr>
    </c:title>
    <c:autoTitleDeleted val="0"/>
    <c:plotArea>
      <c:layout>
        <c:manualLayout>
          <c:layoutTarget val="inner"/>
          <c:xMode val="edge"/>
          <c:yMode val="edge"/>
          <c:x val="7.8862457404076075E-2"/>
          <c:y val="0.1857688888888889"/>
          <c:w val="0.88876071125802292"/>
          <c:h val="0.69037833333333332"/>
        </c:manualLayout>
      </c:layout>
      <c:lineChart>
        <c:grouping val="standard"/>
        <c:varyColors val="0"/>
        <c:ser>
          <c:idx val="0"/>
          <c:order val="0"/>
          <c:tx>
            <c:strRef>
              <c:f>'Nemacka, Italija, realni rast'!$A$13</c:f>
              <c:strCache>
                <c:ptCount val="1"/>
                <c:pt idx="0">
                  <c:v>окт. 2022.</c:v>
                </c:pt>
              </c:strCache>
            </c:strRef>
          </c:tx>
          <c:spPr>
            <a:ln w="25400" cap="rnd">
              <a:solidFill>
                <a:schemeClr val="accent4"/>
              </a:solidFill>
              <a:prstDash val="sysDot"/>
              <a:round/>
            </a:ln>
            <a:effectLst/>
          </c:spPr>
          <c:marker>
            <c:symbol val="none"/>
          </c:marker>
          <c:dLbls>
            <c:dLbl>
              <c:idx val="0"/>
              <c:layout>
                <c:manualLayout>
                  <c:x val="-5.9794306101645593E-2"/>
                  <c:y val="5.70129629629629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83A-4AFF-A961-4CEBC20C73A6}"/>
                </c:ext>
              </c:extLst>
            </c:dLbl>
            <c:dLbl>
              <c:idx val="1"/>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83A-4AFF-A961-4CEBC20C73A6}"/>
                </c:ext>
              </c:extLst>
            </c:dLbl>
            <c:dLbl>
              <c:idx val="2"/>
              <c:layout>
                <c:manualLayout>
                  <c:x val="-5.5170744138634049E-2"/>
                  <c:y val="-5.70129629629630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83A-4AFF-A961-4CEBC20C73A6}"/>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accent4">
                        <a:lumMod val="75000"/>
                      </a:schemeClr>
                    </a:solidFill>
                    <a:latin typeface="+mn-lt"/>
                    <a:ea typeface="+mn-ea"/>
                    <a:cs typeface="Times New Roman" panose="02020603050405020304" pitchFamily="18"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2022</c:v>
                </c:pt>
                <c:pt idx="1">
                  <c:v>2023</c:v>
                </c:pt>
                <c:pt idx="2">
                  <c:v>2024</c:v>
                </c:pt>
              </c:numCache>
            </c:numRef>
          </c:cat>
          <c:val>
            <c:numRef>
              <c:f>'Nemacka, Italija, realni rast'!$D$13:$F$13</c:f>
              <c:numCache>
                <c:formatCode>0.0</c:formatCode>
                <c:ptCount val="3"/>
                <c:pt idx="0">
                  <c:v>1.5469999999999999</c:v>
                </c:pt>
                <c:pt idx="1">
                  <c:v>-0.29399999999999998</c:v>
                </c:pt>
                <c:pt idx="2">
                  <c:v>1.5029999999999999</c:v>
                </c:pt>
              </c:numCache>
            </c:numRef>
          </c:val>
          <c:smooth val="0"/>
          <c:extLst>
            <c:ext xmlns:c16="http://schemas.microsoft.com/office/drawing/2014/chart" uri="{C3380CC4-5D6E-409C-BE32-E72D297353CC}">
              <c16:uniqueId val="{00000003-D83A-4AFF-A961-4CEBC20C73A6}"/>
            </c:ext>
          </c:extLst>
        </c:ser>
        <c:ser>
          <c:idx val="1"/>
          <c:order val="1"/>
          <c:tx>
            <c:strRef>
              <c:f>'Nemacka, Italija, realni rast'!$A$14</c:f>
              <c:strCache>
                <c:ptCount val="1"/>
                <c:pt idx="0">
                  <c:v>апр. 2023.</c:v>
                </c:pt>
              </c:strCache>
            </c:strRef>
          </c:tx>
          <c:spPr>
            <a:ln w="22225" cap="rnd">
              <a:solidFill>
                <a:srgbClr val="002060"/>
              </a:solidFill>
              <a:prstDash val="sysDash"/>
              <a:round/>
            </a:ln>
            <a:effectLst/>
          </c:spPr>
          <c:marker>
            <c:symbol val="none"/>
          </c:marker>
          <c:dLbls>
            <c:dLbl>
              <c:idx val="0"/>
              <c:dLblPos val="l"/>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83A-4AFF-A961-4CEBC20C73A6}"/>
                </c:ext>
              </c:extLst>
            </c:dLbl>
            <c:dLbl>
              <c:idx val="1"/>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83A-4AFF-A961-4CEBC20C73A6}"/>
                </c:ext>
              </c:extLst>
            </c:dLbl>
            <c:dLbl>
              <c:idx val="2"/>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83A-4AFF-A961-4CEBC20C73A6}"/>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002060"/>
                    </a:solidFill>
                    <a:latin typeface="+mn-lt"/>
                    <a:ea typeface="+mn-ea"/>
                    <a:cs typeface="Times New Roman" panose="02020603050405020304" pitchFamily="18" charset="0"/>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2022</c:v>
                </c:pt>
                <c:pt idx="1">
                  <c:v>2023</c:v>
                </c:pt>
                <c:pt idx="2">
                  <c:v>2024</c:v>
                </c:pt>
              </c:numCache>
            </c:numRef>
          </c:cat>
          <c:val>
            <c:numRef>
              <c:f>'Nemacka, Italija, realni rast'!$D$14:$F$14</c:f>
              <c:numCache>
                <c:formatCode>0.0</c:formatCode>
                <c:ptCount val="3"/>
                <c:pt idx="0">
                  <c:v>1.778</c:v>
                </c:pt>
                <c:pt idx="1">
                  <c:v>-0.109</c:v>
                </c:pt>
                <c:pt idx="2">
                  <c:v>1.0980000000000001</c:v>
                </c:pt>
              </c:numCache>
            </c:numRef>
          </c:val>
          <c:smooth val="0"/>
          <c:extLst>
            <c:ext xmlns:c16="http://schemas.microsoft.com/office/drawing/2014/chart" uri="{C3380CC4-5D6E-409C-BE32-E72D297353CC}">
              <c16:uniqueId val="{00000007-D83A-4AFF-A961-4CEBC20C73A6}"/>
            </c:ext>
          </c:extLst>
        </c:ser>
        <c:ser>
          <c:idx val="2"/>
          <c:order val="2"/>
          <c:tx>
            <c:strRef>
              <c:f>'Nemacka, Italija, realni rast'!$A$15</c:f>
              <c:strCache>
                <c:ptCount val="1"/>
                <c:pt idx="0">
                  <c:v>јул 2023.</c:v>
                </c:pt>
              </c:strCache>
            </c:strRef>
          </c:tx>
          <c:spPr>
            <a:ln w="28575" cap="rnd">
              <a:solidFill>
                <a:srgbClr val="FF0000"/>
              </a:solidFill>
              <a:round/>
            </a:ln>
            <a:effectLst/>
          </c:spPr>
          <c:marker>
            <c:symbol val="circle"/>
            <c:size val="13"/>
            <c:spPr>
              <a:solidFill>
                <a:srgbClr val="FF0000"/>
              </a:solidFill>
              <a:ln w="9525">
                <a:noFill/>
              </a:ln>
              <a:effectLst/>
            </c:spPr>
          </c:marker>
          <c:dLbls>
            <c:spPr>
              <a:noFill/>
              <a:ln>
                <a:noFill/>
              </a:ln>
              <a:effectLst/>
            </c:spPr>
            <c:txPr>
              <a:bodyPr rot="0" spcFirstLastPara="1" vertOverflow="ellipsis" vert="horz" wrap="square" anchor="ctr" anchorCtr="1"/>
              <a:lstStyle/>
              <a:p>
                <a:pPr>
                  <a:defRPr sz="700" b="0" i="0" u="none" strike="noStrike" kern="1200" baseline="0">
                    <a:solidFill>
                      <a:schemeClr val="bg1"/>
                    </a:solidFill>
                    <a:latin typeface="+mn-lt"/>
                    <a:ea typeface="+mn-ea"/>
                    <a:cs typeface="Times New Roman" panose="02020603050405020304" pitchFamily="18" charset="0"/>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2022</c:v>
                </c:pt>
                <c:pt idx="1">
                  <c:v>2023</c:v>
                </c:pt>
                <c:pt idx="2">
                  <c:v>2024</c:v>
                </c:pt>
              </c:numCache>
            </c:numRef>
          </c:cat>
          <c:val>
            <c:numRef>
              <c:f>'Nemacka, Italija, realni rast'!$D$15:$F$15</c:f>
              <c:numCache>
                <c:formatCode>0.0</c:formatCode>
                <c:ptCount val="3"/>
                <c:pt idx="0">
                  <c:v>1.8</c:v>
                </c:pt>
                <c:pt idx="1">
                  <c:v>-0.3</c:v>
                </c:pt>
                <c:pt idx="2">
                  <c:v>1.3</c:v>
                </c:pt>
              </c:numCache>
            </c:numRef>
          </c:val>
          <c:smooth val="0"/>
          <c:extLst>
            <c:ext xmlns:c16="http://schemas.microsoft.com/office/drawing/2014/chart" uri="{C3380CC4-5D6E-409C-BE32-E72D297353CC}">
              <c16:uniqueId val="{00000008-D83A-4AFF-A961-4CEBC20C73A6}"/>
            </c:ext>
          </c:extLst>
        </c:ser>
        <c:dLbls>
          <c:showLegendKey val="0"/>
          <c:showVal val="0"/>
          <c:showCatName val="0"/>
          <c:showSerName val="0"/>
          <c:showPercent val="0"/>
          <c:showBubbleSize val="0"/>
        </c:dLbls>
        <c:smooth val="0"/>
        <c:axId val="852001664"/>
        <c:axId val="852012064"/>
      </c:lineChart>
      <c:catAx>
        <c:axId val="852001664"/>
        <c:scaling>
          <c:orientation val="minMax"/>
        </c:scaling>
        <c:delete val="0"/>
        <c:axPos val="b"/>
        <c:numFmt formatCode="General" sourceLinked="1"/>
        <c:majorTickMark val="none"/>
        <c:minorTickMark val="none"/>
        <c:tickLblPos val="low"/>
        <c:spPr>
          <a:noFill/>
          <a:ln w="9525"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12064"/>
        <c:crosses val="autoZero"/>
        <c:auto val="1"/>
        <c:lblAlgn val="ctr"/>
        <c:lblOffset val="100"/>
        <c:noMultiLvlLbl val="0"/>
      </c:catAx>
      <c:valAx>
        <c:axId val="85201206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01664"/>
        <c:crosses val="autoZero"/>
        <c:crossBetween val="between"/>
        <c:majorUnit val="1"/>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sr-Latn-R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0" i="0" u="none" strike="noStrike" kern="1200" spc="0" baseline="0">
                <a:solidFill>
                  <a:schemeClr val="tx2"/>
                </a:solidFill>
                <a:latin typeface="+mn-lt"/>
                <a:ea typeface="+mn-ea"/>
                <a:cs typeface="Times New Roman" panose="02020603050405020304" pitchFamily="18" charset="0"/>
              </a:defRPr>
            </a:pPr>
            <a:r>
              <a:rPr lang="sr-Cyrl-RS"/>
              <a:t>Раст БДП у Италији, %</a:t>
            </a:r>
          </a:p>
        </c:rich>
      </c:tx>
      <c:layout>
        <c:manualLayout>
          <c:xMode val="edge"/>
          <c:yMode val="edge"/>
          <c:x val="0.3266378600823045"/>
          <c:y val="2.1166666666666667E-2"/>
        </c:manualLayout>
      </c:layout>
      <c:overlay val="0"/>
      <c:spPr>
        <a:noFill/>
        <a:ln>
          <a:noFill/>
        </a:ln>
        <a:effectLst/>
      </c:spPr>
      <c:txPr>
        <a:bodyPr rot="0" spcFirstLastPara="1" vertOverflow="ellipsis" vert="horz" wrap="square" anchor="ctr" anchorCtr="1"/>
        <a:lstStyle/>
        <a:p>
          <a:pPr>
            <a:defRPr sz="800" b="0" i="0" u="none" strike="noStrike" kern="1200" spc="0" baseline="0">
              <a:solidFill>
                <a:schemeClr val="tx2"/>
              </a:solidFill>
              <a:latin typeface="+mn-lt"/>
              <a:ea typeface="+mn-ea"/>
              <a:cs typeface="Times New Roman" panose="02020603050405020304" pitchFamily="18" charset="0"/>
            </a:defRPr>
          </a:pPr>
          <a:endParaRPr lang="sr-Latn-RS"/>
        </a:p>
      </c:txPr>
    </c:title>
    <c:autoTitleDeleted val="0"/>
    <c:plotArea>
      <c:layout>
        <c:manualLayout>
          <c:layoutTarget val="inner"/>
          <c:xMode val="edge"/>
          <c:yMode val="edge"/>
          <c:x val="7.8862457404076075E-2"/>
          <c:y val="0.1857688888888889"/>
          <c:w val="0.88876071125802292"/>
          <c:h val="0.69037833333333332"/>
        </c:manualLayout>
      </c:layout>
      <c:lineChart>
        <c:grouping val="standard"/>
        <c:varyColors val="0"/>
        <c:ser>
          <c:idx val="0"/>
          <c:order val="0"/>
          <c:tx>
            <c:strRef>
              <c:f>'Nemacka, Italija, realni rast'!$A$20</c:f>
              <c:strCache>
                <c:ptCount val="1"/>
                <c:pt idx="0">
                  <c:v>окт. 2022.</c:v>
                </c:pt>
              </c:strCache>
            </c:strRef>
          </c:tx>
          <c:spPr>
            <a:ln w="25400" cap="rnd">
              <a:solidFill>
                <a:schemeClr val="accent4"/>
              </a:solidFill>
              <a:prstDash val="sysDot"/>
              <a:round/>
            </a:ln>
            <a:effectLst/>
          </c:spPr>
          <c:marker>
            <c:symbol val="none"/>
          </c:marker>
          <c:dLbls>
            <c:dLbl>
              <c:idx val="0"/>
              <c:layout>
                <c:manualLayout>
                  <c:x val="-7.3664991990680079E-2"/>
                  <c:y val="4.061750299501084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416-4E88-A8C3-31F79B7EC85C}"/>
                </c:ext>
              </c:extLst>
            </c:dLbl>
            <c:dLbl>
              <c:idx val="1"/>
              <c:layout>
                <c:manualLayout>
                  <c:x val="-6.9470737852263306E-2"/>
                  <c:y val="4.8144734575717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416-4E88-A8C3-31F79B7EC85C}"/>
                </c:ext>
              </c:extLst>
            </c:dLbl>
            <c:dLbl>
              <c:idx val="2"/>
              <c:layout>
                <c:manualLayout>
                  <c:x val="-5.9794306101645552E-2"/>
                  <c:y val="-6.372837147233216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416-4E88-A8C3-31F79B7EC85C}"/>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accent4">
                        <a:lumMod val="75000"/>
                      </a:schemeClr>
                    </a:solidFill>
                    <a:latin typeface="+mn-lt"/>
                    <a:ea typeface="+mn-ea"/>
                    <a:cs typeface="Times New Roman" panose="02020603050405020304" pitchFamily="18"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2022</c:v>
                </c:pt>
                <c:pt idx="1">
                  <c:v>2023</c:v>
                </c:pt>
                <c:pt idx="2">
                  <c:v>2024</c:v>
                </c:pt>
              </c:numCache>
            </c:numRef>
          </c:cat>
          <c:val>
            <c:numRef>
              <c:f>'Nemacka, Italija, realni rast'!$D$20:$F$20</c:f>
              <c:numCache>
                <c:formatCode>0.0</c:formatCode>
                <c:ptCount val="3"/>
                <c:pt idx="0">
                  <c:v>3.161</c:v>
                </c:pt>
                <c:pt idx="1">
                  <c:v>-0.18099999999999999</c:v>
                </c:pt>
                <c:pt idx="2">
                  <c:v>1.337</c:v>
                </c:pt>
              </c:numCache>
            </c:numRef>
          </c:val>
          <c:smooth val="0"/>
          <c:extLst>
            <c:ext xmlns:c16="http://schemas.microsoft.com/office/drawing/2014/chart" uri="{C3380CC4-5D6E-409C-BE32-E72D297353CC}">
              <c16:uniqueId val="{00000003-C416-4E88-A8C3-31F79B7EC85C}"/>
            </c:ext>
          </c:extLst>
        </c:ser>
        <c:ser>
          <c:idx val="1"/>
          <c:order val="1"/>
          <c:tx>
            <c:strRef>
              <c:f>'Nemacka, Italija, realni rast'!$A$21</c:f>
              <c:strCache>
                <c:ptCount val="1"/>
                <c:pt idx="0">
                  <c:v>апр. 2023.</c:v>
                </c:pt>
              </c:strCache>
            </c:strRef>
          </c:tx>
          <c:spPr>
            <a:ln w="22225" cap="rnd">
              <a:solidFill>
                <a:srgbClr val="002060"/>
              </a:solidFill>
              <a:prstDash val="sysDash"/>
              <a:round/>
            </a:ln>
            <a:effectLst/>
          </c:spPr>
          <c:marker>
            <c:symbol val="none"/>
          </c:marker>
          <c:dLbls>
            <c:dLbl>
              <c:idx val="0"/>
              <c:dLblPos val="l"/>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416-4E88-A8C3-31F79B7EC85C}"/>
                </c:ext>
              </c:extLst>
            </c:dLbl>
            <c:dLbl>
              <c:idx val="1"/>
              <c:layout>
                <c:manualLayout>
                  <c:x val="-5.9875330057457245E-2"/>
                  <c:y val="5.5820236127437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416-4E88-A8C3-31F79B7EC85C}"/>
                </c:ext>
              </c:extLst>
            </c:dLbl>
            <c:dLbl>
              <c:idx val="2"/>
              <c:layout>
                <c:manualLayout>
                  <c:x val="-5.9794306101645552E-2"/>
                  <c:y val="5.602474864655838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416-4E88-A8C3-31F79B7EC85C}"/>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002060"/>
                    </a:solidFill>
                    <a:latin typeface="+mn-lt"/>
                    <a:ea typeface="+mn-ea"/>
                    <a:cs typeface="Times New Roman" panose="02020603050405020304" pitchFamily="18" charset="0"/>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2022</c:v>
                </c:pt>
                <c:pt idx="1">
                  <c:v>2023</c:v>
                </c:pt>
                <c:pt idx="2">
                  <c:v>2024</c:v>
                </c:pt>
              </c:numCache>
            </c:numRef>
          </c:cat>
          <c:val>
            <c:numRef>
              <c:f>'Nemacka, Italija, realni rast'!$D$21:$F$21</c:f>
              <c:numCache>
                <c:formatCode>0.0</c:formatCode>
                <c:ptCount val="3"/>
                <c:pt idx="0">
                  <c:v>3.6749999999999998</c:v>
                </c:pt>
                <c:pt idx="1">
                  <c:v>0.65200000000000002</c:v>
                </c:pt>
                <c:pt idx="2">
                  <c:v>0.78</c:v>
                </c:pt>
              </c:numCache>
            </c:numRef>
          </c:val>
          <c:smooth val="0"/>
          <c:extLst>
            <c:ext xmlns:c16="http://schemas.microsoft.com/office/drawing/2014/chart" uri="{C3380CC4-5D6E-409C-BE32-E72D297353CC}">
              <c16:uniqueId val="{00000007-C416-4E88-A8C3-31F79B7EC85C}"/>
            </c:ext>
          </c:extLst>
        </c:ser>
        <c:ser>
          <c:idx val="2"/>
          <c:order val="2"/>
          <c:tx>
            <c:strRef>
              <c:f>'Nemacka, Italija, realni rast'!$A$22</c:f>
              <c:strCache>
                <c:ptCount val="1"/>
                <c:pt idx="0">
                  <c:v>јул 2023.</c:v>
                </c:pt>
              </c:strCache>
            </c:strRef>
          </c:tx>
          <c:spPr>
            <a:ln w="28575" cap="rnd">
              <a:solidFill>
                <a:srgbClr val="FF0000"/>
              </a:solidFill>
              <a:round/>
            </a:ln>
            <a:effectLst/>
          </c:spPr>
          <c:marker>
            <c:symbol val="circle"/>
            <c:size val="13"/>
            <c:spPr>
              <a:solidFill>
                <a:srgbClr val="FF0000"/>
              </a:solidFill>
              <a:ln w="9525">
                <a:noFill/>
              </a:ln>
              <a:effectLst/>
            </c:spPr>
          </c:marker>
          <c:dLbls>
            <c:spPr>
              <a:noFill/>
              <a:ln>
                <a:noFill/>
              </a:ln>
              <a:effectLst/>
            </c:spPr>
            <c:txPr>
              <a:bodyPr rot="0" spcFirstLastPara="1" vertOverflow="ellipsis" vert="horz" wrap="square" anchor="ctr" anchorCtr="1"/>
              <a:lstStyle/>
              <a:p>
                <a:pPr>
                  <a:defRPr sz="700" b="0" i="0" u="none" strike="noStrike" kern="1200" baseline="0">
                    <a:solidFill>
                      <a:schemeClr val="bg1"/>
                    </a:solidFill>
                    <a:latin typeface="+mn-lt"/>
                    <a:ea typeface="+mn-ea"/>
                    <a:cs typeface="Times New Roman" panose="02020603050405020304" pitchFamily="18" charset="0"/>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2022</c:v>
                </c:pt>
                <c:pt idx="1">
                  <c:v>2023</c:v>
                </c:pt>
                <c:pt idx="2">
                  <c:v>2024</c:v>
                </c:pt>
              </c:numCache>
            </c:numRef>
          </c:cat>
          <c:val>
            <c:numRef>
              <c:f>'Nemacka, Italija, realni rast'!$D$22:$F$22</c:f>
              <c:numCache>
                <c:formatCode>0.0</c:formatCode>
                <c:ptCount val="3"/>
                <c:pt idx="0">
                  <c:v>3.7</c:v>
                </c:pt>
                <c:pt idx="1">
                  <c:v>1.1000000000000001</c:v>
                </c:pt>
                <c:pt idx="2">
                  <c:v>0.9</c:v>
                </c:pt>
              </c:numCache>
            </c:numRef>
          </c:val>
          <c:smooth val="0"/>
          <c:extLst>
            <c:ext xmlns:c16="http://schemas.microsoft.com/office/drawing/2014/chart" uri="{C3380CC4-5D6E-409C-BE32-E72D297353CC}">
              <c16:uniqueId val="{00000008-C416-4E88-A8C3-31F79B7EC85C}"/>
            </c:ext>
          </c:extLst>
        </c:ser>
        <c:dLbls>
          <c:showLegendKey val="0"/>
          <c:showVal val="0"/>
          <c:showCatName val="0"/>
          <c:showSerName val="0"/>
          <c:showPercent val="0"/>
          <c:showBubbleSize val="0"/>
        </c:dLbls>
        <c:smooth val="0"/>
        <c:axId val="852001664"/>
        <c:axId val="852012064"/>
      </c:lineChart>
      <c:catAx>
        <c:axId val="852001664"/>
        <c:scaling>
          <c:orientation val="minMax"/>
        </c:scaling>
        <c:delete val="0"/>
        <c:axPos val="b"/>
        <c:numFmt formatCode="General" sourceLinked="1"/>
        <c:majorTickMark val="none"/>
        <c:minorTickMark val="none"/>
        <c:tickLblPos val="low"/>
        <c:spPr>
          <a:noFill/>
          <a:ln w="9525"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12064"/>
        <c:crosses val="autoZero"/>
        <c:auto val="1"/>
        <c:lblAlgn val="ctr"/>
        <c:lblOffset val="100"/>
        <c:noMultiLvlLbl val="0"/>
      </c:catAx>
      <c:valAx>
        <c:axId val="85201206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0166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sr-Latn-R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5979221347331585E-2"/>
          <c:y val="5.0925925925925923E-2"/>
          <c:w val="0.91179855643044616"/>
          <c:h val="0.55948245614035086"/>
        </c:manualLayout>
      </c:layout>
      <c:barChart>
        <c:barDir val="col"/>
        <c:grouping val="stacked"/>
        <c:varyColors val="0"/>
        <c:ser>
          <c:idx val="0"/>
          <c:order val="0"/>
          <c:tx>
            <c:strRef>
              <c:f>'WEO_ekon. rast'!$B$296</c:f>
              <c:strCache>
                <c:ptCount val="1"/>
                <c:pt idx="0">
                  <c:v>Развијене економије искључујући САД и ЕУ</c:v>
                </c:pt>
              </c:strCache>
            </c:strRef>
          </c:tx>
          <c:spPr>
            <a:solidFill>
              <a:srgbClr val="10103C"/>
            </a:solidFill>
            <a:ln>
              <a:noFill/>
            </a:ln>
            <a:effectLst/>
          </c:spPr>
          <c:invertIfNegative val="0"/>
          <c:cat>
            <c:numRef>
              <c:f>'WEO_ekon. rast'!$G$295:$L$295</c:f>
              <c:numCache>
                <c:formatCode>General</c:formatCode>
                <c:ptCount val="6"/>
                <c:pt idx="0">
                  <c:v>2019</c:v>
                </c:pt>
                <c:pt idx="1">
                  <c:v>2020</c:v>
                </c:pt>
                <c:pt idx="2">
                  <c:v>2021</c:v>
                </c:pt>
                <c:pt idx="3">
                  <c:v>2022</c:v>
                </c:pt>
                <c:pt idx="4">
                  <c:v>2023</c:v>
                </c:pt>
                <c:pt idx="5">
                  <c:v>2024</c:v>
                </c:pt>
              </c:numCache>
            </c:numRef>
          </c:cat>
          <c:val>
            <c:numRef>
              <c:f>'WEO_ekon. rast'!$G$296:$L$296</c:f>
              <c:numCache>
                <c:formatCode>0.0</c:formatCode>
                <c:ptCount val="6"/>
                <c:pt idx="0">
                  <c:v>8.3603670000000074E-2</c:v>
                </c:pt>
                <c:pt idx="1">
                  <c:v>-0.5141040899999999</c:v>
                </c:pt>
                <c:pt idx="2">
                  <c:v>0.52484200000000036</c:v>
                </c:pt>
                <c:pt idx="3">
                  <c:v>0.25053699999999995</c:v>
                </c:pt>
                <c:pt idx="4">
                  <c:v>0.19414900000000002</c:v>
                </c:pt>
                <c:pt idx="5">
                  <c:v>0.17137399999999992</c:v>
                </c:pt>
              </c:numCache>
            </c:numRef>
          </c:val>
          <c:extLst>
            <c:ext xmlns:c16="http://schemas.microsoft.com/office/drawing/2014/chart" uri="{C3380CC4-5D6E-409C-BE32-E72D297353CC}">
              <c16:uniqueId val="{00000000-4130-418D-A06C-39AAD80E62F6}"/>
            </c:ext>
          </c:extLst>
        </c:ser>
        <c:ser>
          <c:idx val="1"/>
          <c:order val="1"/>
          <c:tx>
            <c:strRef>
              <c:f>'WEO_ekon. rast'!$B$297</c:f>
              <c:strCache>
                <c:ptCount val="1"/>
                <c:pt idx="0">
                  <c:v>САД</c:v>
                </c:pt>
              </c:strCache>
            </c:strRef>
          </c:tx>
          <c:spPr>
            <a:solidFill>
              <a:srgbClr val="2A489A"/>
            </a:solidFill>
            <a:ln>
              <a:noFill/>
            </a:ln>
            <a:effectLst/>
          </c:spPr>
          <c:invertIfNegative val="0"/>
          <c:cat>
            <c:numRef>
              <c:f>'WEO_ekon. rast'!$G$295:$L$295</c:f>
              <c:numCache>
                <c:formatCode>General</c:formatCode>
                <c:ptCount val="6"/>
                <c:pt idx="0">
                  <c:v>2019</c:v>
                </c:pt>
                <c:pt idx="1">
                  <c:v>2020</c:v>
                </c:pt>
                <c:pt idx="2">
                  <c:v>2021</c:v>
                </c:pt>
                <c:pt idx="3">
                  <c:v>2022</c:v>
                </c:pt>
                <c:pt idx="4">
                  <c:v>2023</c:v>
                </c:pt>
                <c:pt idx="5">
                  <c:v>2024</c:v>
                </c:pt>
              </c:numCache>
            </c:numRef>
          </c:cat>
          <c:val>
            <c:numRef>
              <c:f>'WEO_ekon. rast'!$G$297:$L$297</c:f>
              <c:numCache>
                <c:formatCode>0.0</c:formatCode>
                <c:ptCount val="6"/>
                <c:pt idx="0">
                  <c:v>0.36148544999999993</c:v>
                </c:pt>
                <c:pt idx="1">
                  <c:v>-0.43709487999999996</c:v>
                </c:pt>
                <c:pt idx="2">
                  <c:v>0.93001699999999998</c:v>
                </c:pt>
                <c:pt idx="3">
                  <c:v>0.32705400000000001</c:v>
                </c:pt>
                <c:pt idx="4">
                  <c:v>0.27705600000000002</c:v>
                </c:pt>
                <c:pt idx="5">
                  <c:v>0.15105000000000002</c:v>
                </c:pt>
              </c:numCache>
            </c:numRef>
          </c:val>
          <c:extLst>
            <c:ext xmlns:c16="http://schemas.microsoft.com/office/drawing/2014/chart" uri="{C3380CC4-5D6E-409C-BE32-E72D297353CC}">
              <c16:uniqueId val="{00000001-4130-418D-A06C-39AAD80E62F6}"/>
            </c:ext>
          </c:extLst>
        </c:ser>
        <c:ser>
          <c:idx val="2"/>
          <c:order val="2"/>
          <c:tx>
            <c:strRef>
              <c:f>'WEO_ekon. rast'!$B$298</c:f>
              <c:strCache>
                <c:ptCount val="1"/>
                <c:pt idx="0">
                  <c:v>ЕУ</c:v>
                </c:pt>
              </c:strCache>
            </c:strRef>
          </c:tx>
          <c:spPr>
            <a:solidFill>
              <a:srgbClr val="2183C4"/>
            </a:solidFill>
            <a:ln>
              <a:noFill/>
            </a:ln>
            <a:effectLst/>
          </c:spPr>
          <c:invertIfNegative val="0"/>
          <c:cat>
            <c:numRef>
              <c:f>'WEO_ekon. rast'!$G$295:$L$295</c:f>
              <c:numCache>
                <c:formatCode>General</c:formatCode>
                <c:ptCount val="6"/>
                <c:pt idx="0">
                  <c:v>2019</c:v>
                </c:pt>
                <c:pt idx="1">
                  <c:v>2020</c:v>
                </c:pt>
                <c:pt idx="2">
                  <c:v>2021</c:v>
                </c:pt>
                <c:pt idx="3">
                  <c:v>2022</c:v>
                </c:pt>
                <c:pt idx="4">
                  <c:v>2023</c:v>
                </c:pt>
                <c:pt idx="5">
                  <c:v>2024</c:v>
                </c:pt>
              </c:numCache>
            </c:numRef>
          </c:cat>
          <c:val>
            <c:numRef>
              <c:f>'WEO_ekon. rast'!$G$298:$L$298</c:f>
              <c:numCache>
                <c:formatCode>0.0</c:formatCode>
                <c:ptCount val="6"/>
                <c:pt idx="0">
                  <c:v>0.30279732000000004</c:v>
                </c:pt>
                <c:pt idx="1">
                  <c:v>-0.83106670999999999</c:v>
                </c:pt>
                <c:pt idx="2">
                  <c:v>0.81427499999999997</c:v>
                </c:pt>
                <c:pt idx="3">
                  <c:v>0.54952400000000012</c:v>
                </c:pt>
                <c:pt idx="4">
                  <c:v>0.14557999999999999</c:v>
                </c:pt>
                <c:pt idx="5">
                  <c:v>0.24408600000000003</c:v>
                </c:pt>
              </c:numCache>
            </c:numRef>
          </c:val>
          <c:extLst>
            <c:ext xmlns:c16="http://schemas.microsoft.com/office/drawing/2014/chart" uri="{C3380CC4-5D6E-409C-BE32-E72D297353CC}">
              <c16:uniqueId val="{00000002-4130-418D-A06C-39AAD80E62F6}"/>
            </c:ext>
          </c:extLst>
        </c:ser>
        <c:ser>
          <c:idx val="3"/>
          <c:order val="3"/>
          <c:tx>
            <c:strRef>
              <c:f>'WEO_ekon. rast'!$B$299</c:f>
              <c:strCache>
                <c:ptCount val="1"/>
                <c:pt idx="0">
                  <c:v>Земље у успону Азијског континента без Кине</c:v>
                </c:pt>
              </c:strCache>
            </c:strRef>
          </c:tx>
          <c:spPr>
            <a:solidFill>
              <a:srgbClr val="51BBE7"/>
            </a:solidFill>
            <a:ln>
              <a:noFill/>
            </a:ln>
            <a:effectLst/>
          </c:spPr>
          <c:invertIfNegative val="0"/>
          <c:cat>
            <c:numRef>
              <c:f>'WEO_ekon. rast'!$G$295:$L$295</c:f>
              <c:numCache>
                <c:formatCode>General</c:formatCode>
                <c:ptCount val="6"/>
                <c:pt idx="0">
                  <c:v>2019</c:v>
                </c:pt>
                <c:pt idx="1">
                  <c:v>2020</c:v>
                </c:pt>
                <c:pt idx="2">
                  <c:v>2021</c:v>
                </c:pt>
                <c:pt idx="3">
                  <c:v>2022</c:v>
                </c:pt>
                <c:pt idx="4">
                  <c:v>2023</c:v>
                </c:pt>
                <c:pt idx="5">
                  <c:v>2024</c:v>
                </c:pt>
              </c:numCache>
            </c:numRef>
          </c:cat>
          <c:val>
            <c:numRef>
              <c:f>'WEO_ekon. rast'!$G$299:$L$299</c:f>
              <c:numCache>
                <c:formatCode>0.0</c:formatCode>
                <c:ptCount val="6"/>
                <c:pt idx="0">
                  <c:v>0.61810345</c:v>
                </c:pt>
                <c:pt idx="1">
                  <c:v>-0.55595284</c:v>
                </c:pt>
                <c:pt idx="2">
                  <c:v>0.87798300000000018</c:v>
                </c:pt>
                <c:pt idx="3">
                  <c:v>0.92101499999999992</c:v>
                </c:pt>
                <c:pt idx="4">
                  <c:v>0.79590299999999969</c:v>
                </c:pt>
                <c:pt idx="5">
                  <c:v>0.84893999999999992</c:v>
                </c:pt>
              </c:numCache>
            </c:numRef>
          </c:val>
          <c:extLst>
            <c:ext xmlns:c16="http://schemas.microsoft.com/office/drawing/2014/chart" uri="{C3380CC4-5D6E-409C-BE32-E72D297353CC}">
              <c16:uniqueId val="{00000003-4130-418D-A06C-39AAD80E62F6}"/>
            </c:ext>
          </c:extLst>
        </c:ser>
        <c:ser>
          <c:idx val="4"/>
          <c:order val="4"/>
          <c:tx>
            <c:strRef>
              <c:f>'WEO_ekon. rast'!$B$300</c:f>
              <c:strCache>
                <c:ptCount val="1"/>
                <c:pt idx="0">
                  <c:v>Кина</c:v>
                </c:pt>
              </c:strCache>
            </c:strRef>
          </c:tx>
          <c:spPr>
            <a:solidFill>
              <a:srgbClr val="90CAE2"/>
            </a:solidFill>
            <a:ln>
              <a:noFill/>
            </a:ln>
            <a:effectLst/>
          </c:spPr>
          <c:invertIfNegative val="0"/>
          <c:cat>
            <c:numRef>
              <c:f>'WEO_ekon. rast'!$G$295:$L$295</c:f>
              <c:numCache>
                <c:formatCode>General</c:formatCode>
                <c:ptCount val="6"/>
                <c:pt idx="0">
                  <c:v>2019</c:v>
                </c:pt>
                <c:pt idx="1">
                  <c:v>2020</c:v>
                </c:pt>
                <c:pt idx="2">
                  <c:v>2021</c:v>
                </c:pt>
                <c:pt idx="3">
                  <c:v>2022</c:v>
                </c:pt>
                <c:pt idx="4">
                  <c:v>2023</c:v>
                </c:pt>
                <c:pt idx="5">
                  <c:v>2024</c:v>
                </c:pt>
              </c:numCache>
            </c:numRef>
          </c:cat>
          <c:val>
            <c:numRef>
              <c:f>'WEO_ekon. rast'!$G$300:$L$300</c:f>
              <c:numCache>
                <c:formatCode>0.0</c:formatCode>
                <c:ptCount val="6"/>
                <c:pt idx="0">
                  <c:v>1.0241075899999998</c:v>
                </c:pt>
                <c:pt idx="1">
                  <c:v>0.40674364000000002</c:v>
                </c:pt>
                <c:pt idx="2">
                  <c:v>1.5571919999999999</c:v>
                </c:pt>
                <c:pt idx="3">
                  <c:v>0.5544</c:v>
                </c:pt>
                <c:pt idx="4">
                  <c:v>0.98399599999999998</c:v>
                </c:pt>
                <c:pt idx="5">
                  <c:v>0.86391000000000007</c:v>
                </c:pt>
              </c:numCache>
            </c:numRef>
          </c:val>
          <c:extLst>
            <c:ext xmlns:c16="http://schemas.microsoft.com/office/drawing/2014/chart" uri="{C3380CC4-5D6E-409C-BE32-E72D297353CC}">
              <c16:uniqueId val="{00000004-4130-418D-A06C-39AAD80E62F6}"/>
            </c:ext>
          </c:extLst>
        </c:ser>
        <c:ser>
          <c:idx val="5"/>
          <c:order val="5"/>
          <c:tx>
            <c:strRef>
              <c:f>'WEO_ekon. rast'!$B$301</c:f>
              <c:strCache>
                <c:ptCount val="1"/>
                <c:pt idx="0">
                  <c:v>Остале земље у успону</c:v>
                </c:pt>
              </c:strCache>
            </c:strRef>
          </c:tx>
          <c:spPr>
            <a:solidFill>
              <a:srgbClr val="C9E4EB"/>
            </a:solidFill>
            <a:ln>
              <a:noFill/>
            </a:ln>
            <a:effectLst/>
          </c:spPr>
          <c:invertIfNegative val="0"/>
          <c:cat>
            <c:numRef>
              <c:f>'WEO_ekon. rast'!$G$295:$L$295</c:f>
              <c:numCache>
                <c:formatCode>General</c:formatCode>
                <c:ptCount val="6"/>
                <c:pt idx="0">
                  <c:v>2019</c:v>
                </c:pt>
                <c:pt idx="1">
                  <c:v>2020</c:v>
                </c:pt>
                <c:pt idx="2">
                  <c:v>2021</c:v>
                </c:pt>
                <c:pt idx="3">
                  <c:v>2022</c:v>
                </c:pt>
                <c:pt idx="4">
                  <c:v>2023</c:v>
                </c:pt>
                <c:pt idx="5">
                  <c:v>2024</c:v>
                </c:pt>
              </c:numCache>
            </c:numRef>
          </c:cat>
          <c:val>
            <c:numRef>
              <c:f>'WEO_ekon. rast'!$G$301:$L$301</c:f>
              <c:numCache>
                <c:formatCode>0.0</c:formatCode>
                <c:ptCount val="6"/>
                <c:pt idx="0">
                  <c:v>0.41990252000000039</c:v>
                </c:pt>
                <c:pt idx="1">
                  <c:v>-0.87352512000000027</c:v>
                </c:pt>
                <c:pt idx="2">
                  <c:v>1.5956909999999995</c:v>
                </c:pt>
                <c:pt idx="3">
                  <c:v>0.89747000000000021</c:v>
                </c:pt>
                <c:pt idx="4">
                  <c:v>0.60331600000000041</c:v>
                </c:pt>
                <c:pt idx="5">
                  <c:v>0.72063999999999995</c:v>
                </c:pt>
              </c:numCache>
            </c:numRef>
          </c:val>
          <c:extLst>
            <c:ext xmlns:c16="http://schemas.microsoft.com/office/drawing/2014/chart" uri="{C3380CC4-5D6E-409C-BE32-E72D297353CC}">
              <c16:uniqueId val="{00000005-4130-418D-A06C-39AAD80E62F6}"/>
            </c:ext>
          </c:extLst>
        </c:ser>
        <c:dLbls>
          <c:showLegendKey val="0"/>
          <c:showVal val="0"/>
          <c:showCatName val="0"/>
          <c:showSerName val="0"/>
          <c:showPercent val="0"/>
          <c:showBubbleSize val="0"/>
        </c:dLbls>
        <c:gapWidth val="30"/>
        <c:overlap val="100"/>
        <c:axId val="1642271680"/>
        <c:axId val="1642274400"/>
      </c:barChart>
      <c:lineChart>
        <c:grouping val="standard"/>
        <c:varyColors val="0"/>
        <c:ser>
          <c:idx val="6"/>
          <c:order val="6"/>
          <c:tx>
            <c:strRef>
              <c:f>'WEO_ekon. rast'!$B$302</c:f>
              <c:strCache>
                <c:ptCount val="1"/>
                <c:pt idx="0">
                  <c:v>Светски раст</c:v>
                </c:pt>
              </c:strCache>
            </c:strRef>
          </c:tx>
          <c:spPr>
            <a:ln w="25400" cap="rnd">
              <a:solidFill>
                <a:srgbClr val="FF0000"/>
              </a:solidFill>
              <a:round/>
            </a:ln>
            <a:effectLst/>
          </c:spPr>
          <c:marker>
            <c:symbol val="none"/>
          </c:marker>
          <c:dLbls>
            <c:dLbl>
              <c:idx val="1"/>
              <c:layout>
                <c:manualLayout>
                  <c:x val="-6.6898148148148151E-2"/>
                  <c:y val="4.55033416875522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130-418D-A06C-39AAD80E62F6}"/>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'WEO_ekon. rast'!$G$295:$L$295</c:f>
              <c:numCache>
                <c:formatCode>General</c:formatCode>
                <c:ptCount val="6"/>
                <c:pt idx="0">
                  <c:v>2019</c:v>
                </c:pt>
                <c:pt idx="1">
                  <c:v>2020</c:v>
                </c:pt>
                <c:pt idx="2">
                  <c:v>2021</c:v>
                </c:pt>
                <c:pt idx="3">
                  <c:v>2022</c:v>
                </c:pt>
                <c:pt idx="4">
                  <c:v>2023</c:v>
                </c:pt>
                <c:pt idx="5">
                  <c:v>2024</c:v>
                </c:pt>
              </c:numCache>
            </c:numRef>
          </c:cat>
          <c:val>
            <c:numRef>
              <c:f>'WEO_ekon. rast'!$G$302:$L$302</c:f>
              <c:numCache>
                <c:formatCode>0.0</c:formatCode>
                <c:ptCount val="6"/>
                <c:pt idx="0">
                  <c:v>2.81</c:v>
                </c:pt>
                <c:pt idx="1">
                  <c:v>-2.8050000000000002</c:v>
                </c:pt>
                <c:pt idx="2">
                  <c:v>6.3</c:v>
                </c:pt>
                <c:pt idx="3">
                  <c:v>3.5</c:v>
                </c:pt>
                <c:pt idx="4">
                  <c:v>3</c:v>
                </c:pt>
                <c:pt idx="5">
                  <c:v>3</c:v>
                </c:pt>
              </c:numCache>
            </c:numRef>
          </c:val>
          <c:smooth val="0"/>
          <c:extLst>
            <c:ext xmlns:c16="http://schemas.microsoft.com/office/drawing/2014/chart" uri="{C3380CC4-5D6E-409C-BE32-E72D297353CC}">
              <c16:uniqueId val="{00000007-4130-418D-A06C-39AAD80E62F6}"/>
            </c:ext>
          </c:extLst>
        </c:ser>
        <c:ser>
          <c:idx val="7"/>
          <c:order val="7"/>
          <c:tx>
            <c:strRef>
              <c:f>'WEO_ekon. rast'!$B$303</c:f>
              <c:strCache>
                <c:ptCount val="1"/>
              </c:strCache>
            </c:strRef>
          </c:tx>
          <c:spPr>
            <a:ln w="28575" cap="rnd">
              <a:noFill/>
              <a:round/>
            </a:ln>
            <a:effectLst/>
          </c:spPr>
          <c:marker>
            <c:symbol val="none"/>
          </c:marker>
          <c:dLbls>
            <c:dLbl>
              <c:idx val="1"/>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b"/>
              <c:showLegendKey val="0"/>
              <c:showVal val="0"/>
              <c:showCatName val="1"/>
              <c:showSerName val="0"/>
              <c:showPercent val="0"/>
              <c:showBubbleSize val="0"/>
              <c:extLst>
                <c:ext xmlns:c16="http://schemas.microsoft.com/office/drawing/2014/chart" uri="{C3380CC4-5D6E-409C-BE32-E72D297353CC}">
                  <c16:uniqueId val="{00000008-4130-418D-A06C-39AAD80E62F6}"/>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'WEO_ekon. rast'!$G$295:$L$295</c:f>
              <c:numCache>
                <c:formatCode>General</c:formatCode>
                <c:ptCount val="6"/>
                <c:pt idx="0">
                  <c:v>2019</c:v>
                </c:pt>
                <c:pt idx="1">
                  <c:v>2020</c:v>
                </c:pt>
                <c:pt idx="2">
                  <c:v>2021</c:v>
                </c:pt>
                <c:pt idx="3">
                  <c:v>2022</c:v>
                </c:pt>
                <c:pt idx="4">
                  <c:v>2023</c:v>
                </c:pt>
                <c:pt idx="5">
                  <c:v>2024</c:v>
                </c:pt>
              </c:numCache>
            </c:numRef>
          </c:cat>
          <c:val>
            <c:numRef>
              <c:f>'WEO_ekon. rast'!$G$303:$L$303</c:f>
              <c:numCache>
                <c:formatCode>General</c:formatCode>
                <c:ptCount val="6"/>
                <c:pt idx="0">
                  <c:v>0</c:v>
                </c:pt>
                <c:pt idx="1">
                  <c:v>0</c:v>
                </c:pt>
                <c:pt idx="2">
                  <c:v>0</c:v>
                </c:pt>
                <c:pt idx="3">
                  <c:v>0</c:v>
                </c:pt>
                <c:pt idx="4">
                  <c:v>0</c:v>
                </c:pt>
                <c:pt idx="5">
                  <c:v>0</c:v>
                </c:pt>
              </c:numCache>
            </c:numRef>
          </c:val>
          <c:smooth val="0"/>
          <c:extLst>
            <c:ext xmlns:c16="http://schemas.microsoft.com/office/drawing/2014/chart" uri="{C3380CC4-5D6E-409C-BE32-E72D297353CC}">
              <c16:uniqueId val="{00000009-4130-418D-A06C-39AAD80E62F6}"/>
            </c:ext>
          </c:extLst>
        </c:ser>
        <c:dLbls>
          <c:showLegendKey val="0"/>
          <c:showVal val="0"/>
          <c:showCatName val="0"/>
          <c:showSerName val="0"/>
          <c:showPercent val="0"/>
          <c:showBubbleSize val="0"/>
        </c:dLbls>
        <c:marker val="1"/>
        <c:smooth val="0"/>
        <c:axId val="1642271680"/>
        <c:axId val="1642274400"/>
      </c:lineChart>
      <c:catAx>
        <c:axId val="1642271680"/>
        <c:scaling>
          <c:orientation val="minMax"/>
        </c:scaling>
        <c:delete val="0"/>
        <c:axPos val="b"/>
        <c:numFmt formatCode="General" sourceLinked="1"/>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642274400"/>
        <c:crosses val="autoZero"/>
        <c:auto val="1"/>
        <c:lblAlgn val="ctr"/>
        <c:lblOffset val="100"/>
        <c:noMultiLvlLbl val="0"/>
      </c:catAx>
      <c:valAx>
        <c:axId val="1642274400"/>
        <c:scaling>
          <c:orientation val="minMax"/>
          <c:min val="-4.5"/>
        </c:scaling>
        <c:delete val="0"/>
        <c:axPos val="l"/>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642271680"/>
        <c:crosses val="autoZero"/>
        <c:crossBetween val="between"/>
        <c:majorUnit val="1.5"/>
      </c:valAx>
      <c:spPr>
        <a:noFill/>
        <a:ln>
          <a:noFill/>
        </a:ln>
        <a:effectLst/>
      </c:spPr>
    </c:plotArea>
    <c:legend>
      <c:legendPos val="b"/>
      <c:legendEntry>
        <c:idx val="7"/>
        <c:delete val="1"/>
      </c:legendEntry>
      <c:layout>
        <c:manualLayout>
          <c:xMode val="edge"/>
          <c:yMode val="edge"/>
          <c:x val="2.7777777777777776E-2"/>
          <c:y val="0.68199498746867171"/>
          <c:w val="0.94944444444444465"/>
          <c:h val="0.3180050125313283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652245513160466E-2"/>
          <c:y val="3.6405005688282137E-2"/>
          <c:w val="0.87031860600758237"/>
          <c:h val="0.72146846846846846"/>
        </c:manualLayout>
      </c:layout>
      <c:lineChart>
        <c:grouping val="standard"/>
        <c:varyColors val="0"/>
        <c:ser>
          <c:idx val="0"/>
          <c:order val="0"/>
          <c:tx>
            <c:strRef>
              <c:f>Commodities!$P$6</c:f>
              <c:strCache>
                <c:ptCount val="1"/>
                <c:pt idx="0">
                  <c:v>Сви производи</c:v>
                </c:pt>
              </c:strCache>
            </c:strRef>
          </c:tx>
          <c:spPr>
            <a:ln w="22225" cap="rnd">
              <a:solidFill>
                <a:srgbClr val="003891"/>
              </a:solidFill>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Commodities!$P$20:$P$123</c:f>
              <c:numCache>
                <c:formatCode>#.#00</c:formatCode>
                <c:ptCount val="104"/>
                <c:pt idx="0">
                  <c:v>117.1011</c:v>
                </c:pt>
                <c:pt idx="1">
                  <c:v>119.893</c:v>
                </c:pt>
                <c:pt idx="2">
                  <c:v>115.1661</c:v>
                </c:pt>
                <c:pt idx="3">
                  <c:v>116.28440000000001</c:v>
                </c:pt>
                <c:pt idx="4">
                  <c:v>119.2681</c:v>
                </c:pt>
                <c:pt idx="5">
                  <c:v>116.4603</c:v>
                </c:pt>
                <c:pt idx="6">
                  <c:v>109.998</c:v>
                </c:pt>
                <c:pt idx="7">
                  <c:v>103.1284</c:v>
                </c:pt>
                <c:pt idx="8">
                  <c:v>102.8121</c:v>
                </c:pt>
                <c:pt idx="9">
                  <c:v>103.0188</c:v>
                </c:pt>
                <c:pt idx="10">
                  <c:v>97.134559999999993</c:v>
                </c:pt>
                <c:pt idx="11">
                  <c:v>91.948599999999999</c:v>
                </c:pt>
                <c:pt idx="12">
                  <c:v>86.425539999999998</c:v>
                </c:pt>
                <c:pt idx="13">
                  <c:v>88.118449999999996</c:v>
                </c:pt>
                <c:pt idx="14">
                  <c:v>94.377089999999995</c:v>
                </c:pt>
                <c:pt idx="15">
                  <c:v>97.274969999999996</c:v>
                </c:pt>
                <c:pt idx="16">
                  <c:v>100.7855</c:v>
                </c:pt>
                <c:pt idx="17">
                  <c:v>103.1283</c:v>
                </c:pt>
                <c:pt idx="18">
                  <c:v>102.57640000000001</c:v>
                </c:pt>
                <c:pt idx="19">
                  <c:v>102.843</c:v>
                </c:pt>
                <c:pt idx="20">
                  <c:v>102.6194</c:v>
                </c:pt>
                <c:pt idx="21">
                  <c:v>106.009</c:v>
                </c:pt>
                <c:pt idx="22">
                  <c:v>104.9855</c:v>
                </c:pt>
                <c:pt idx="23">
                  <c:v>110.85680000000001</c:v>
                </c:pt>
                <c:pt idx="24">
                  <c:v>114.40819999999999</c:v>
                </c:pt>
                <c:pt idx="25">
                  <c:v>114.667</c:v>
                </c:pt>
                <c:pt idx="26">
                  <c:v>109.16759999999999</c:v>
                </c:pt>
                <c:pt idx="27">
                  <c:v>109.1105</c:v>
                </c:pt>
                <c:pt idx="28">
                  <c:v>106.8734</c:v>
                </c:pt>
                <c:pt idx="29">
                  <c:v>103.58839999999999</c:v>
                </c:pt>
                <c:pt idx="30">
                  <c:v>106.1644</c:v>
                </c:pt>
                <c:pt idx="31">
                  <c:v>108.60129999999999</c:v>
                </c:pt>
                <c:pt idx="32">
                  <c:v>110.9957</c:v>
                </c:pt>
                <c:pt idx="33">
                  <c:v>112.4962</c:v>
                </c:pt>
                <c:pt idx="34">
                  <c:v>117.2998</c:v>
                </c:pt>
                <c:pt idx="35">
                  <c:v>118.82210000000001</c:v>
                </c:pt>
                <c:pt idx="36">
                  <c:v>124.44540000000001</c:v>
                </c:pt>
                <c:pt idx="37">
                  <c:v>121.8463</c:v>
                </c:pt>
                <c:pt idx="38">
                  <c:v>121.34780000000001</c:v>
                </c:pt>
                <c:pt idx="39">
                  <c:v>122.7525</c:v>
                </c:pt>
                <c:pt idx="40">
                  <c:v>126.77979999999999</c:v>
                </c:pt>
                <c:pt idx="41">
                  <c:v>125.4442</c:v>
                </c:pt>
                <c:pt idx="42">
                  <c:v>123.7157</c:v>
                </c:pt>
                <c:pt idx="43">
                  <c:v>121.41849999999999</c:v>
                </c:pt>
                <c:pt idx="44">
                  <c:v>125.2911</c:v>
                </c:pt>
                <c:pt idx="45">
                  <c:v>126.11199999999999</c:v>
                </c:pt>
                <c:pt idx="46">
                  <c:v>115.71040000000001</c:v>
                </c:pt>
                <c:pt idx="47">
                  <c:v>110.7723</c:v>
                </c:pt>
                <c:pt idx="48">
                  <c:v>111.6288</c:v>
                </c:pt>
                <c:pt idx="49">
                  <c:v>112.7978</c:v>
                </c:pt>
                <c:pt idx="50">
                  <c:v>112.7508</c:v>
                </c:pt>
                <c:pt idx="51">
                  <c:v>115.3663</c:v>
                </c:pt>
                <c:pt idx="52">
                  <c:v>112.17700000000001</c:v>
                </c:pt>
                <c:pt idx="53">
                  <c:v>107.68040000000001</c:v>
                </c:pt>
                <c:pt idx="54">
                  <c:v>109.8481</c:v>
                </c:pt>
                <c:pt idx="55">
                  <c:v>104.8604</c:v>
                </c:pt>
                <c:pt idx="56">
                  <c:v>106.6802</c:v>
                </c:pt>
                <c:pt idx="57">
                  <c:v>105.1105</c:v>
                </c:pt>
                <c:pt idx="58">
                  <c:v>108.6913</c:v>
                </c:pt>
                <c:pt idx="59">
                  <c:v>111.47320000000001</c:v>
                </c:pt>
                <c:pt idx="60">
                  <c:v>110.5891</c:v>
                </c:pt>
                <c:pt idx="61">
                  <c:v>102.2351</c:v>
                </c:pt>
                <c:pt idx="62">
                  <c:v>86.67407</c:v>
                </c:pt>
                <c:pt idx="63">
                  <c:v>79.651510000000002</c:v>
                </c:pt>
                <c:pt idx="64">
                  <c:v>85.895060000000001</c:v>
                </c:pt>
                <c:pt idx="65">
                  <c:v>93.041690000000003</c:v>
                </c:pt>
                <c:pt idx="66">
                  <c:v>95.349010000000007</c:v>
                </c:pt>
                <c:pt idx="67">
                  <c:v>100.4008</c:v>
                </c:pt>
                <c:pt idx="68">
                  <c:v>99.942620000000005</c:v>
                </c:pt>
                <c:pt idx="69">
                  <c:v>102.6067</c:v>
                </c:pt>
                <c:pt idx="70">
                  <c:v>106.23480000000001</c:v>
                </c:pt>
                <c:pt idx="71">
                  <c:v>115.36020000000001</c:v>
                </c:pt>
                <c:pt idx="72">
                  <c:v>125.58280000000001</c:v>
                </c:pt>
                <c:pt idx="73">
                  <c:v>125.8873</c:v>
                </c:pt>
                <c:pt idx="74">
                  <c:v>127.7633</c:v>
                </c:pt>
                <c:pt idx="75">
                  <c:v>130.49539999999999</c:v>
                </c:pt>
                <c:pt idx="76">
                  <c:v>138.14269999999999</c:v>
                </c:pt>
                <c:pt idx="77">
                  <c:v>141.76929999999999</c:v>
                </c:pt>
                <c:pt idx="78">
                  <c:v>144.8563</c:v>
                </c:pt>
                <c:pt idx="79">
                  <c:v>143.12219999999999</c:v>
                </c:pt>
                <c:pt idx="80">
                  <c:v>149.95070000000001</c:v>
                </c:pt>
                <c:pt idx="81">
                  <c:v>165.88</c:v>
                </c:pt>
                <c:pt idx="82">
                  <c:v>157.72389999999999</c:v>
                </c:pt>
                <c:pt idx="83">
                  <c:v>160.3349</c:v>
                </c:pt>
                <c:pt idx="84">
                  <c:v>163.73009999999999</c:v>
                </c:pt>
                <c:pt idx="85">
                  <c:v>171.86619999999999</c:v>
                </c:pt>
                <c:pt idx="86">
                  <c:v>199.55529999999999</c:v>
                </c:pt>
                <c:pt idx="87">
                  <c:v>188.67859999999999</c:v>
                </c:pt>
                <c:pt idx="88">
                  <c:v>185.09049999999999</c:v>
                </c:pt>
                <c:pt idx="89">
                  <c:v>186.97579999999999</c:v>
                </c:pt>
                <c:pt idx="90">
                  <c:v>185.3597</c:v>
                </c:pt>
                <c:pt idx="91">
                  <c:v>195.7199</c:v>
                </c:pt>
                <c:pt idx="92">
                  <c:v>177.80269999999999</c:v>
                </c:pt>
                <c:pt idx="93">
                  <c:v>153.98339999999999</c:v>
                </c:pt>
                <c:pt idx="94">
                  <c:v>154.15639999999999</c:v>
                </c:pt>
                <c:pt idx="95">
                  <c:v>156.43979999999999</c:v>
                </c:pt>
              </c:numCache>
            </c:numRef>
          </c:val>
          <c:smooth val="0"/>
          <c:extLst>
            <c:ext xmlns:c16="http://schemas.microsoft.com/office/drawing/2014/chart" uri="{C3380CC4-5D6E-409C-BE32-E72D297353CC}">
              <c16:uniqueId val="{00000000-DA8F-4C0A-907B-2DEE832E2D78}"/>
            </c:ext>
          </c:extLst>
        </c:ser>
        <c:ser>
          <c:idx val="1"/>
          <c:order val="1"/>
          <c:tx>
            <c:strRef>
              <c:f>Commodities!$Q$6</c:f>
              <c:strCache>
                <c:ptCount val="1"/>
                <c:pt idx="0">
                  <c:v>Основни метали</c:v>
                </c:pt>
              </c:strCache>
            </c:strRef>
          </c:tx>
          <c:spPr>
            <a:ln w="22225" cap="rnd">
              <a:solidFill>
                <a:srgbClr val="EC008C"/>
              </a:solidFill>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Commodities!$Q$20:$Q$123</c:f>
              <c:numCache>
                <c:formatCode>#.#00</c:formatCode>
                <c:ptCount val="104"/>
                <c:pt idx="0">
                  <c:v>123.55970000000001</c:v>
                </c:pt>
                <c:pt idx="1">
                  <c:v>118.464</c:v>
                </c:pt>
                <c:pt idx="2">
                  <c:v>115.1413</c:v>
                </c:pt>
                <c:pt idx="3">
                  <c:v>112.7184</c:v>
                </c:pt>
                <c:pt idx="4">
                  <c:v>118.1477</c:v>
                </c:pt>
                <c:pt idx="5">
                  <c:v>112.65300000000001</c:v>
                </c:pt>
                <c:pt idx="6">
                  <c:v>102.7377</c:v>
                </c:pt>
                <c:pt idx="7">
                  <c:v>101.44759999999999</c:v>
                </c:pt>
                <c:pt idx="8">
                  <c:v>101.6965</c:v>
                </c:pt>
                <c:pt idx="9">
                  <c:v>99.008870000000002</c:v>
                </c:pt>
                <c:pt idx="10">
                  <c:v>91.266189999999995</c:v>
                </c:pt>
                <c:pt idx="11">
                  <c:v>87.315330000000003</c:v>
                </c:pt>
                <c:pt idx="12">
                  <c:v>86.406419999999997</c:v>
                </c:pt>
                <c:pt idx="13">
                  <c:v>90.449179999999998</c:v>
                </c:pt>
                <c:pt idx="14">
                  <c:v>97.722859999999997</c:v>
                </c:pt>
                <c:pt idx="15">
                  <c:v>99.415930000000003</c:v>
                </c:pt>
                <c:pt idx="16">
                  <c:v>95.77955</c:v>
                </c:pt>
                <c:pt idx="17">
                  <c:v>94.653739999999999</c:v>
                </c:pt>
                <c:pt idx="18">
                  <c:v>100.22239999999999</c:v>
                </c:pt>
                <c:pt idx="19">
                  <c:v>101.9247</c:v>
                </c:pt>
                <c:pt idx="20">
                  <c:v>99.458849999999998</c:v>
                </c:pt>
                <c:pt idx="21">
                  <c:v>100.4502</c:v>
                </c:pt>
                <c:pt idx="22">
                  <c:v>114.64019999999999</c:v>
                </c:pt>
                <c:pt idx="23">
                  <c:v>118.876</c:v>
                </c:pt>
                <c:pt idx="24">
                  <c:v>120.00149999999999</c:v>
                </c:pt>
                <c:pt idx="25">
                  <c:v>126.87439999999999</c:v>
                </c:pt>
                <c:pt idx="26">
                  <c:v>125.2854</c:v>
                </c:pt>
                <c:pt idx="27">
                  <c:v>114.77930000000001</c:v>
                </c:pt>
                <c:pt idx="28">
                  <c:v>109.5534</c:v>
                </c:pt>
                <c:pt idx="29">
                  <c:v>107.6845</c:v>
                </c:pt>
                <c:pt idx="30">
                  <c:v>114.9456</c:v>
                </c:pt>
                <c:pt idx="31">
                  <c:v>124.21429999999999</c:v>
                </c:pt>
                <c:pt idx="32">
                  <c:v>122.6721</c:v>
                </c:pt>
                <c:pt idx="33">
                  <c:v>120.9301</c:v>
                </c:pt>
                <c:pt idx="34">
                  <c:v>122.4256</c:v>
                </c:pt>
                <c:pt idx="35">
                  <c:v>126.8377</c:v>
                </c:pt>
                <c:pt idx="36">
                  <c:v>132.333</c:v>
                </c:pt>
                <c:pt idx="37">
                  <c:v>132.7073</c:v>
                </c:pt>
                <c:pt idx="38">
                  <c:v>127.4504</c:v>
                </c:pt>
                <c:pt idx="39">
                  <c:v>128.3117</c:v>
                </c:pt>
                <c:pt idx="40">
                  <c:v>128.21690000000001</c:v>
                </c:pt>
                <c:pt idx="41">
                  <c:v>128.9325</c:v>
                </c:pt>
                <c:pt idx="42">
                  <c:v>120.9147</c:v>
                </c:pt>
                <c:pt idx="43">
                  <c:v>119.1251</c:v>
                </c:pt>
                <c:pt idx="44">
                  <c:v>118.43989999999999</c:v>
                </c:pt>
                <c:pt idx="45">
                  <c:v>121.2316</c:v>
                </c:pt>
                <c:pt idx="46">
                  <c:v>119.9278</c:v>
                </c:pt>
                <c:pt idx="47">
                  <c:v>117.6371</c:v>
                </c:pt>
                <c:pt idx="48">
                  <c:v>119.1579</c:v>
                </c:pt>
                <c:pt idx="49">
                  <c:v>127.88330000000001</c:v>
                </c:pt>
                <c:pt idx="50">
                  <c:v>128.7235</c:v>
                </c:pt>
                <c:pt idx="51">
                  <c:v>131.40629999999999</c:v>
                </c:pt>
                <c:pt idx="52">
                  <c:v>130.30869999999999</c:v>
                </c:pt>
                <c:pt idx="53">
                  <c:v>132.56659999999999</c:v>
                </c:pt>
                <c:pt idx="54">
                  <c:v>138.31649999999999</c:v>
                </c:pt>
                <c:pt idx="55">
                  <c:v>124.70659999999999</c:v>
                </c:pt>
                <c:pt idx="56">
                  <c:v>126.0232</c:v>
                </c:pt>
                <c:pt idx="57">
                  <c:v>123.65730000000001</c:v>
                </c:pt>
                <c:pt idx="58">
                  <c:v>119.76730000000001</c:v>
                </c:pt>
                <c:pt idx="59">
                  <c:v>122.4837</c:v>
                </c:pt>
                <c:pt idx="60">
                  <c:v>123.8074</c:v>
                </c:pt>
                <c:pt idx="61">
                  <c:v>116.72410000000001</c:v>
                </c:pt>
                <c:pt idx="62">
                  <c:v>113.0407</c:v>
                </c:pt>
                <c:pt idx="63">
                  <c:v>108.6778</c:v>
                </c:pt>
                <c:pt idx="64">
                  <c:v>113.51179999999999</c:v>
                </c:pt>
                <c:pt idx="65">
                  <c:v>123.2058</c:v>
                </c:pt>
                <c:pt idx="66">
                  <c:v>129.7047</c:v>
                </c:pt>
                <c:pt idx="67">
                  <c:v>137.708</c:v>
                </c:pt>
                <c:pt idx="68">
                  <c:v>140.23230000000001</c:v>
                </c:pt>
                <c:pt idx="69">
                  <c:v>139.23169999999999</c:v>
                </c:pt>
                <c:pt idx="70">
                  <c:v>145.92679999999999</c:v>
                </c:pt>
                <c:pt idx="71">
                  <c:v>165.99109999999999</c:v>
                </c:pt>
                <c:pt idx="72">
                  <c:v>173.97829999999999</c:v>
                </c:pt>
                <c:pt idx="73">
                  <c:v>175.8742</c:v>
                </c:pt>
                <c:pt idx="74">
                  <c:v>180.03370000000001</c:v>
                </c:pt>
                <c:pt idx="75">
                  <c:v>187.1215</c:v>
                </c:pt>
                <c:pt idx="76">
                  <c:v>204.3158</c:v>
                </c:pt>
                <c:pt idx="77">
                  <c:v>209.78460000000001</c:v>
                </c:pt>
                <c:pt idx="78">
                  <c:v>210.00620000000001</c:v>
                </c:pt>
                <c:pt idx="79">
                  <c:v>186.2748</c:v>
                </c:pt>
                <c:pt idx="80">
                  <c:v>167.5592</c:v>
                </c:pt>
                <c:pt idx="81">
                  <c:v>170.5583</c:v>
                </c:pt>
                <c:pt idx="82">
                  <c:v>155.54169999999999</c:v>
                </c:pt>
                <c:pt idx="83">
                  <c:v>164.13079999999999</c:v>
                </c:pt>
                <c:pt idx="84">
                  <c:v>178.39779999999999</c:v>
                </c:pt>
                <c:pt idx="85">
                  <c:v>183.34280000000001</c:v>
                </c:pt>
                <c:pt idx="86">
                  <c:v>194.94390000000001</c:v>
                </c:pt>
                <c:pt idx="87">
                  <c:v>192.20679999999999</c:v>
                </c:pt>
                <c:pt idx="88">
                  <c:v>170.9307</c:v>
                </c:pt>
                <c:pt idx="89">
                  <c:v>162.2748</c:v>
                </c:pt>
                <c:pt idx="90">
                  <c:v>139.76830000000001</c:v>
                </c:pt>
                <c:pt idx="91">
                  <c:v>141.6585</c:v>
                </c:pt>
                <c:pt idx="92">
                  <c:v>134.17660000000001</c:v>
                </c:pt>
                <c:pt idx="93">
                  <c:v>130.20910000000001</c:v>
                </c:pt>
                <c:pt idx="94">
                  <c:v>136.3031</c:v>
                </c:pt>
                <c:pt idx="95">
                  <c:v>149.0994</c:v>
                </c:pt>
              </c:numCache>
            </c:numRef>
          </c:val>
          <c:smooth val="0"/>
          <c:extLst>
            <c:ext xmlns:c16="http://schemas.microsoft.com/office/drawing/2014/chart" uri="{C3380CC4-5D6E-409C-BE32-E72D297353CC}">
              <c16:uniqueId val="{00000001-DA8F-4C0A-907B-2DEE832E2D78}"/>
            </c:ext>
          </c:extLst>
        </c:ser>
        <c:ser>
          <c:idx val="2"/>
          <c:order val="2"/>
          <c:tx>
            <c:strRef>
              <c:f>Commodities!$R$6</c:f>
              <c:strCache>
                <c:ptCount val="1"/>
                <c:pt idx="0">
                  <c:v>Храна</c:v>
                </c:pt>
              </c:strCache>
            </c:strRef>
          </c:tx>
          <c:spPr>
            <a:ln w="22225" cap="rnd">
              <a:solidFill>
                <a:srgbClr val="7F3F98"/>
              </a:solidFill>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Commodities!$R$20:$R$123</c:f>
              <c:numCache>
                <c:formatCode>#.#00</c:formatCode>
                <c:ptCount val="104"/>
                <c:pt idx="0">
                  <c:v>107.3741</c:v>
                </c:pt>
                <c:pt idx="1">
                  <c:v>103.8353</c:v>
                </c:pt>
                <c:pt idx="2">
                  <c:v>100.6011</c:v>
                </c:pt>
                <c:pt idx="3">
                  <c:v>102.355</c:v>
                </c:pt>
                <c:pt idx="4">
                  <c:v>101.7174</c:v>
                </c:pt>
                <c:pt idx="5">
                  <c:v>100.8951</c:v>
                </c:pt>
                <c:pt idx="6">
                  <c:v>100.7415</c:v>
                </c:pt>
                <c:pt idx="7">
                  <c:v>97.79271</c:v>
                </c:pt>
                <c:pt idx="8">
                  <c:v>97.141689999999997</c:v>
                </c:pt>
                <c:pt idx="9">
                  <c:v>97.724459999999993</c:v>
                </c:pt>
                <c:pt idx="10">
                  <c:v>93.832430000000002</c:v>
                </c:pt>
                <c:pt idx="11">
                  <c:v>93.729259999999996</c:v>
                </c:pt>
                <c:pt idx="12">
                  <c:v>93.540440000000004</c:v>
                </c:pt>
                <c:pt idx="13">
                  <c:v>94.789330000000007</c:v>
                </c:pt>
                <c:pt idx="14">
                  <c:v>97.864710000000002</c:v>
                </c:pt>
                <c:pt idx="15">
                  <c:v>100.3989</c:v>
                </c:pt>
                <c:pt idx="16">
                  <c:v>101.3655</c:v>
                </c:pt>
                <c:pt idx="17">
                  <c:v>103.1621</c:v>
                </c:pt>
                <c:pt idx="18">
                  <c:v>103.6332</c:v>
                </c:pt>
                <c:pt idx="19">
                  <c:v>101.7856</c:v>
                </c:pt>
                <c:pt idx="20">
                  <c:v>101.126</c:v>
                </c:pt>
                <c:pt idx="21">
                  <c:v>99.944190000000006</c:v>
                </c:pt>
                <c:pt idx="22">
                  <c:v>100.6493</c:v>
                </c:pt>
                <c:pt idx="23">
                  <c:v>101.74079999999999</c:v>
                </c:pt>
                <c:pt idx="24">
                  <c:v>105.3129</c:v>
                </c:pt>
                <c:pt idx="25">
                  <c:v>105.4616</c:v>
                </c:pt>
                <c:pt idx="26">
                  <c:v>101.8437</c:v>
                </c:pt>
                <c:pt idx="27">
                  <c:v>100.9235</c:v>
                </c:pt>
                <c:pt idx="28">
                  <c:v>103.20489999999999</c:v>
                </c:pt>
                <c:pt idx="29">
                  <c:v>102.42440000000001</c:v>
                </c:pt>
                <c:pt idx="30">
                  <c:v>104.7963</c:v>
                </c:pt>
                <c:pt idx="31">
                  <c:v>99.806790000000007</c:v>
                </c:pt>
                <c:pt idx="32">
                  <c:v>98.083259999999996</c:v>
                </c:pt>
                <c:pt idx="33">
                  <c:v>98.926699999999997</c:v>
                </c:pt>
                <c:pt idx="34">
                  <c:v>99.545599999999993</c:v>
                </c:pt>
                <c:pt idx="35">
                  <c:v>99.595510000000004</c:v>
                </c:pt>
                <c:pt idx="36">
                  <c:v>102.4803</c:v>
                </c:pt>
                <c:pt idx="37">
                  <c:v>102.09059999999999</c:v>
                </c:pt>
                <c:pt idx="38">
                  <c:v>102.8339</c:v>
                </c:pt>
                <c:pt idx="39">
                  <c:v>102.248</c:v>
                </c:pt>
                <c:pt idx="40">
                  <c:v>103.39279999999999</c:v>
                </c:pt>
                <c:pt idx="41">
                  <c:v>99.148709999999994</c:v>
                </c:pt>
                <c:pt idx="42">
                  <c:v>96.522530000000003</c:v>
                </c:pt>
                <c:pt idx="43">
                  <c:v>92.690539999999999</c:v>
                </c:pt>
                <c:pt idx="44">
                  <c:v>93.786190000000005</c:v>
                </c:pt>
                <c:pt idx="45">
                  <c:v>95.324389999999994</c:v>
                </c:pt>
                <c:pt idx="46">
                  <c:v>91.295779999999993</c:v>
                </c:pt>
                <c:pt idx="47">
                  <c:v>94.296819999999997</c:v>
                </c:pt>
                <c:pt idx="48">
                  <c:v>95.811679999999996</c:v>
                </c:pt>
                <c:pt idx="49">
                  <c:v>93.799350000000004</c:v>
                </c:pt>
                <c:pt idx="50">
                  <c:v>92.603549999999998</c:v>
                </c:pt>
                <c:pt idx="51">
                  <c:v>95.40925</c:v>
                </c:pt>
                <c:pt idx="52">
                  <c:v>91.949340000000007</c:v>
                </c:pt>
                <c:pt idx="53">
                  <c:v>93.916480000000007</c:v>
                </c:pt>
                <c:pt idx="54">
                  <c:v>93.81514</c:v>
                </c:pt>
                <c:pt idx="55">
                  <c:v>91.937780000000004</c:v>
                </c:pt>
                <c:pt idx="56">
                  <c:v>89.802090000000007</c:v>
                </c:pt>
                <c:pt idx="57">
                  <c:v>89.904269999999997</c:v>
                </c:pt>
                <c:pt idx="58">
                  <c:v>93.588089999999994</c:v>
                </c:pt>
                <c:pt idx="59">
                  <c:v>97.168340000000001</c:v>
                </c:pt>
                <c:pt idx="60">
                  <c:v>98.080169999999995</c:v>
                </c:pt>
                <c:pt idx="61">
                  <c:v>93.830039999999997</c:v>
                </c:pt>
                <c:pt idx="62">
                  <c:v>90.396969999999996</c:v>
                </c:pt>
                <c:pt idx="63">
                  <c:v>87.011060000000001</c:v>
                </c:pt>
                <c:pt idx="64">
                  <c:v>90.364019999999996</c:v>
                </c:pt>
                <c:pt idx="65">
                  <c:v>92.934780000000003</c:v>
                </c:pt>
                <c:pt idx="66">
                  <c:v>90.456659999999999</c:v>
                </c:pt>
                <c:pt idx="67">
                  <c:v>91.084770000000006</c:v>
                </c:pt>
                <c:pt idx="68">
                  <c:v>92.22878</c:v>
                </c:pt>
                <c:pt idx="69">
                  <c:v>97.115369999999999</c:v>
                </c:pt>
                <c:pt idx="70">
                  <c:v>100.00109999999999</c:v>
                </c:pt>
                <c:pt idx="71">
                  <c:v>100.9175</c:v>
                </c:pt>
                <c:pt idx="72">
                  <c:v>106.8086</c:v>
                </c:pt>
                <c:pt idx="73">
                  <c:v>109.0136</c:v>
                </c:pt>
                <c:pt idx="74">
                  <c:v>110.77460000000001</c:v>
                </c:pt>
                <c:pt idx="75">
                  <c:v>116.58</c:v>
                </c:pt>
                <c:pt idx="76">
                  <c:v>120.55589999999999</c:v>
                </c:pt>
                <c:pt idx="77">
                  <c:v>112.7817</c:v>
                </c:pt>
                <c:pt idx="78">
                  <c:v>113.4045</c:v>
                </c:pt>
                <c:pt idx="79">
                  <c:v>115.35769999999999</c:v>
                </c:pt>
                <c:pt idx="80">
                  <c:v>111.1529</c:v>
                </c:pt>
                <c:pt idx="81">
                  <c:v>111.051</c:v>
                </c:pt>
                <c:pt idx="82">
                  <c:v>112.0307</c:v>
                </c:pt>
                <c:pt idx="83">
                  <c:v>114.9016</c:v>
                </c:pt>
                <c:pt idx="84">
                  <c:v>119.4406</c:v>
                </c:pt>
                <c:pt idx="85">
                  <c:v>124.50920000000001</c:v>
                </c:pt>
                <c:pt idx="86">
                  <c:v>131.59379999999999</c:v>
                </c:pt>
                <c:pt idx="87">
                  <c:v>134.35419999999999</c:v>
                </c:pt>
                <c:pt idx="88">
                  <c:v>130.43289999999999</c:v>
                </c:pt>
                <c:pt idx="89">
                  <c:v>123.92659999999999</c:v>
                </c:pt>
                <c:pt idx="90">
                  <c:v>114.7042</c:v>
                </c:pt>
                <c:pt idx="91">
                  <c:v>112.1764</c:v>
                </c:pt>
                <c:pt idx="92">
                  <c:v>108.869</c:v>
                </c:pt>
                <c:pt idx="93">
                  <c:v>110.64360000000001</c:v>
                </c:pt>
                <c:pt idx="94">
                  <c:v>110.9979</c:v>
                </c:pt>
                <c:pt idx="95">
                  <c:v>110.38</c:v>
                </c:pt>
              </c:numCache>
            </c:numRef>
          </c:val>
          <c:smooth val="0"/>
          <c:extLst>
            <c:ext xmlns:c16="http://schemas.microsoft.com/office/drawing/2014/chart" uri="{C3380CC4-5D6E-409C-BE32-E72D297353CC}">
              <c16:uniqueId val="{00000002-DA8F-4C0A-907B-2DEE832E2D78}"/>
            </c:ext>
          </c:extLst>
        </c:ser>
        <c:ser>
          <c:idx val="4"/>
          <c:order val="3"/>
          <c:tx>
            <c:strRef>
              <c:f>Commodities!$S$6</c:f>
              <c:strCache>
                <c:ptCount val="1"/>
                <c:pt idx="0">
                  <c:v>Енергија</c:v>
                </c:pt>
              </c:strCache>
            </c:strRef>
          </c:tx>
          <c:spPr>
            <a:ln w="22225" cap="rnd">
              <a:solidFill>
                <a:srgbClr val="00A651"/>
              </a:solidFill>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Commodities!$S$20:$S$123</c:f>
              <c:numCache>
                <c:formatCode>#.#00</c:formatCode>
                <c:ptCount val="104"/>
                <c:pt idx="0">
                  <c:v>125.4295</c:v>
                </c:pt>
                <c:pt idx="1">
                  <c:v>136.76939999999999</c:v>
                </c:pt>
                <c:pt idx="2">
                  <c:v>130.52809999999999</c:v>
                </c:pt>
                <c:pt idx="3">
                  <c:v>132.51820000000001</c:v>
                </c:pt>
                <c:pt idx="4">
                  <c:v>138.87110000000001</c:v>
                </c:pt>
                <c:pt idx="5">
                  <c:v>135.03790000000001</c:v>
                </c:pt>
                <c:pt idx="6">
                  <c:v>123.7379</c:v>
                </c:pt>
                <c:pt idx="7">
                  <c:v>110.09310000000001</c:v>
                </c:pt>
                <c:pt idx="8">
                  <c:v>110.0608</c:v>
                </c:pt>
                <c:pt idx="9">
                  <c:v>109.983</c:v>
                </c:pt>
                <c:pt idx="10">
                  <c:v>102.4903</c:v>
                </c:pt>
                <c:pt idx="11">
                  <c:v>91.672460000000001</c:v>
                </c:pt>
                <c:pt idx="12">
                  <c:v>78.713269999999994</c:v>
                </c:pt>
                <c:pt idx="13">
                  <c:v>78.803809999999999</c:v>
                </c:pt>
                <c:pt idx="14">
                  <c:v>88.428799999999995</c:v>
                </c:pt>
                <c:pt idx="15">
                  <c:v>92.90889</c:v>
                </c:pt>
                <c:pt idx="16">
                  <c:v>101.4736</c:v>
                </c:pt>
                <c:pt idx="17">
                  <c:v>106.3331</c:v>
                </c:pt>
                <c:pt idx="18">
                  <c:v>101.5938</c:v>
                </c:pt>
                <c:pt idx="19">
                  <c:v>103.09990000000001</c:v>
                </c:pt>
                <c:pt idx="20">
                  <c:v>104.1035</c:v>
                </c:pt>
                <c:pt idx="21">
                  <c:v>114.5343</c:v>
                </c:pt>
                <c:pt idx="22">
                  <c:v>107.9285</c:v>
                </c:pt>
                <c:pt idx="23">
                  <c:v>122.07850000000001</c:v>
                </c:pt>
                <c:pt idx="24">
                  <c:v>126.4402</c:v>
                </c:pt>
                <c:pt idx="25">
                  <c:v>123.86539999999999</c:v>
                </c:pt>
                <c:pt idx="26">
                  <c:v>114.065</c:v>
                </c:pt>
                <c:pt idx="27">
                  <c:v>117.1199</c:v>
                </c:pt>
                <c:pt idx="28">
                  <c:v>112.3445</c:v>
                </c:pt>
                <c:pt idx="29">
                  <c:v>105.8139</c:v>
                </c:pt>
                <c:pt idx="30">
                  <c:v>109.1897</c:v>
                </c:pt>
                <c:pt idx="31">
                  <c:v>115.0783</c:v>
                </c:pt>
                <c:pt idx="32">
                  <c:v>122.2076</c:v>
                </c:pt>
                <c:pt idx="33">
                  <c:v>126.5235</c:v>
                </c:pt>
                <c:pt idx="34">
                  <c:v>137.07669999999999</c:v>
                </c:pt>
                <c:pt idx="35">
                  <c:v>139.9562</c:v>
                </c:pt>
                <c:pt idx="36">
                  <c:v>148.0891</c:v>
                </c:pt>
                <c:pt idx="37">
                  <c:v>142.02690000000001</c:v>
                </c:pt>
                <c:pt idx="38">
                  <c:v>141.7645</c:v>
                </c:pt>
                <c:pt idx="39">
                  <c:v>145.49270000000001</c:v>
                </c:pt>
                <c:pt idx="40">
                  <c:v>155.52799999999999</c:v>
                </c:pt>
                <c:pt idx="41">
                  <c:v>155.5445</c:v>
                </c:pt>
                <c:pt idx="42">
                  <c:v>156.7714</c:v>
                </c:pt>
                <c:pt idx="43">
                  <c:v>155.44069999999999</c:v>
                </c:pt>
                <c:pt idx="44">
                  <c:v>164.24080000000001</c:v>
                </c:pt>
                <c:pt idx="45">
                  <c:v>163.6489</c:v>
                </c:pt>
                <c:pt idx="46">
                  <c:v>141.0926</c:v>
                </c:pt>
                <c:pt idx="47">
                  <c:v>126.8686</c:v>
                </c:pt>
                <c:pt idx="48">
                  <c:v>126.7653</c:v>
                </c:pt>
                <c:pt idx="49">
                  <c:v>128.46469999999999</c:v>
                </c:pt>
                <c:pt idx="50">
                  <c:v>129.58439999999999</c:v>
                </c:pt>
                <c:pt idx="51">
                  <c:v>134.11259999999999</c:v>
                </c:pt>
                <c:pt idx="52">
                  <c:v>129.12299999999999</c:v>
                </c:pt>
                <c:pt idx="53">
                  <c:v>114.4799</c:v>
                </c:pt>
                <c:pt idx="54">
                  <c:v>117.7123</c:v>
                </c:pt>
                <c:pt idx="55">
                  <c:v>109.67189999999999</c:v>
                </c:pt>
                <c:pt idx="56">
                  <c:v>114.54340000000001</c:v>
                </c:pt>
                <c:pt idx="57">
                  <c:v>111.81789999999999</c:v>
                </c:pt>
                <c:pt idx="58">
                  <c:v>119.1943</c:v>
                </c:pt>
                <c:pt idx="59">
                  <c:v>122.54900000000001</c:v>
                </c:pt>
                <c:pt idx="60">
                  <c:v>117.45489999999999</c:v>
                </c:pt>
                <c:pt idx="61">
                  <c:v>101.4847</c:v>
                </c:pt>
                <c:pt idx="62">
                  <c:v>67.929289999999995</c:v>
                </c:pt>
                <c:pt idx="63">
                  <c:v>52.362560000000002</c:v>
                </c:pt>
                <c:pt idx="64">
                  <c:v>63.717199999999998</c:v>
                </c:pt>
                <c:pt idx="65">
                  <c:v>76.774799999999999</c:v>
                </c:pt>
                <c:pt idx="66">
                  <c:v>80.114289999999997</c:v>
                </c:pt>
                <c:pt idx="67">
                  <c:v>86.156570000000002</c:v>
                </c:pt>
                <c:pt idx="68">
                  <c:v>84.255939999999995</c:v>
                </c:pt>
                <c:pt idx="69">
                  <c:v>88.008089999999996</c:v>
                </c:pt>
                <c:pt idx="70">
                  <c:v>93.131780000000006</c:v>
                </c:pt>
                <c:pt idx="71">
                  <c:v>109.27330000000001</c:v>
                </c:pt>
                <c:pt idx="72">
                  <c:v>127.1322</c:v>
                </c:pt>
                <c:pt idx="73">
                  <c:v>125.7264</c:v>
                </c:pt>
                <c:pt idx="74">
                  <c:v>128.8973</c:v>
                </c:pt>
                <c:pt idx="75">
                  <c:v>128.79740000000001</c:v>
                </c:pt>
                <c:pt idx="76">
                  <c:v>137.91300000000001</c:v>
                </c:pt>
                <c:pt idx="77">
                  <c:v>151.08750000000001</c:v>
                </c:pt>
                <c:pt idx="78">
                  <c:v>159.56299999999999</c:v>
                </c:pt>
                <c:pt idx="79">
                  <c:v>161.39099999999999</c:v>
                </c:pt>
                <c:pt idx="80">
                  <c:v>186.4118</c:v>
                </c:pt>
                <c:pt idx="81">
                  <c:v>222.72460000000001</c:v>
                </c:pt>
                <c:pt idx="82">
                  <c:v>203.67959999999999</c:v>
                </c:pt>
                <c:pt idx="83">
                  <c:v>206.767</c:v>
                </c:pt>
                <c:pt idx="84">
                  <c:v>206.22620000000001</c:v>
                </c:pt>
                <c:pt idx="85">
                  <c:v>220.1671</c:v>
                </c:pt>
                <c:pt idx="86">
                  <c:v>277.20010000000002</c:v>
                </c:pt>
                <c:pt idx="87">
                  <c:v>249.6968</c:v>
                </c:pt>
                <c:pt idx="88">
                  <c:v>252.0215</c:v>
                </c:pt>
                <c:pt idx="89">
                  <c:v>265.9939</c:v>
                </c:pt>
                <c:pt idx="90">
                  <c:v>278.7432</c:v>
                </c:pt>
                <c:pt idx="91">
                  <c:v>305.28339999999997</c:v>
                </c:pt>
                <c:pt idx="92">
                  <c:v>267.18819999999999</c:v>
                </c:pt>
                <c:pt idx="93">
                  <c:v>209.45249999999999</c:v>
                </c:pt>
                <c:pt idx="94">
                  <c:v>207.24469999999999</c:v>
                </c:pt>
                <c:pt idx="95">
                  <c:v>209.21180000000001</c:v>
                </c:pt>
              </c:numCache>
            </c:numRef>
          </c:val>
          <c:smooth val="0"/>
          <c:extLst>
            <c:ext xmlns:c16="http://schemas.microsoft.com/office/drawing/2014/chart" uri="{C3380CC4-5D6E-409C-BE32-E72D297353CC}">
              <c16:uniqueId val="{00000003-DA8F-4C0A-907B-2DEE832E2D78}"/>
            </c:ext>
          </c:extLst>
        </c:ser>
        <c:ser>
          <c:idx val="6"/>
          <c:order val="4"/>
          <c:tx>
            <c:strRef>
              <c:f>Commodities!$T$6</c:f>
              <c:strCache>
                <c:ptCount val="1"/>
                <c:pt idx="0">
                  <c:v>Сви производи</c:v>
                </c:pt>
              </c:strCache>
            </c:strRef>
          </c:tx>
          <c:spPr>
            <a:ln w="22225" cap="rnd">
              <a:solidFill>
                <a:srgbClr val="003891"/>
              </a:solidFill>
              <a:prstDash val="sysDash"/>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Commodities!$T$20:$T$123</c:f>
              <c:numCache>
                <c:formatCode>General</c:formatCode>
                <c:ptCount val="104"/>
                <c:pt idx="95" formatCode="#.#00">
                  <c:v>156.43979999999999</c:v>
                </c:pt>
                <c:pt idx="96" formatCode="#.#00">
                  <c:v>138.50919999999999</c:v>
                </c:pt>
                <c:pt idx="97" formatCode="#.#00">
                  <c:v>130.2423</c:v>
                </c:pt>
                <c:pt idx="98" formatCode="#.#00">
                  <c:v>130.10919999999999</c:v>
                </c:pt>
                <c:pt idx="99" formatCode="#.#00">
                  <c:v>131.19659999999999</c:v>
                </c:pt>
                <c:pt idx="100" formatCode="#.#00">
                  <c:v>131.7415</c:v>
                </c:pt>
                <c:pt idx="101" formatCode="#.#00">
                  <c:v>129.57499999999999</c:v>
                </c:pt>
                <c:pt idx="102" formatCode="#.#00">
                  <c:v>128.86500000000001</c:v>
                </c:pt>
                <c:pt idx="103" formatCode="#.#00">
                  <c:v>129.42310000000001</c:v>
                </c:pt>
              </c:numCache>
            </c:numRef>
          </c:val>
          <c:smooth val="0"/>
          <c:extLst>
            <c:ext xmlns:c16="http://schemas.microsoft.com/office/drawing/2014/chart" uri="{C3380CC4-5D6E-409C-BE32-E72D297353CC}">
              <c16:uniqueId val="{00000004-DA8F-4C0A-907B-2DEE832E2D78}"/>
            </c:ext>
          </c:extLst>
        </c:ser>
        <c:ser>
          <c:idx val="7"/>
          <c:order val="5"/>
          <c:tx>
            <c:strRef>
              <c:f>Commodities!$U$6</c:f>
              <c:strCache>
                <c:ptCount val="1"/>
                <c:pt idx="0">
                  <c:v>Основни метали</c:v>
                </c:pt>
              </c:strCache>
            </c:strRef>
          </c:tx>
          <c:spPr>
            <a:ln w="22225" cap="rnd">
              <a:solidFill>
                <a:srgbClr val="EC008C"/>
              </a:solidFill>
              <a:prstDash val="sysDash"/>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Commodities!$U$20:$U$123</c:f>
              <c:numCache>
                <c:formatCode>General</c:formatCode>
                <c:ptCount val="104"/>
                <c:pt idx="95" formatCode="#.#00">
                  <c:v>149.0994</c:v>
                </c:pt>
                <c:pt idx="96" formatCode="#.#00">
                  <c:v>164.31649999999999</c:v>
                </c:pt>
                <c:pt idx="97" formatCode="#.#00">
                  <c:v>159.68790000000001</c:v>
                </c:pt>
                <c:pt idx="98" formatCode="#.#00">
                  <c:v>158.8312</c:v>
                </c:pt>
                <c:pt idx="99" formatCode="#.#00">
                  <c:v>157.8954</c:v>
                </c:pt>
                <c:pt idx="100" formatCode="#.#00">
                  <c:v>157.05459999999999</c:v>
                </c:pt>
                <c:pt idx="101" formatCode="#.#00">
                  <c:v>156.29939999999999</c:v>
                </c:pt>
                <c:pt idx="102" formatCode="#.#00">
                  <c:v>155.60939999999999</c:v>
                </c:pt>
                <c:pt idx="103" formatCode="#.#00">
                  <c:v>154.94200000000001</c:v>
                </c:pt>
              </c:numCache>
            </c:numRef>
          </c:val>
          <c:smooth val="0"/>
          <c:extLst>
            <c:ext xmlns:c16="http://schemas.microsoft.com/office/drawing/2014/chart" uri="{C3380CC4-5D6E-409C-BE32-E72D297353CC}">
              <c16:uniqueId val="{00000005-DA8F-4C0A-907B-2DEE832E2D78}"/>
            </c:ext>
          </c:extLst>
        </c:ser>
        <c:ser>
          <c:idx val="8"/>
          <c:order val="6"/>
          <c:tx>
            <c:strRef>
              <c:f>Commodities!$V$6</c:f>
              <c:strCache>
                <c:ptCount val="1"/>
                <c:pt idx="0">
                  <c:v>Храна</c:v>
                </c:pt>
              </c:strCache>
            </c:strRef>
          </c:tx>
          <c:spPr>
            <a:ln w="22225" cap="rnd">
              <a:solidFill>
                <a:srgbClr val="7F3F98"/>
              </a:solidFill>
              <a:prstDash val="sysDash"/>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Commodities!$V$20:$V$123</c:f>
              <c:numCache>
                <c:formatCode>General</c:formatCode>
                <c:ptCount val="104"/>
                <c:pt idx="95" formatCode="#.#00">
                  <c:v>110.38</c:v>
                </c:pt>
                <c:pt idx="96" formatCode="#.#00">
                  <c:v>111.6666</c:v>
                </c:pt>
                <c:pt idx="97" formatCode="#.#00">
                  <c:v>111.2777</c:v>
                </c:pt>
                <c:pt idx="98" formatCode="#.#00">
                  <c:v>108.40049999999999</c:v>
                </c:pt>
                <c:pt idx="99" formatCode="#.#00">
                  <c:v>106.738</c:v>
                </c:pt>
                <c:pt idx="100" formatCode="#.#00">
                  <c:v>107.2518</c:v>
                </c:pt>
                <c:pt idx="101" formatCode="#.#00">
                  <c:v>107.8707</c:v>
                </c:pt>
                <c:pt idx="102" formatCode="#.#00">
                  <c:v>105.5027</c:v>
                </c:pt>
                <c:pt idx="103" formatCode="#.#00">
                  <c:v>105.0355</c:v>
                </c:pt>
              </c:numCache>
            </c:numRef>
          </c:val>
          <c:smooth val="0"/>
          <c:extLst>
            <c:ext xmlns:c16="http://schemas.microsoft.com/office/drawing/2014/chart" uri="{C3380CC4-5D6E-409C-BE32-E72D297353CC}">
              <c16:uniqueId val="{00000006-DA8F-4C0A-907B-2DEE832E2D78}"/>
            </c:ext>
          </c:extLst>
        </c:ser>
        <c:ser>
          <c:idx val="9"/>
          <c:order val="7"/>
          <c:tx>
            <c:strRef>
              <c:f>Commodities!$W$6</c:f>
              <c:strCache>
                <c:ptCount val="1"/>
                <c:pt idx="0">
                  <c:v>Енергија</c:v>
                </c:pt>
              </c:strCache>
            </c:strRef>
          </c:tx>
          <c:spPr>
            <a:ln w="22225" cap="rnd">
              <a:solidFill>
                <a:srgbClr val="00A651"/>
              </a:solidFill>
              <a:prstDash val="sysDash"/>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Commodities!$W$20:$W$123</c:f>
              <c:numCache>
                <c:formatCode>General</c:formatCode>
                <c:ptCount val="104"/>
                <c:pt idx="95" formatCode="#.#00">
                  <c:v>209.21180000000001</c:v>
                </c:pt>
                <c:pt idx="96" formatCode="#.#00">
                  <c:v>161.5163</c:v>
                </c:pt>
                <c:pt idx="97" formatCode="#.#00">
                  <c:v>141.53299999999999</c:v>
                </c:pt>
                <c:pt idx="98" formatCode="#.#00">
                  <c:v>142.97329999999999</c:v>
                </c:pt>
                <c:pt idx="99" formatCode="#.#00">
                  <c:v>146.64529999999999</c:v>
                </c:pt>
                <c:pt idx="100" formatCode="#.#00">
                  <c:v>147.5471</c:v>
                </c:pt>
                <c:pt idx="101" formatCode="#.#00">
                  <c:v>141.76</c:v>
                </c:pt>
                <c:pt idx="102" formatCode="#.#00">
                  <c:v>141.5001</c:v>
                </c:pt>
                <c:pt idx="103" formatCode="#.#00">
                  <c:v>143.1147</c:v>
                </c:pt>
              </c:numCache>
            </c:numRef>
          </c:val>
          <c:smooth val="0"/>
          <c:extLst>
            <c:ext xmlns:c16="http://schemas.microsoft.com/office/drawing/2014/chart" uri="{C3380CC4-5D6E-409C-BE32-E72D297353CC}">
              <c16:uniqueId val="{00000007-DA8F-4C0A-907B-2DEE832E2D78}"/>
            </c:ext>
          </c:extLst>
        </c:ser>
        <c:ser>
          <c:idx val="3"/>
          <c:order val="8"/>
          <c:tx>
            <c:strRef>
              <c:f>Commodities!$X$6</c:f>
              <c:strCache>
                <c:ptCount val="1"/>
                <c:pt idx="0">
                  <c:v>100</c:v>
                </c:pt>
              </c:strCache>
            </c:strRef>
          </c:tx>
          <c:spPr>
            <a:ln w="6350" cap="rnd">
              <a:solidFill>
                <a:srgbClr val="898989"/>
              </a:solidFill>
              <a:round/>
            </a:ln>
            <a:effectLst/>
          </c:spPr>
          <c:marker>
            <c:symbol val="none"/>
          </c:marker>
          <c:dPt>
            <c:idx val="0"/>
            <c:marker>
              <c:symbol val="none"/>
            </c:marker>
            <c:bubble3D val="0"/>
            <c:extLst>
              <c:ext xmlns:c16="http://schemas.microsoft.com/office/drawing/2014/chart" uri="{C3380CC4-5D6E-409C-BE32-E72D297353CC}">
                <c16:uniqueId val="{00000008-DA8F-4C0A-907B-2DEE832E2D78}"/>
              </c:ext>
            </c:extLst>
          </c:dPt>
          <c:dPt>
            <c:idx val="12"/>
            <c:marker>
              <c:symbol val="none"/>
            </c:marker>
            <c:bubble3D val="0"/>
            <c:extLst>
              <c:ext xmlns:c16="http://schemas.microsoft.com/office/drawing/2014/chart" uri="{C3380CC4-5D6E-409C-BE32-E72D297353CC}">
                <c16:uniqueId val="{00000009-DA8F-4C0A-907B-2DEE832E2D78}"/>
              </c:ext>
            </c:extLst>
          </c:dPt>
          <c:dPt>
            <c:idx val="24"/>
            <c:marker>
              <c:symbol val="none"/>
            </c:marker>
            <c:bubble3D val="0"/>
            <c:extLst>
              <c:ext xmlns:c16="http://schemas.microsoft.com/office/drawing/2014/chart" uri="{C3380CC4-5D6E-409C-BE32-E72D297353CC}">
                <c16:uniqueId val="{0000000A-DA8F-4C0A-907B-2DEE832E2D78}"/>
              </c:ext>
            </c:extLst>
          </c:dPt>
          <c:dPt>
            <c:idx val="36"/>
            <c:marker>
              <c:symbol val="none"/>
            </c:marker>
            <c:bubble3D val="0"/>
            <c:extLst>
              <c:ext xmlns:c16="http://schemas.microsoft.com/office/drawing/2014/chart" uri="{C3380CC4-5D6E-409C-BE32-E72D297353CC}">
                <c16:uniqueId val="{0000000B-DA8F-4C0A-907B-2DEE832E2D78}"/>
              </c:ext>
            </c:extLst>
          </c:dPt>
          <c:dPt>
            <c:idx val="48"/>
            <c:marker>
              <c:symbol val="none"/>
            </c:marker>
            <c:bubble3D val="0"/>
            <c:extLst>
              <c:ext xmlns:c16="http://schemas.microsoft.com/office/drawing/2014/chart" uri="{C3380CC4-5D6E-409C-BE32-E72D297353CC}">
                <c16:uniqueId val="{0000000C-DA8F-4C0A-907B-2DEE832E2D78}"/>
              </c:ext>
            </c:extLst>
          </c:dPt>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Commodities!$X$20:$X$123</c:f>
              <c:numCache>
                <c:formatCode>General</c:formatCode>
                <c:ptCount val="104"/>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100</c:v>
                </c:pt>
                <c:pt idx="16">
                  <c:v>100</c:v>
                </c:pt>
                <c:pt idx="17">
                  <c:v>100</c:v>
                </c:pt>
                <c:pt idx="18">
                  <c:v>100</c:v>
                </c:pt>
                <c:pt idx="19">
                  <c:v>100</c:v>
                </c:pt>
                <c:pt idx="20">
                  <c:v>100</c:v>
                </c:pt>
                <c:pt idx="21">
                  <c:v>100</c:v>
                </c:pt>
                <c:pt idx="22">
                  <c:v>100</c:v>
                </c:pt>
                <c:pt idx="23">
                  <c:v>100</c:v>
                </c:pt>
                <c:pt idx="24">
                  <c:v>100</c:v>
                </c:pt>
                <c:pt idx="25">
                  <c:v>100</c:v>
                </c:pt>
                <c:pt idx="26">
                  <c:v>100</c:v>
                </c:pt>
                <c:pt idx="27">
                  <c:v>100</c:v>
                </c:pt>
                <c:pt idx="28">
                  <c:v>100</c:v>
                </c:pt>
                <c:pt idx="29">
                  <c:v>100</c:v>
                </c:pt>
                <c:pt idx="30">
                  <c:v>100</c:v>
                </c:pt>
                <c:pt idx="31">
                  <c:v>100</c:v>
                </c:pt>
                <c:pt idx="32">
                  <c:v>100</c:v>
                </c:pt>
                <c:pt idx="33">
                  <c:v>100</c:v>
                </c:pt>
                <c:pt idx="34">
                  <c:v>100</c:v>
                </c:pt>
                <c:pt idx="35">
                  <c:v>100</c:v>
                </c:pt>
                <c:pt idx="36">
                  <c:v>100</c:v>
                </c:pt>
                <c:pt idx="37">
                  <c:v>100</c:v>
                </c:pt>
                <c:pt idx="38">
                  <c:v>100</c:v>
                </c:pt>
                <c:pt idx="39">
                  <c:v>100</c:v>
                </c:pt>
                <c:pt idx="40">
                  <c:v>100</c:v>
                </c:pt>
                <c:pt idx="41">
                  <c:v>100</c:v>
                </c:pt>
                <c:pt idx="42">
                  <c:v>100</c:v>
                </c:pt>
                <c:pt idx="43">
                  <c:v>100</c:v>
                </c:pt>
                <c:pt idx="44">
                  <c:v>100</c:v>
                </c:pt>
                <c:pt idx="45">
                  <c:v>100</c:v>
                </c:pt>
                <c:pt idx="46">
                  <c:v>100</c:v>
                </c:pt>
                <c:pt idx="47">
                  <c:v>100</c:v>
                </c:pt>
                <c:pt idx="48">
                  <c:v>100</c:v>
                </c:pt>
                <c:pt idx="49">
                  <c:v>100</c:v>
                </c:pt>
                <c:pt idx="50">
                  <c:v>100</c:v>
                </c:pt>
                <c:pt idx="51">
                  <c:v>100</c:v>
                </c:pt>
                <c:pt idx="52">
                  <c:v>100</c:v>
                </c:pt>
                <c:pt idx="53">
                  <c:v>100</c:v>
                </c:pt>
                <c:pt idx="54">
                  <c:v>100</c:v>
                </c:pt>
                <c:pt idx="55">
                  <c:v>100</c:v>
                </c:pt>
                <c:pt idx="56">
                  <c:v>100</c:v>
                </c:pt>
                <c:pt idx="57">
                  <c:v>100</c:v>
                </c:pt>
                <c:pt idx="58">
                  <c:v>100</c:v>
                </c:pt>
                <c:pt idx="59">
                  <c:v>100</c:v>
                </c:pt>
                <c:pt idx="60">
                  <c:v>100</c:v>
                </c:pt>
                <c:pt idx="61">
                  <c:v>100</c:v>
                </c:pt>
                <c:pt idx="62">
                  <c:v>100</c:v>
                </c:pt>
                <c:pt idx="63">
                  <c:v>100</c:v>
                </c:pt>
                <c:pt idx="64">
                  <c:v>100</c:v>
                </c:pt>
                <c:pt idx="65">
                  <c:v>100</c:v>
                </c:pt>
                <c:pt idx="66">
                  <c:v>100</c:v>
                </c:pt>
                <c:pt idx="67">
                  <c:v>100</c:v>
                </c:pt>
                <c:pt idx="68">
                  <c:v>100</c:v>
                </c:pt>
                <c:pt idx="69">
                  <c:v>100</c:v>
                </c:pt>
                <c:pt idx="70">
                  <c:v>100</c:v>
                </c:pt>
                <c:pt idx="71">
                  <c:v>100</c:v>
                </c:pt>
                <c:pt idx="72">
                  <c:v>100</c:v>
                </c:pt>
                <c:pt idx="73">
                  <c:v>100</c:v>
                </c:pt>
                <c:pt idx="74">
                  <c:v>100</c:v>
                </c:pt>
                <c:pt idx="75">
                  <c:v>100</c:v>
                </c:pt>
                <c:pt idx="76">
                  <c:v>100</c:v>
                </c:pt>
                <c:pt idx="77">
                  <c:v>100</c:v>
                </c:pt>
                <c:pt idx="78">
                  <c:v>100</c:v>
                </c:pt>
                <c:pt idx="79">
                  <c:v>100</c:v>
                </c:pt>
                <c:pt idx="80">
                  <c:v>100</c:v>
                </c:pt>
                <c:pt idx="81">
                  <c:v>100</c:v>
                </c:pt>
                <c:pt idx="82">
                  <c:v>100</c:v>
                </c:pt>
                <c:pt idx="83">
                  <c:v>100</c:v>
                </c:pt>
                <c:pt idx="84">
                  <c:v>100</c:v>
                </c:pt>
                <c:pt idx="85">
                  <c:v>100</c:v>
                </c:pt>
                <c:pt idx="86">
                  <c:v>100</c:v>
                </c:pt>
                <c:pt idx="87">
                  <c:v>100</c:v>
                </c:pt>
                <c:pt idx="88">
                  <c:v>100</c:v>
                </c:pt>
                <c:pt idx="89">
                  <c:v>100</c:v>
                </c:pt>
                <c:pt idx="90">
                  <c:v>100</c:v>
                </c:pt>
                <c:pt idx="91">
                  <c:v>100</c:v>
                </c:pt>
                <c:pt idx="92">
                  <c:v>100</c:v>
                </c:pt>
                <c:pt idx="93">
                  <c:v>100</c:v>
                </c:pt>
                <c:pt idx="94">
                  <c:v>100</c:v>
                </c:pt>
                <c:pt idx="95">
                  <c:v>100</c:v>
                </c:pt>
                <c:pt idx="96">
                  <c:v>100</c:v>
                </c:pt>
                <c:pt idx="97">
                  <c:v>100</c:v>
                </c:pt>
                <c:pt idx="98">
                  <c:v>100</c:v>
                </c:pt>
                <c:pt idx="99">
                  <c:v>100</c:v>
                </c:pt>
                <c:pt idx="100">
                  <c:v>100</c:v>
                </c:pt>
                <c:pt idx="101">
                  <c:v>100</c:v>
                </c:pt>
                <c:pt idx="102">
                  <c:v>100</c:v>
                </c:pt>
                <c:pt idx="103">
                  <c:v>100</c:v>
                </c:pt>
              </c:numCache>
            </c:numRef>
          </c:val>
          <c:smooth val="0"/>
          <c:extLst>
            <c:ext xmlns:c16="http://schemas.microsoft.com/office/drawing/2014/chart" uri="{C3380CC4-5D6E-409C-BE32-E72D297353CC}">
              <c16:uniqueId val="{0000000D-DA8F-4C0A-907B-2DEE832E2D78}"/>
            </c:ext>
          </c:extLst>
        </c:ser>
        <c:ser>
          <c:idx val="5"/>
          <c:order val="9"/>
          <c:tx>
            <c:strRef>
              <c:f>Commodities!$Y$6</c:f>
              <c:strCache>
                <c:ptCount val="1"/>
                <c:pt idx="0">
                  <c:v>Series 4</c:v>
                </c:pt>
              </c:strCache>
            </c:strRef>
          </c:tx>
          <c:spPr>
            <a:ln w="28575" cap="rnd">
              <a:noFill/>
              <a:round/>
            </a:ln>
            <a:effectLst/>
          </c:spPr>
          <c:marker>
            <c:symbol val="square"/>
            <c:size val="3"/>
            <c:spPr>
              <a:solidFill>
                <a:schemeClr val="bg1"/>
              </a:solidFill>
              <a:ln w="9525">
                <a:noFill/>
              </a:ln>
              <a:effectLst/>
            </c:spPr>
          </c:marker>
          <c:dLbls>
            <c:dLbl>
              <c:idx val="0"/>
              <c:layout>
                <c:manualLayout>
                  <c:x val="-3.7505861656176379E-2"/>
                  <c:y val="7.3590840840840846E-2"/>
                </c:manualLayout>
              </c:layout>
              <c:dLblPos val="r"/>
              <c:showLegendKey val="0"/>
              <c:showVal val="0"/>
              <c:showCatName val="1"/>
              <c:showSerName val="0"/>
              <c:showPercent val="0"/>
              <c:showBubbleSize val="0"/>
              <c:extLst>
                <c:ext xmlns:c15="http://schemas.microsoft.com/office/drawing/2012/chart" uri="{CE6537A1-D6FC-4f65-9D91-7224C49458BB}">
                  <c15:layout>
                    <c:manualLayout>
                      <c:w val="0.11669545489230061"/>
                      <c:h val="7.7261761761761749E-2"/>
                    </c:manualLayout>
                  </c15:layout>
                </c:ext>
                <c:ext xmlns:c16="http://schemas.microsoft.com/office/drawing/2014/chart" uri="{C3380CC4-5D6E-409C-BE32-E72D297353CC}">
                  <c16:uniqueId val="{0000000E-DA8F-4C0A-907B-2DEE832E2D78}"/>
                </c:ext>
              </c:extLst>
            </c:dLbl>
            <c:dLbl>
              <c:idx val="12"/>
              <c:layout>
                <c:manualLayout>
                  <c:x val="-2.8248054359058798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F-DA8F-4C0A-907B-2DEE832E2D78}"/>
                </c:ext>
              </c:extLst>
            </c:dLbl>
            <c:dLbl>
              <c:idx val="24"/>
              <c:layout>
                <c:manualLayout>
                  <c:x val="-2.8233522556818016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0-DA8F-4C0A-907B-2DEE832E2D78}"/>
                </c:ext>
              </c:extLst>
            </c:dLbl>
            <c:dLbl>
              <c:idx val="36"/>
              <c:layout>
                <c:manualLayout>
                  <c:x val="-2.3596988929115423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1-DA8F-4C0A-907B-2DEE832E2D78}"/>
                </c:ext>
              </c:extLst>
            </c:dLbl>
            <c:dLbl>
              <c:idx val="48"/>
              <c:layout>
                <c:manualLayout>
                  <c:x val="-2.358970736864793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2-DA8F-4C0A-907B-2DEE832E2D78}"/>
                </c:ext>
              </c:extLst>
            </c:dLbl>
            <c:dLbl>
              <c:idx val="60"/>
              <c:layout>
                <c:manualLayout>
                  <c:x val="-2.3595532617021957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3-DA8F-4C0A-907B-2DEE832E2D78}"/>
                </c:ext>
              </c:extLst>
            </c:dLbl>
            <c:dLbl>
              <c:idx val="72"/>
              <c:layout>
                <c:manualLayout>
                  <c:x val="-1.8965916471763648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4-DA8F-4C0A-907B-2DEE832E2D78}"/>
                </c:ext>
              </c:extLst>
            </c:dLbl>
            <c:dLbl>
              <c:idx val="84"/>
              <c:layout>
                <c:manualLayout>
                  <c:x val="-2.3663383540472076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5-DA8F-4C0A-907B-2DEE832E2D78}"/>
                </c:ext>
              </c:extLst>
            </c:dLbl>
            <c:dLbl>
              <c:idx val="96"/>
              <c:layout>
                <c:manualLayout>
                  <c:x val="-2.3611187972027159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6-DA8F-4C0A-907B-2DEE832E2D78}"/>
                </c:ext>
              </c:extLst>
            </c:dLbl>
            <c:dLbl>
              <c:idx val="100"/>
              <c:layout>
                <c:manualLayout>
                  <c:x val="-1.592435091954969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7-DA8F-4C0A-907B-2DEE832E2D78}"/>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Arial" panose="020B0604020202020204" pitchFamily="34" charset="0"/>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Commodities!$Y$20:$Y$123</c:f>
              <c:numCache>
                <c:formatCode>General</c:formatCode>
                <c:ptCount val="104"/>
                <c:pt idx="0">
                  <c:v>20</c:v>
                </c:pt>
                <c:pt idx="12">
                  <c:v>20</c:v>
                </c:pt>
                <c:pt idx="24">
                  <c:v>20</c:v>
                </c:pt>
                <c:pt idx="36">
                  <c:v>20</c:v>
                </c:pt>
                <c:pt idx="48">
                  <c:v>20</c:v>
                </c:pt>
                <c:pt idx="60">
                  <c:v>20</c:v>
                </c:pt>
                <c:pt idx="72">
                  <c:v>20</c:v>
                </c:pt>
                <c:pt idx="84">
                  <c:v>20</c:v>
                </c:pt>
                <c:pt idx="96">
                  <c:v>20</c:v>
                </c:pt>
                <c:pt idx="100">
                  <c:v>20</c:v>
                </c:pt>
              </c:numCache>
            </c:numRef>
          </c:val>
          <c:smooth val="0"/>
          <c:extLst>
            <c:ext xmlns:c16="http://schemas.microsoft.com/office/drawing/2014/chart" uri="{C3380CC4-5D6E-409C-BE32-E72D297353CC}">
              <c16:uniqueId val="{00000018-DA8F-4C0A-907B-2DEE832E2D78}"/>
            </c:ext>
          </c:extLst>
        </c:ser>
        <c:dLbls>
          <c:showLegendKey val="0"/>
          <c:showVal val="0"/>
          <c:showCatName val="0"/>
          <c:showSerName val="0"/>
          <c:showPercent val="0"/>
          <c:showBubbleSize val="0"/>
        </c:dLbls>
        <c:smooth val="0"/>
        <c:axId val="1768785920"/>
        <c:axId val="1768787008"/>
      </c:lineChart>
      <c:dateAx>
        <c:axId val="1768785920"/>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787008"/>
        <c:crosses val="autoZero"/>
        <c:auto val="1"/>
        <c:lblOffset val="100"/>
        <c:baseTimeUnit val="months"/>
        <c:majorUnit val="12"/>
        <c:minorUnit val="1"/>
      </c:dateAx>
      <c:valAx>
        <c:axId val="1768787008"/>
        <c:scaling>
          <c:orientation val="minMax"/>
          <c:max val="340"/>
          <c:min val="2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785920"/>
        <c:crosses val="autoZero"/>
        <c:crossBetween val="between"/>
        <c:majorUnit val="40"/>
      </c:valAx>
      <c:spPr>
        <a:noFill/>
        <a:ln>
          <a:noFill/>
        </a:ln>
        <a:effectLst/>
      </c:spPr>
    </c:plotArea>
    <c:legend>
      <c:legendPos val="b"/>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ayout>
        <c:manualLayout>
          <c:xMode val="edge"/>
          <c:yMode val="edge"/>
          <c:x val="0.1174303732866725"/>
          <c:y val="0.8752442442442443"/>
          <c:w val="0.77902814231554385"/>
          <c:h val="0.12475575575575576"/>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no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9410569105691"/>
          <c:y val="5.8005314731772131E-2"/>
          <c:w val="0.83454945799457991"/>
          <c:h val="0.56175672877323946"/>
        </c:manualLayout>
      </c:layout>
      <c:lineChart>
        <c:grouping val="standard"/>
        <c:varyColors val="0"/>
        <c:ser>
          <c:idx val="0"/>
          <c:order val="0"/>
          <c:tx>
            <c:strRef>
              <c:f>'Commodities 2'!$K$145</c:f>
              <c:strCache>
                <c:ptCount val="1"/>
              </c:strCache>
            </c:strRef>
          </c:tx>
          <c:spPr>
            <a:ln w="22225" cap="rnd">
              <a:solidFill>
                <a:srgbClr val="00A651"/>
              </a:solidFill>
              <a:prstDash val="sysDot"/>
              <a:round/>
            </a:ln>
            <a:effectLst/>
          </c:spPr>
          <c:marker>
            <c:symbol val="none"/>
          </c:marker>
          <c:cat>
            <c:numRef>
              <c:f>'Commodities 2'!$J$147:$J$154</c:f>
              <c:numCache>
                <c:formatCode>General</c:formatCode>
                <c:ptCount val="8"/>
                <c:pt idx="0">
                  <c:v>2019</c:v>
                </c:pt>
                <c:pt idx="1">
                  <c:v>2020</c:v>
                </c:pt>
                <c:pt idx="2">
                  <c:v>2021</c:v>
                </c:pt>
                <c:pt idx="3">
                  <c:v>2022</c:v>
                </c:pt>
                <c:pt idx="4">
                  <c:v>2023</c:v>
                </c:pt>
                <c:pt idx="5">
                  <c:v>2024</c:v>
                </c:pt>
                <c:pt idx="6">
                  <c:v>2025</c:v>
                </c:pt>
                <c:pt idx="7">
                  <c:v>2026</c:v>
                </c:pt>
              </c:numCache>
            </c:numRef>
          </c:cat>
          <c:val>
            <c:numRef>
              <c:f>'Commodities 2'!$K$147:$K$154</c:f>
              <c:numCache>
                <c:formatCode>#.#00</c:formatCode>
                <c:ptCount val="8"/>
                <c:pt idx="0">
                  <c:v>100</c:v>
                </c:pt>
                <c:pt idx="1">
                  <c:v>101.68159404246752</c:v>
                </c:pt>
                <c:pt idx="2">
                  <c:v>128.2419241219684</c:v>
                </c:pt>
                <c:pt idx="3">
                  <c:v>146.48183556405351</c:v>
                </c:pt>
                <c:pt idx="4">
                  <c:v>137.93901579953706</c:v>
                </c:pt>
                <c:pt idx="5">
                  <c:v>135.12327664284993</c:v>
                </c:pt>
                <c:pt idx="6">
                  <c:v>132.59333802958639</c:v>
                </c:pt>
                <c:pt idx="7">
                  <c:v>132.33974036429507</c:v>
                </c:pt>
              </c:numCache>
            </c:numRef>
          </c:val>
          <c:smooth val="0"/>
          <c:extLst>
            <c:ext xmlns:c16="http://schemas.microsoft.com/office/drawing/2014/chart" uri="{C3380CC4-5D6E-409C-BE32-E72D297353CC}">
              <c16:uniqueId val="{00000000-1290-499F-90E5-6ADFBF8BA214}"/>
            </c:ext>
          </c:extLst>
        </c:ser>
        <c:ser>
          <c:idx val="1"/>
          <c:order val="1"/>
          <c:tx>
            <c:strRef>
              <c:f>'Commodities 2'!$L$145</c:f>
              <c:strCache>
                <c:ptCount val="1"/>
              </c:strCache>
            </c:strRef>
          </c:tx>
          <c:spPr>
            <a:ln w="22225" cap="rnd">
              <a:solidFill>
                <a:srgbClr val="EC008C"/>
              </a:solidFill>
              <a:prstDash val="sysDot"/>
              <a:round/>
            </a:ln>
            <a:effectLst/>
          </c:spPr>
          <c:marker>
            <c:symbol val="none"/>
          </c:marker>
          <c:cat>
            <c:numRef>
              <c:f>'Commodities 2'!$J$147:$J$154</c:f>
              <c:numCache>
                <c:formatCode>General</c:formatCode>
                <c:ptCount val="8"/>
                <c:pt idx="0">
                  <c:v>2019</c:v>
                </c:pt>
                <c:pt idx="1">
                  <c:v>2020</c:v>
                </c:pt>
                <c:pt idx="2">
                  <c:v>2021</c:v>
                </c:pt>
                <c:pt idx="3">
                  <c:v>2022</c:v>
                </c:pt>
                <c:pt idx="4">
                  <c:v>2023</c:v>
                </c:pt>
                <c:pt idx="5">
                  <c:v>2024</c:v>
                </c:pt>
                <c:pt idx="6">
                  <c:v>2025</c:v>
                </c:pt>
                <c:pt idx="7">
                  <c:v>2026</c:v>
                </c:pt>
              </c:numCache>
            </c:numRef>
          </c:cat>
          <c:val>
            <c:numRef>
              <c:f>'Commodities 2'!$L$147:$L$154</c:f>
              <c:numCache>
                <c:formatCode>#.#00</c:formatCode>
                <c:ptCount val="8"/>
                <c:pt idx="0">
                  <c:v>100</c:v>
                </c:pt>
                <c:pt idx="1">
                  <c:v>103.46585870529117</c:v>
                </c:pt>
                <c:pt idx="2">
                  <c:v>151.79796039018626</c:v>
                </c:pt>
                <c:pt idx="3">
                  <c:v>143.47989949748745</c:v>
                </c:pt>
                <c:pt idx="4">
                  <c:v>126.25110848359444</c:v>
                </c:pt>
                <c:pt idx="5">
                  <c:v>126.00280815843928</c:v>
                </c:pt>
                <c:pt idx="6">
                  <c:v>125.8624002364765</c:v>
                </c:pt>
                <c:pt idx="7">
                  <c:v>126.0567543600355</c:v>
                </c:pt>
              </c:numCache>
            </c:numRef>
          </c:val>
          <c:smooth val="0"/>
          <c:extLst>
            <c:ext xmlns:c16="http://schemas.microsoft.com/office/drawing/2014/chart" uri="{C3380CC4-5D6E-409C-BE32-E72D297353CC}">
              <c16:uniqueId val="{00000001-1290-499F-90E5-6ADFBF8BA214}"/>
            </c:ext>
          </c:extLst>
        </c:ser>
        <c:ser>
          <c:idx val="2"/>
          <c:order val="2"/>
          <c:tx>
            <c:strRef>
              <c:f>'Commodities 2'!$M$145</c:f>
              <c:strCache>
                <c:ptCount val="1"/>
              </c:strCache>
            </c:strRef>
          </c:tx>
          <c:spPr>
            <a:ln w="22225" cap="rnd">
              <a:solidFill>
                <a:srgbClr val="003891"/>
              </a:solidFill>
              <a:prstDash val="sysDot"/>
              <a:round/>
            </a:ln>
            <a:effectLst/>
          </c:spPr>
          <c:marker>
            <c:symbol val="none"/>
          </c:marker>
          <c:cat>
            <c:numRef>
              <c:f>'Commodities 2'!$J$147:$J$154</c:f>
              <c:numCache>
                <c:formatCode>General</c:formatCode>
                <c:ptCount val="8"/>
                <c:pt idx="0">
                  <c:v>2019</c:v>
                </c:pt>
                <c:pt idx="1">
                  <c:v>2020</c:v>
                </c:pt>
                <c:pt idx="2">
                  <c:v>2021</c:v>
                </c:pt>
                <c:pt idx="3">
                  <c:v>2022</c:v>
                </c:pt>
                <c:pt idx="4">
                  <c:v>2023</c:v>
                </c:pt>
                <c:pt idx="5">
                  <c:v>2024</c:v>
                </c:pt>
                <c:pt idx="6">
                  <c:v>2025</c:v>
                </c:pt>
                <c:pt idx="7">
                  <c:v>2026</c:v>
                </c:pt>
              </c:numCache>
            </c:numRef>
          </c:cat>
          <c:val>
            <c:numRef>
              <c:f>'Commodities 2'!$M$147:$M$154</c:f>
              <c:numCache>
                <c:formatCode>#.#00</c:formatCode>
                <c:ptCount val="8"/>
                <c:pt idx="0">
                  <c:v>100</c:v>
                </c:pt>
                <c:pt idx="1">
                  <c:v>68.333944747015835</c:v>
                </c:pt>
                <c:pt idx="2">
                  <c:v>113.38643226006717</c:v>
                </c:pt>
                <c:pt idx="3">
                  <c:v>160.36910573694163</c:v>
                </c:pt>
                <c:pt idx="4">
                  <c:v>139.64500380957756</c:v>
                </c:pt>
                <c:pt idx="5">
                  <c:v>130.95140672178798</c:v>
                </c:pt>
                <c:pt idx="6">
                  <c:v>124.49770014391738</c:v>
                </c:pt>
                <c:pt idx="7">
                  <c:v>119.63837232271356</c:v>
                </c:pt>
              </c:numCache>
            </c:numRef>
          </c:val>
          <c:smooth val="0"/>
          <c:extLst>
            <c:ext xmlns:c16="http://schemas.microsoft.com/office/drawing/2014/chart" uri="{C3380CC4-5D6E-409C-BE32-E72D297353CC}">
              <c16:uniqueId val="{00000002-1290-499F-90E5-6ADFBF8BA214}"/>
            </c:ext>
          </c:extLst>
        </c:ser>
        <c:ser>
          <c:idx val="3"/>
          <c:order val="3"/>
          <c:tx>
            <c:strRef>
              <c:f>'Commodities 2'!$N$145</c:f>
              <c:strCache>
                <c:ptCount val="1"/>
              </c:strCache>
            </c:strRef>
          </c:tx>
          <c:spPr>
            <a:ln w="22225" cap="rnd">
              <a:solidFill>
                <a:srgbClr val="00A651"/>
              </a:solidFill>
              <a:round/>
            </a:ln>
            <a:effectLst/>
          </c:spPr>
          <c:marker>
            <c:symbol val="none"/>
          </c:marker>
          <c:cat>
            <c:numRef>
              <c:f>'Commodities 2'!$J$147:$J$154</c:f>
              <c:numCache>
                <c:formatCode>General</c:formatCode>
                <c:ptCount val="8"/>
                <c:pt idx="0">
                  <c:v>2019</c:v>
                </c:pt>
                <c:pt idx="1">
                  <c:v>2020</c:v>
                </c:pt>
                <c:pt idx="2">
                  <c:v>2021</c:v>
                </c:pt>
                <c:pt idx="3">
                  <c:v>2022</c:v>
                </c:pt>
                <c:pt idx="4">
                  <c:v>2023</c:v>
                </c:pt>
                <c:pt idx="5">
                  <c:v>2024</c:v>
                </c:pt>
                <c:pt idx="6">
                  <c:v>2025</c:v>
                </c:pt>
                <c:pt idx="7">
                  <c:v>2026</c:v>
                </c:pt>
              </c:numCache>
            </c:numRef>
          </c:cat>
          <c:val>
            <c:numRef>
              <c:f>'Commodities 2'!$N$147:$N$154</c:f>
              <c:numCache>
                <c:formatCode>#.#00</c:formatCode>
                <c:ptCount val="8"/>
                <c:pt idx="0">
                  <c:v>100</c:v>
                </c:pt>
                <c:pt idx="1">
                  <c:v>101.68159404246752</c:v>
                </c:pt>
                <c:pt idx="2">
                  <c:v>128.23991144208514</c:v>
                </c:pt>
                <c:pt idx="3">
                  <c:v>146.28358659555195</c:v>
                </c:pt>
                <c:pt idx="4">
                  <c:v>138.12619502868068</c:v>
                </c:pt>
                <c:pt idx="5">
                  <c:v>134.20951997584785</c:v>
                </c:pt>
                <c:pt idx="6">
                  <c:v>131.26899466639833</c:v>
                </c:pt>
                <c:pt idx="7">
                  <c:v>130.55650598772266</c:v>
                </c:pt>
              </c:numCache>
            </c:numRef>
          </c:val>
          <c:smooth val="0"/>
          <c:extLst>
            <c:ext xmlns:c16="http://schemas.microsoft.com/office/drawing/2014/chart" uri="{C3380CC4-5D6E-409C-BE32-E72D297353CC}">
              <c16:uniqueId val="{00000003-1290-499F-90E5-6ADFBF8BA214}"/>
            </c:ext>
          </c:extLst>
        </c:ser>
        <c:ser>
          <c:idx val="4"/>
          <c:order val="4"/>
          <c:tx>
            <c:strRef>
              <c:f>'Commodities 2'!$O$145</c:f>
              <c:strCache>
                <c:ptCount val="1"/>
              </c:strCache>
            </c:strRef>
          </c:tx>
          <c:spPr>
            <a:ln w="22225" cap="rnd">
              <a:solidFill>
                <a:srgbClr val="EC008C"/>
              </a:solidFill>
              <a:round/>
            </a:ln>
            <a:effectLst/>
          </c:spPr>
          <c:marker>
            <c:symbol val="none"/>
          </c:marker>
          <c:cat>
            <c:numRef>
              <c:f>'Commodities 2'!$J$147:$J$154</c:f>
              <c:numCache>
                <c:formatCode>General</c:formatCode>
                <c:ptCount val="8"/>
                <c:pt idx="0">
                  <c:v>2019</c:v>
                </c:pt>
                <c:pt idx="1">
                  <c:v>2020</c:v>
                </c:pt>
                <c:pt idx="2">
                  <c:v>2021</c:v>
                </c:pt>
                <c:pt idx="3">
                  <c:v>2022</c:v>
                </c:pt>
                <c:pt idx="4">
                  <c:v>2023</c:v>
                </c:pt>
                <c:pt idx="5">
                  <c:v>2024</c:v>
                </c:pt>
                <c:pt idx="6">
                  <c:v>2025</c:v>
                </c:pt>
                <c:pt idx="7">
                  <c:v>2026</c:v>
                </c:pt>
              </c:numCache>
            </c:numRef>
          </c:cat>
          <c:val>
            <c:numRef>
              <c:f>'Commodities 2'!$O$147:$O$154</c:f>
              <c:numCache>
                <c:formatCode>#.#00</c:formatCode>
                <c:ptCount val="8"/>
                <c:pt idx="0">
                  <c:v>100</c:v>
                </c:pt>
                <c:pt idx="1">
                  <c:v>103.46585870529117</c:v>
                </c:pt>
                <c:pt idx="2">
                  <c:v>151.79796039018626</c:v>
                </c:pt>
                <c:pt idx="3">
                  <c:v>143.28628436299144</c:v>
                </c:pt>
                <c:pt idx="4">
                  <c:v>148.31658291457288</c:v>
                </c:pt>
                <c:pt idx="5">
                  <c:v>144.42211055276383</c:v>
                </c:pt>
                <c:pt idx="6">
                  <c:v>142.23100798108192</c:v>
                </c:pt>
                <c:pt idx="7">
                  <c:v>141.5637008572273</c:v>
                </c:pt>
              </c:numCache>
            </c:numRef>
          </c:val>
          <c:smooth val="0"/>
          <c:extLst>
            <c:ext xmlns:c16="http://schemas.microsoft.com/office/drawing/2014/chart" uri="{C3380CC4-5D6E-409C-BE32-E72D297353CC}">
              <c16:uniqueId val="{00000004-1290-499F-90E5-6ADFBF8BA214}"/>
            </c:ext>
          </c:extLst>
        </c:ser>
        <c:ser>
          <c:idx val="5"/>
          <c:order val="5"/>
          <c:tx>
            <c:strRef>
              <c:f>'Commodities 2'!$P$145</c:f>
              <c:strCache>
                <c:ptCount val="1"/>
              </c:strCache>
            </c:strRef>
          </c:tx>
          <c:spPr>
            <a:ln w="22225" cap="rnd">
              <a:solidFill>
                <a:srgbClr val="003891"/>
              </a:solidFill>
              <a:round/>
            </a:ln>
            <a:effectLst/>
          </c:spPr>
          <c:marker>
            <c:symbol val="none"/>
          </c:marker>
          <c:cat>
            <c:numRef>
              <c:f>'Commodities 2'!$J$147:$J$154</c:f>
              <c:numCache>
                <c:formatCode>General</c:formatCode>
                <c:ptCount val="8"/>
                <c:pt idx="0">
                  <c:v>2019</c:v>
                </c:pt>
                <c:pt idx="1">
                  <c:v>2020</c:v>
                </c:pt>
                <c:pt idx="2">
                  <c:v>2021</c:v>
                </c:pt>
                <c:pt idx="3">
                  <c:v>2022</c:v>
                </c:pt>
                <c:pt idx="4">
                  <c:v>2023</c:v>
                </c:pt>
                <c:pt idx="5">
                  <c:v>2024</c:v>
                </c:pt>
                <c:pt idx="6">
                  <c:v>2025</c:v>
                </c:pt>
                <c:pt idx="7">
                  <c:v>2026</c:v>
                </c:pt>
              </c:numCache>
            </c:numRef>
          </c:cat>
          <c:val>
            <c:numRef>
              <c:f>'Commodities 2'!$P$147:$P$154</c:f>
              <c:numCache>
                <c:formatCode>#.#00</c:formatCode>
                <c:ptCount val="8"/>
                <c:pt idx="0">
                  <c:v>100</c:v>
                </c:pt>
                <c:pt idx="1">
                  <c:v>67.984943361711103</c:v>
                </c:pt>
                <c:pt idx="2">
                  <c:v>112.70738056708647</c:v>
                </c:pt>
                <c:pt idx="3">
                  <c:v>156.808555547738</c:v>
                </c:pt>
                <c:pt idx="4">
                  <c:v>119.03890804193344</c:v>
                </c:pt>
                <c:pt idx="5">
                  <c:v>112.13818335326815</c:v>
                </c:pt>
                <c:pt idx="6">
                  <c:v>108.98402870611412</c:v>
                </c:pt>
                <c:pt idx="7">
                  <c:v>106.43917540280026</c:v>
                </c:pt>
              </c:numCache>
            </c:numRef>
          </c:val>
          <c:smooth val="0"/>
          <c:extLst>
            <c:ext xmlns:c16="http://schemas.microsoft.com/office/drawing/2014/chart" uri="{C3380CC4-5D6E-409C-BE32-E72D297353CC}">
              <c16:uniqueId val="{00000005-1290-499F-90E5-6ADFBF8BA214}"/>
            </c:ext>
          </c:extLst>
        </c:ser>
        <c:ser>
          <c:idx val="6"/>
          <c:order val="6"/>
          <c:tx>
            <c:strRef>
              <c:f>'Commodities 2'!$Q$145</c:f>
              <c:strCache>
                <c:ptCount val="1"/>
              </c:strCache>
            </c:strRef>
          </c:tx>
          <c:spPr>
            <a:ln w="28575" cap="rnd">
              <a:noFill/>
              <a:round/>
            </a:ln>
            <a:effectLst/>
          </c:spPr>
          <c:marker>
            <c:symbol val="square"/>
            <c:size val="2"/>
            <c:spPr>
              <a:solidFill>
                <a:schemeClr val="bg1"/>
              </a:solidFill>
              <a:ln w="9525">
                <a:noFill/>
              </a:ln>
              <a:effectLst/>
            </c:spPr>
          </c:marker>
          <c:cat>
            <c:numRef>
              <c:f>'Commodities 2'!$J$147:$J$154</c:f>
              <c:numCache>
                <c:formatCode>General</c:formatCode>
                <c:ptCount val="8"/>
                <c:pt idx="0">
                  <c:v>2019</c:v>
                </c:pt>
                <c:pt idx="1">
                  <c:v>2020</c:v>
                </c:pt>
                <c:pt idx="2">
                  <c:v>2021</c:v>
                </c:pt>
                <c:pt idx="3">
                  <c:v>2022</c:v>
                </c:pt>
                <c:pt idx="4">
                  <c:v>2023</c:v>
                </c:pt>
                <c:pt idx="5">
                  <c:v>2024</c:v>
                </c:pt>
                <c:pt idx="6">
                  <c:v>2025</c:v>
                </c:pt>
                <c:pt idx="7">
                  <c:v>2026</c:v>
                </c:pt>
              </c:numCache>
            </c:numRef>
          </c:cat>
          <c:val>
            <c:numRef>
              <c:f>'Commodities 2'!$Q$147:$Q$154</c:f>
              <c:numCache>
                <c:formatCode>General</c:formatCode>
                <c:ptCount val="8"/>
                <c:pt idx="0">
                  <c:v>60</c:v>
                </c:pt>
                <c:pt idx="1">
                  <c:v>60</c:v>
                </c:pt>
                <c:pt idx="2">
                  <c:v>60</c:v>
                </c:pt>
                <c:pt idx="3">
                  <c:v>60</c:v>
                </c:pt>
                <c:pt idx="4">
                  <c:v>60</c:v>
                </c:pt>
                <c:pt idx="5">
                  <c:v>60</c:v>
                </c:pt>
                <c:pt idx="6">
                  <c:v>60</c:v>
                </c:pt>
                <c:pt idx="7">
                  <c:v>60</c:v>
                </c:pt>
              </c:numCache>
            </c:numRef>
          </c:val>
          <c:smooth val="0"/>
          <c:extLst>
            <c:ext xmlns:c16="http://schemas.microsoft.com/office/drawing/2014/chart" uri="{C3380CC4-5D6E-409C-BE32-E72D297353CC}">
              <c16:uniqueId val="{00000006-1290-499F-90E5-6ADFBF8BA214}"/>
            </c:ext>
          </c:extLst>
        </c:ser>
        <c:dLbls>
          <c:showLegendKey val="0"/>
          <c:showVal val="0"/>
          <c:showCatName val="0"/>
          <c:showSerName val="0"/>
          <c:showPercent val="0"/>
          <c:showBubbleSize val="0"/>
        </c:dLbls>
        <c:smooth val="0"/>
        <c:axId val="1767812416"/>
        <c:axId val="1767804256"/>
      </c:lineChart>
      <c:catAx>
        <c:axId val="1767812416"/>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7804256"/>
        <c:crosses val="autoZero"/>
        <c:auto val="1"/>
        <c:lblAlgn val="ctr"/>
        <c:lblOffset val="100"/>
        <c:noMultiLvlLbl val="0"/>
      </c:catAx>
      <c:valAx>
        <c:axId val="1767804256"/>
        <c:scaling>
          <c:orientation val="minMax"/>
          <c:max val="160"/>
          <c:min val="6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7812416"/>
        <c:crosses val="autoZero"/>
        <c:crossBetween val="midCat"/>
        <c:majorUnit val="20"/>
      </c:valAx>
      <c:spPr>
        <a:noFill/>
        <a:ln>
          <a:noFill/>
        </a:ln>
        <a:effectLst/>
      </c:spPr>
    </c:plotArea>
    <c:legend>
      <c:legendPos val="b"/>
      <c:layout>
        <c:manualLayout>
          <c:xMode val="edge"/>
          <c:yMode val="edge"/>
          <c:x val="0.33384259259259258"/>
          <c:y val="0.83893875035986121"/>
          <c:w val="0.55453703703703705"/>
          <c:h val="0.1069415665147119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9055612097101833E-2"/>
          <c:y val="5.8666642029756626E-2"/>
          <c:w val="0.86447596098653134"/>
          <c:h val="0.66094333333333333"/>
        </c:manualLayout>
      </c:layout>
      <c:lineChart>
        <c:grouping val="standard"/>
        <c:varyColors val="0"/>
        <c:ser>
          <c:idx val="0"/>
          <c:order val="0"/>
          <c:tx>
            <c:strRef>
              <c:f>'NBS kretanje referentne ks'!$J$10</c:f>
              <c:strCache>
                <c:ptCount val="1"/>
                <c:pt idx="0">
                  <c:v>САД</c:v>
                </c:pt>
              </c:strCache>
            </c:strRef>
          </c:tx>
          <c:spPr>
            <a:ln w="22225" cap="rnd">
              <a:solidFill>
                <a:srgbClr val="00A651"/>
              </a:solidFill>
              <a:round/>
            </a:ln>
            <a:effectLst/>
          </c:spPr>
          <c:marker>
            <c:symbol val="none"/>
          </c:marker>
          <c:cat>
            <c:multiLvlStrRef>
              <c:f>'NBS kretanje referentne ks'!$H$131:$I$163</c:f>
              <c:multiLvlStrCache>
                <c:ptCount val="33"/>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pt idx="32">
                    <c:v>IX</c:v>
                  </c:pt>
                </c:lvl>
                <c:lvl>
                  <c:pt idx="0">
                    <c:v>2021</c:v>
                  </c:pt>
                  <c:pt idx="12">
                    <c:v>2022</c:v>
                  </c:pt>
                  <c:pt idx="24">
                    <c:v>2023</c:v>
                  </c:pt>
                </c:lvl>
              </c:multiLvlStrCache>
            </c:multiLvlStrRef>
          </c:cat>
          <c:val>
            <c:numRef>
              <c:f>'NBS kretanje referentne ks'!$J$131:$J$163</c:f>
              <c:numCache>
                <c:formatCode>0.00</c:formatCode>
                <c:ptCount val="33"/>
                <c:pt idx="0">
                  <c:v>0.25</c:v>
                </c:pt>
                <c:pt idx="1">
                  <c:v>0.25</c:v>
                </c:pt>
                <c:pt idx="2">
                  <c:v>0.25</c:v>
                </c:pt>
                <c:pt idx="3">
                  <c:v>0.25</c:v>
                </c:pt>
                <c:pt idx="4">
                  <c:v>0.25</c:v>
                </c:pt>
                <c:pt idx="5">
                  <c:v>0.25</c:v>
                </c:pt>
                <c:pt idx="6">
                  <c:v>0.25</c:v>
                </c:pt>
                <c:pt idx="7">
                  <c:v>0.25</c:v>
                </c:pt>
                <c:pt idx="8">
                  <c:v>0.25</c:v>
                </c:pt>
                <c:pt idx="9">
                  <c:v>0.25</c:v>
                </c:pt>
                <c:pt idx="10">
                  <c:v>0.25</c:v>
                </c:pt>
                <c:pt idx="11">
                  <c:v>0.25</c:v>
                </c:pt>
                <c:pt idx="12">
                  <c:v>0.25</c:v>
                </c:pt>
                <c:pt idx="13">
                  <c:v>0.25</c:v>
                </c:pt>
                <c:pt idx="14">
                  <c:v>0.5</c:v>
                </c:pt>
                <c:pt idx="15">
                  <c:v>0.5</c:v>
                </c:pt>
                <c:pt idx="16">
                  <c:v>1</c:v>
                </c:pt>
                <c:pt idx="17">
                  <c:v>1.75</c:v>
                </c:pt>
                <c:pt idx="18">
                  <c:v>2.5</c:v>
                </c:pt>
                <c:pt idx="19">
                  <c:v>2.5</c:v>
                </c:pt>
                <c:pt idx="20">
                  <c:v>3.25</c:v>
                </c:pt>
                <c:pt idx="21">
                  <c:v>3.25</c:v>
                </c:pt>
                <c:pt idx="22">
                  <c:v>4</c:v>
                </c:pt>
                <c:pt idx="23">
                  <c:v>4.5</c:v>
                </c:pt>
                <c:pt idx="24">
                  <c:v>4.5</c:v>
                </c:pt>
                <c:pt idx="25">
                  <c:v>4.75</c:v>
                </c:pt>
                <c:pt idx="26">
                  <c:v>5</c:v>
                </c:pt>
                <c:pt idx="27">
                  <c:v>5</c:v>
                </c:pt>
                <c:pt idx="28">
                  <c:v>5.25</c:v>
                </c:pt>
                <c:pt idx="29">
                  <c:v>5.25</c:v>
                </c:pt>
                <c:pt idx="30">
                  <c:v>5.5</c:v>
                </c:pt>
                <c:pt idx="31">
                  <c:v>5.5</c:v>
                </c:pt>
                <c:pt idx="32">
                  <c:v>5.5</c:v>
                </c:pt>
              </c:numCache>
            </c:numRef>
          </c:val>
          <c:smooth val="0"/>
          <c:extLst>
            <c:ext xmlns:c16="http://schemas.microsoft.com/office/drawing/2014/chart" uri="{C3380CC4-5D6E-409C-BE32-E72D297353CC}">
              <c16:uniqueId val="{00000000-EE1F-4FEC-940A-884ACFC5A380}"/>
            </c:ext>
          </c:extLst>
        </c:ser>
        <c:ser>
          <c:idx val="1"/>
          <c:order val="1"/>
          <c:tx>
            <c:strRef>
              <c:f>'NBS kretanje referentne ks'!$K$10</c:f>
              <c:strCache>
                <c:ptCount val="1"/>
                <c:pt idx="0">
                  <c:v>Еврозона</c:v>
                </c:pt>
              </c:strCache>
            </c:strRef>
          </c:tx>
          <c:spPr>
            <a:ln w="22225" cap="rnd">
              <a:solidFill>
                <a:srgbClr val="7F3F98"/>
              </a:solidFill>
              <a:round/>
            </a:ln>
            <a:effectLst/>
          </c:spPr>
          <c:marker>
            <c:symbol val="none"/>
          </c:marker>
          <c:cat>
            <c:multiLvlStrRef>
              <c:f>'NBS kretanje referentne ks'!$H$131:$I$163</c:f>
              <c:multiLvlStrCache>
                <c:ptCount val="33"/>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pt idx="32">
                    <c:v>IX</c:v>
                  </c:pt>
                </c:lvl>
                <c:lvl>
                  <c:pt idx="0">
                    <c:v>2021</c:v>
                  </c:pt>
                  <c:pt idx="12">
                    <c:v>2022</c:v>
                  </c:pt>
                  <c:pt idx="24">
                    <c:v>2023</c:v>
                  </c:pt>
                </c:lvl>
              </c:multiLvlStrCache>
            </c:multiLvlStrRef>
          </c:cat>
          <c:val>
            <c:numRef>
              <c:f>'NBS kretanje referentne ks'!$K$131:$K$163</c:f>
              <c:numCache>
                <c:formatCode>0.00</c:formatCode>
                <c:ptCount val="3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0.5</c:v>
                </c:pt>
                <c:pt idx="19">
                  <c:v>0.5</c:v>
                </c:pt>
                <c:pt idx="20">
                  <c:v>1.25</c:v>
                </c:pt>
                <c:pt idx="21">
                  <c:v>1.25</c:v>
                </c:pt>
                <c:pt idx="22">
                  <c:v>2</c:v>
                </c:pt>
                <c:pt idx="23">
                  <c:v>2.5</c:v>
                </c:pt>
                <c:pt idx="24">
                  <c:v>2.5</c:v>
                </c:pt>
                <c:pt idx="25">
                  <c:v>3</c:v>
                </c:pt>
                <c:pt idx="26">
                  <c:v>3.5</c:v>
                </c:pt>
                <c:pt idx="27">
                  <c:v>3.5</c:v>
                </c:pt>
                <c:pt idx="28">
                  <c:v>3.75</c:v>
                </c:pt>
                <c:pt idx="29">
                  <c:v>4</c:v>
                </c:pt>
                <c:pt idx="30">
                  <c:v>4</c:v>
                </c:pt>
                <c:pt idx="31">
                  <c:v>4.25</c:v>
                </c:pt>
                <c:pt idx="32">
                  <c:v>4.5</c:v>
                </c:pt>
              </c:numCache>
            </c:numRef>
          </c:val>
          <c:smooth val="0"/>
          <c:extLst>
            <c:ext xmlns:c16="http://schemas.microsoft.com/office/drawing/2014/chart" uri="{C3380CC4-5D6E-409C-BE32-E72D297353CC}">
              <c16:uniqueId val="{00000001-EE1F-4FEC-940A-884ACFC5A380}"/>
            </c:ext>
          </c:extLst>
        </c:ser>
        <c:ser>
          <c:idx val="2"/>
          <c:order val="2"/>
          <c:tx>
            <c:strRef>
              <c:f>'NBS kretanje referentne ks'!$L$10</c:f>
              <c:strCache>
                <c:ptCount val="1"/>
                <c:pt idx="0">
                  <c:v>Велика Британија</c:v>
                </c:pt>
              </c:strCache>
            </c:strRef>
          </c:tx>
          <c:spPr>
            <a:ln w="22225" cap="rnd">
              <a:solidFill>
                <a:srgbClr val="EC008C"/>
              </a:solidFill>
              <a:round/>
            </a:ln>
            <a:effectLst/>
          </c:spPr>
          <c:marker>
            <c:symbol val="none"/>
          </c:marker>
          <c:cat>
            <c:multiLvlStrRef>
              <c:f>'NBS kretanje referentne ks'!$H$131:$I$163</c:f>
              <c:multiLvlStrCache>
                <c:ptCount val="33"/>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pt idx="32">
                    <c:v>IX</c:v>
                  </c:pt>
                </c:lvl>
                <c:lvl>
                  <c:pt idx="0">
                    <c:v>2021</c:v>
                  </c:pt>
                  <c:pt idx="12">
                    <c:v>2022</c:v>
                  </c:pt>
                  <c:pt idx="24">
                    <c:v>2023</c:v>
                  </c:pt>
                </c:lvl>
              </c:multiLvlStrCache>
            </c:multiLvlStrRef>
          </c:cat>
          <c:val>
            <c:numRef>
              <c:f>'NBS kretanje referentne ks'!$L$131:$L$163</c:f>
              <c:numCache>
                <c:formatCode>0.00</c:formatCode>
                <c:ptCount val="33"/>
                <c:pt idx="0">
                  <c:v>0.1</c:v>
                </c:pt>
                <c:pt idx="1">
                  <c:v>0.1</c:v>
                </c:pt>
                <c:pt idx="2">
                  <c:v>0.1</c:v>
                </c:pt>
                <c:pt idx="3">
                  <c:v>0.1</c:v>
                </c:pt>
                <c:pt idx="4">
                  <c:v>0.1</c:v>
                </c:pt>
                <c:pt idx="5">
                  <c:v>0.1</c:v>
                </c:pt>
                <c:pt idx="6">
                  <c:v>0.1</c:v>
                </c:pt>
                <c:pt idx="7">
                  <c:v>0.1</c:v>
                </c:pt>
                <c:pt idx="8">
                  <c:v>0.1</c:v>
                </c:pt>
                <c:pt idx="9">
                  <c:v>0.1</c:v>
                </c:pt>
                <c:pt idx="10">
                  <c:v>0.1</c:v>
                </c:pt>
                <c:pt idx="11">
                  <c:v>0.25</c:v>
                </c:pt>
                <c:pt idx="12">
                  <c:v>0.25</c:v>
                </c:pt>
                <c:pt idx="13">
                  <c:v>0.5</c:v>
                </c:pt>
                <c:pt idx="14">
                  <c:v>0.75</c:v>
                </c:pt>
                <c:pt idx="15">
                  <c:v>0.75</c:v>
                </c:pt>
                <c:pt idx="16">
                  <c:v>1</c:v>
                </c:pt>
                <c:pt idx="17">
                  <c:v>1.25</c:v>
                </c:pt>
                <c:pt idx="18">
                  <c:v>1.25</c:v>
                </c:pt>
                <c:pt idx="19">
                  <c:v>1.75</c:v>
                </c:pt>
                <c:pt idx="20">
                  <c:v>2.25</c:v>
                </c:pt>
                <c:pt idx="21">
                  <c:v>2.25</c:v>
                </c:pt>
                <c:pt idx="22">
                  <c:v>3</c:v>
                </c:pt>
                <c:pt idx="23">
                  <c:v>3.5</c:v>
                </c:pt>
                <c:pt idx="24">
                  <c:v>3.5</c:v>
                </c:pt>
                <c:pt idx="25">
                  <c:v>4</c:v>
                </c:pt>
                <c:pt idx="26">
                  <c:v>4.25</c:v>
                </c:pt>
                <c:pt idx="27">
                  <c:v>4.25</c:v>
                </c:pt>
                <c:pt idx="28">
                  <c:v>4.5</c:v>
                </c:pt>
                <c:pt idx="29">
                  <c:v>5</c:v>
                </c:pt>
                <c:pt idx="30">
                  <c:v>5</c:v>
                </c:pt>
                <c:pt idx="31">
                  <c:v>5.25</c:v>
                </c:pt>
                <c:pt idx="32">
                  <c:v>5.25</c:v>
                </c:pt>
              </c:numCache>
            </c:numRef>
          </c:val>
          <c:smooth val="0"/>
          <c:extLst>
            <c:ext xmlns:c16="http://schemas.microsoft.com/office/drawing/2014/chart" uri="{C3380CC4-5D6E-409C-BE32-E72D297353CC}">
              <c16:uniqueId val="{00000002-EE1F-4FEC-940A-884ACFC5A380}"/>
            </c:ext>
          </c:extLst>
        </c:ser>
        <c:dLbls>
          <c:showLegendKey val="0"/>
          <c:showVal val="0"/>
          <c:showCatName val="0"/>
          <c:showSerName val="0"/>
          <c:showPercent val="0"/>
          <c:showBubbleSize val="0"/>
        </c:dLbls>
        <c:smooth val="0"/>
        <c:axId val="1425258495"/>
        <c:axId val="1425258911"/>
      </c:lineChart>
      <c:catAx>
        <c:axId val="1425258495"/>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0" spcFirstLastPara="1" vertOverflow="ellipsis"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425258911"/>
        <c:crosses val="autoZero"/>
        <c:auto val="1"/>
        <c:lblAlgn val="ctr"/>
        <c:lblOffset val="100"/>
        <c:noMultiLvlLbl val="1"/>
      </c:catAx>
      <c:valAx>
        <c:axId val="1425258911"/>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425258495"/>
        <c:crosses val="autoZero"/>
        <c:crossBetween val="between"/>
      </c:valAx>
      <c:spPr>
        <a:noFill/>
        <a:ln>
          <a:noFill/>
        </a:ln>
        <a:effectLst/>
      </c:spPr>
    </c:plotArea>
    <c:legend>
      <c:legendPos val="b"/>
      <c:layout>
        <c:manualLayout>
          <c:xMode val="edge"/>
          <c:yMode val="edge"/>
          <c:x val="6.0106305519149555E-2"/>
          <c:y val="0.90279486428431943"/>
          <c:w val="0.89288044269695666"/>
          <c:h val="8.0338443952359492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pPr>
      <a:endParaRPr lang="sr-Latn-R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agregati'!$B$6</c:f>
              <c:strCache>
                <c:ptCount val="1"/>
                <c:pt idx="0">
                  <c:v>Реални раст БДП, %</c:v>
                </c:pt>
              </c:strCache>
            </c:strRef>
          </c:tx>
          <c:spPr>
            <a:solidFill>
              <a:srgbClr val="00389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C852-4E3D-846A-D4054AA4C98D}"/>
              </c:ext>
            </c:extLst>
          </c:dPt>
          <c:dPt>
            <c:idx val="1"/>
            <c:invertIfNegative val="0"/>
            <c:bubble3D val="0"/>
            <c:spPr>
              <a:solidFill>
                <a:srgbClr val="ED1C24"/>
              </a:solidFill>
              <a:ln>
                <a:noFill/>
              </a:ln>
              <a:effectLst/>
            </c:spPr>
            <c:extLst>
              <c:ext xmlns:c16="http://schemas.microsoft.com/office/drawing/2014/chart" uri="{C3380CC4-5D6E-409C-BE32-E72D297353CC}">
                <c16:uniqueId val="{00000003-C852-4E3D-846A-D4054AA4C98D}"/>
              </c:ext>
            </c:extLst>
          </c:dPt>
          <c:dLbls>
            <c:dLbl>
              <c:idx val="0"/>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C852-4E3D-846A-D4054AA4C98D}"/>
                </c:ext>
              </c:extLst>
            </c:dLbl>
            <c:dLbl>
              <c:idx val="1"/>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3-C852-4E3D-846A-D4054AA4C98D}"/>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agregati'!$C$6,'Osn. makroekon. agregati'!$D$6)</c:f>
              <c:numCache>
                <c:formatCode>#.#00</c:formatCode>
                <c:ptCount val="2"/>
                <c:pt idx="0">
                  <c:v>2.5</c:v>
                </c:pt>
                <c:pt idx="1">
                  <c:v>2.5</c:v>
                </c:pt>
              </c:numCache>
            </c:numRef>
          </c:val>
          <c:extLst>
            <c:ext xmlns:c16="http://schemas.microsoft.com/office/drawing/2014/chart" uri="{C3380CC4-5D6E-409C-BE32-E72D297353CC}">
              <c16:uniqueId val="{00000004-C852-4E3D-846A-D4054AA4C98D}"/>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2023</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3">
    <c:autoUpdate val="0"/>
  </c:externalData>
  <c:userShapes r:id="rId4"/>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1381590421037E-2"/>
          <c:y val="0.11348336551369499"/>
          <c:w val="0.91418918918918923"/>
          <c:h val="0.73303303303303291"/>
        </c:manualLayout>
      </c:layout>
      <c:barChart>
        <c:barDir val="col"/>
        <c:grouping val="clustered"/>
        <c:varyColors val="0"/>
        <c:ser>
          <c:idx val="0"/>
          <c:order val="0"/>
          <c:tx>
            <c:strRef>
              <c:f>'Osn. makroekon. agregati'!$B$6</c:f>
              <c:strCache>
                <c:ptCount val="1"/>
                <c:pt idx="0">
                  <c:v>Реални раст БДП,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57B9-4504-BBE2-BDBE9B625AE7}"/>
              </c:ext>
            </c:extLst>
          </c:dPt>
          <c:dPt>
            <c:idx val="1"/>
            <c:invertIfNegative val="0"/>
            <c:bubble3D val="0"/>
            <c:spPr>
              <a:solidFill>
                <a:srgbClr val="ED1C24"/>
              </a:solidFill>
              <a:ln>
                <a:noFill/>
              </a:ln>
              <a:effectLst/>
            </c:spPr>
            <c:extLst>
              <c:ext xmlns:c16="http://schemas.microsoft.com/office/drawing/2014/chart" uri="{C3380CC4-5D6E-409C-BE32-E72D297353CC}">
                <c16:uniqueId val="{00000003-57B9-4504-BBE2-BDBE9B625AE7}"/>
              </c:ext>
            </c:extLst>
          </c:dPt>
          <c:dLbls>
            <c:dLbl>
              <c:idx val="0"/>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7B9-4504-BBE2-BDBE9B625AE7}"/>
                </c:ext>
              </c:extLst>
            </c:dLbl>
            <c:dLbl>
              <c:idx val="1"/>
              <c:layout>
                <c:manualLayout>
                  <c:x val="-8.7398890260461573E-17"/>
                  <c:y val="0"/>
                </c:manualLayout>
              </c:layout>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7B9-4504-BBE2-BDBE9B625AE7}"/>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agregati'!$E$6,'Osn. makroekon. agregati'!$F$6)</c:f>
              <c:numCache>
                <c:formatCode>#.#00</c:formatCode>
                <c:ptCount val="2"/>
                <c:pt idx="0">
                  <c:v>3.5</c:v>
                </c:pt>
                <c:pt idx="1">
                  <c:v>3.5</c:v>
                </c:pt>
              </c:numCache>
            </c:numRef>
          </c:val>
          <c:extLst>
            <c:ext xmlns:c16="http://schemas.microsoft.com/office/drawing/2014/chart" uri="{C3380CC4-5D6E-409C-BE32-E72D297353CC}">
              <c16:uniqueId val="{00000004-57B9-4504-BBE2-BDBE9B625AE7}"/>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3">
    <c:autoUpdate val="0"/>
  </c:externalData>
  <c:userShapes r:id="rId4"/>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2349849849849845"/>
        </c:manualLayout>
      </c:layout>
      <c:barChart>
        <c:barDir val="col"/>
        <c:grouping val="clustered"/>
        <c:varyColors val="0"/>
        <c:ser>
          <c:idx val="0"/>
          <c:order val="0"/>
          <c:tx>
            <c:strRef>
              <c:f>'Osn. makroekon. agregati'!$B$7</c:f>
              <c:strCache>
                <c:ptCount val="1"/>
                <c:pt idx="0">
                  <c:v>Дефицит текућег рачуна,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C67E-4380-BC94-893183BB96B8}"/>
              </c:ext>
            </c:extLst>
          </c:dPt>
          <c:dPt>
            <c:idx val="1"/>
            <c:invertIfNegative val="0"/>
            <c:bubble3D val="0"/>
            <c:spPr>
              <a:solidFill>
                <a:srgbClr val="ED1C24"/>
              </a:solidFill>
              <a:ln>
                <a:noFill/>
              </a:ln>
              <a:effectLst/>
            </c:spPr>
            <c:extLst>
              <c:ext xmlns:c16="http://schemas.microsoft.com/office/drawing/2014/chart" uri="{C3380CC4-5D6E-409C-BE32-E72D297353CC}">
                <c16:uniqueId val="{00000003-C67E-4380-BC94-893183BB96B8}"/>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67E-4380-BC94-893183BB96B8}"/>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67E-4380-BC94-893183BB96B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agregati'!$C$7,'Osn. makroekon. agregati'!$D$7)</c:f>
              <c:numCache>
                <c:formatCode>0.0</c:formatCode>
                <c:ptCount val="2"/>
                <c:pt idx="0">
                  <c:v>-5.3</c:v>
                </c:pt>
                <c:pt idx="1">
                  <c:v>-2.9</c:v>
                </c:pt>
              </c:numCache>
            </c:numRef>
          </c:val>
          <c:extLst>
            <c:ext xmlns:c16="http://schemas.microsoft.com/office/drawing/2014/chart" uri="{C3380CC4-5D6E-409C-BE32-E72D297353CC}">
              <c16:uniqueId val="{00000004-C67E-4380-BC94-893183BB96B8}"/>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2023</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1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2349849849849845"/>
        </c:manualLayout>
      </c:layout>
      <c:barChart>
        <c:barDir val="col"/>
        <c:grouping val="clustered"/>
        <c:varyColors val="0"/>
        <c:ser>
          <c:idx val="0"/>
          <c:order val="0"/>
          <c:tx>
            <c:strRef>
              <c:f>'Osn. makroekon. agregati'!$B$7</c:f>
              <c:strCache>
                <c:ptCount val="1"/>
                <c:pt idx="0">
                  <c:v>Дефицит текућег рачуна,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12D6-44AF-8B5B-CF572E3742CA}"/>
              </c:ext>
            </c:extLst>
          </c:dPt>
          <c:dPt>
            <c:idx val="1"/>
            <c:invertIfNegative val="0"/>
            <c:bubble3D val="0"/>
            <c:spPr>
              <a:solidFill>
                <a:srgbClr val="ED1C24"/>
              </a:solidFill>
              <a:ln>
                <a:noFill/>
              </a:ln>
              <a:effectLst/>
            </c:spPr>
            <c:extLst>
              <c:ext xmlns:c16="http://schemas.microsoft.com/office/drawing/2014/chart" uri="{C3380CC4-5D6E-409C-BE32-E72D297353CC}">
                <c16:uniqueId val="{00000003-12D6-44AF-8B5B-CF572E3742CA}"/>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2D6-44AF-8B5B-CF572E3742CA}"/>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2D6-44AF-8B5B-CF572E3742C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agregati'!$E$7,'Osn. makroekon. agregati'!$F$7)</c:f>
              <c:numCache>
                <c:formatCode>0.0</c:formatCode>
                <c:ptCount val="2"/>
                <c:pt idx="0">
                  <c:v>-5.2</c:v>
                </c:pt>
                <c:pt idx="1">
                  <c:v>-4</c:v>
                </c:pt>
              </c:numCache>
            </c:numRef>
          </c:val>
          <c:extLst>
            <c:ext xmlns:c16="http://schemas.microsoft.com/office/drawing/2014/chart" uri="{C3380CC4-5D6E-409C-BE32-E72D297353CC}">
              <c16:uniqueId val="{00000004-12D6-44AF-8B5B-CF572E3742CA}"/>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2024</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1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8.867129629629629E-2"/>
          <c:w val="0.91418918918918923"/>
          <c:h val="0.72349849849849845"/>
        </c:manualLayout>
      </c:layout>
      <c:barChart>
        <c:barDir val="col"/>
        <c:grouping val="clustered"/>
        <c:varyColors val="0"/>
        <c:ser>
          <c:idx val="0"/>
          <c:order val="0"/>
          <c:tx>
            <c:strRef>
              <c:f>'Osn. makroekon. agregati'!$B$8</c:f>
              <c:strCache>
                <c:ptCount val="1"/>
                <c:pt idx="0">
                  <c:v>Инфлација,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B99B-4FD4-9A36-8952B460E804}"/>
              </c:ext>
            </c:extLst>
          </c:dPt>
          <c:dPt>
            <c:idx val="1"/>
            <c:invertIfNegative val="0"/>
            <c:bubble3D val="0"/>
            <c:spPr>
              <a:solidFill>
                <a:srgbClr val="ED1C24"/>
              </a:solidFill>
              <a:ln>
                <a:noFill/>
              </a:ln>
              <a:effectLst/>
            </c:spPr>
            <c:extLst>
              <c:ext xmlns:c16="http://schemas.microsoft.com/office/drawing/2014/chart" uri="{C3380CC4-5D6E-409C-BE32-E72D297353CC}">
                <c16:uniqueId val="{00000003-B99B-4FD4-9A36-8952B460E804}"/>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B99B-4FD4-9A36-8952B460E804}"/>
                </c:ext>
              </c:extLst>
            </c:dLbl>
            <c:dLbl>
              <c:idx val="1"/>
              <c:spPr>
                <a:noFill/>
                <a:ln>
                  <a:noFill/>
                </a:ln>
                <a:effectLst/>
              </c:spPr>
              <c:txPr>
                <a:bodyPr rot="0" spcFirstLastPara="1" vertOverflow="ellipsis" vert="horz" wrap="none" lIns="38100" tIns="19050" rIns="38100" bIns="19050" anchor="ctr" anchorCtr="1">
                  <a:no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B99B-4FD4-9A36-8952B460E80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agregati'!$C$8,'Osn. makroekon. agregati'!$D$8)</c:f>
              <c:numCache>
                <c:formatCode>0.0</c:formatCode>
                <c:ptCount val="2"/>
                <c:pt idx="0">
                  <c:v>12.5</c:v>
                </c:pt>
                <c:pt idx="1">
                  <c:v>12.5</c:v>
                </c:pt>
              </c:numCache>
            </c:numRef>
          </c:val>
          <c:extLst>
            <c:ext xmlns:c16="http://schemas.microsoft.com/office/drawing/2014/chart" uri="{C3380CC4-5D6E-409C-BE32-E72D297353CC}">
              <c16:uniqueId val="{00000004-B99B-4FD4-9A36-8952B460E804}"/>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2023</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14"/>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8.867129629629629E-2"/>
          <c:w val="0.91418918918918923"/>
          <c:h val="0.72349849849849845"/>
        </c:manualLayout>
      </c:layout>
      <c:barChart>
        <c:barDir val="col"/>
        <c:grouping val="clustered"/>
        <c:varyColors val="0"/>
        <c:ser>
          <c:idx val="0"/>
          <c:order val="0"/>
          <c:tx>
            <c:strRef>
              <c:f>'Osn. makroekon. agregati'!$B$8</c:f>
              <c:strCache>
                <c:ptCount val="1"/>
                <c:pt idx="0">
                  <c:v>Инфлација,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6196-4ED3-BBB4-F4FFA39920D3}"/>
              </c:ext>
            </c:extLst>
          </c:dPt>
          <c:dPt>
            <c:idx val="1"/>
            <c:invertIfNegative val="0"/>
            <c:bubble3D val="0"/>
            <c:spPr>
              <a:solidFill>
                <a:srgbClr val="ED1C24"/>
              </a:solidFill>
              <a:ln>
                <a:noFill/>
              </a:ln>
              <a:effectLst/>
            </c:spPr>
            <c:extLst>
              <c:ext xmlns:c16="http://schemas.microsoft.com/office/drawing/2014/chart" uri="{C3380CC4-5D6E-409C-BE32-E72D297353CC}">
                <c16:uniqueId val="{00000003-6196-4ED3-BBB4-F4FFA39920D3}"/>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6196-4ED3-BBB4-F4FFA39920D3}"/>
                </c:ext>
              </c:extLst>
            </c:dLbl>
            <c:dLbl>
              <c:idx val="1"/>
              <c:spPr>
                <a:noFill/>
                <a:ln>
                  <a:noFill/>
                </a:ln>
                <a:effectLst/>
              </c:spPr>
              <c:txPr>
                <a:bodyPr rot="0" spcFirstLastPara="1" vertOverflow="ellipsis" vert="horz" wrap="none" lIns="38100" tIns="19050" rIns="38100" bIns="19050" anchor="ctr" anchorCtr="1">
                  <a:no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6196-4ED3-BBB4-F4FFA39920D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agregati'!$E$8,'Osn. makroekon. agregati'!$F$8)</c:f>
              <c:numCache>
                <c:formatCode>0.0</c:formatCode>
                <c:ptCount val="2"/>
                <c:pt idx="0">
                  <c:v>4.9000000000000004</c:v>
                </c:pt>
                <c:pt idx="1">
                  <c:v>4.9000000000000004</c:v>
                </c:pt>
              </c:numCache>
            </c:numRef>
          </c:val>
          <c:extLst>
            <c:ext xmlns:c16="http://schemas.microsoft.com/office/drawing/2014/chart" uri="{C3380CC4-5D6E-409C-BE32-E72D297353CC}">
              <c16:uniqueId val="{00000004-6196-4ED3-BBB4-F4FFA39920D3}"/>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14"/>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0274673202614379"/>
        </c:manualLayout>
      </c:layout>
      <c:barChart>
        <c:barDir val="col"/>
        <c:grouping val="clustered"/>
        <c:varyColors val="0"/>
        <c:ser>
          <c:idx val="0"/>
          <c:order val="0"/>
          <c:tx>
            <c:strRef>
              <c:f>'Osn. makroekon. agregati'!$B$9</c:f>
              <c:strCache>
                <c:ptCount val="1"/>
                <c:pt idx="0">
                  <c:v>Фискални резултат,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7B3E-413B-9F48-86D29BAE4290}"/>
              </c:ext>
            </c:extLst>
          </c:dPt>
          <c:dPt>
            <c:idx val="1"/>
            <c:invertIfNegative val="0"/>
            <c:bubble3D val="0"/>
            <c:spPr>
              <a:solidFill>
                <a:srgbClr val="ED1C24"/>
              </a:solidFill>
              <a:ln>
                <a:noFill/>
              </a:ln>
              <a:effectLst/>
            </c:spPr>
            <c:extLst>
              <c:ext xmlns:c16="http://schemas.microsoft.com/office/drawing/2014/chart" uri="{C3380CC4-5D6E-409C-BE32-E72D297353CC}">
                <c16:uniqueId val="{00000003-7B3E-413B-9F48-86D29BAE4290}"/>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7B3E-413B-9F48-86D29BAE4290}"/>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3-7B3E-413B-9F48-86D29BAE4290}"/>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agregati'!$C$9,'Osn. makroekon. agregati'!$D$9)</c:f>
              <c:numCache>
                <c:formatCode>0.0</c:formatCode>
                <c:ptCount val="2"/>
                <c:pt idx="0">
                  <c:v>-3</c:v>
                </c:pt>
                <c:pt idx="1">
                  <c:v>-2.8</c:v>
                </c:pt>
              </c:numCache>
            </c:numRef>
          </c:val>
          <c:extLst>
            <c:ext xmlns:c16="http://schemas.microsoft.com/office/drawing/2014/chart" uri="{C3380CC4-5D6E-409C-BE32-E72D297353CC}">
              <c16:uniqueId val="{00000004-7B3E-413B-9F48-86D29BAE4290}"/>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2023</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9"/>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138138138138135E-2"/>
          <c:y val="0.17162162162162162"/>
          <c:w val="0.91418918918918923"/>
          <c:h val="0.70274673202614379"/>
        </c:manualLayout>
      </c:layout>
      <c:barChart>
        <c:barDir val="col"/>
        <c:grouping val="clustered"/>
        <c:varyColors val="0"/>
        <c:ser>
          <c:idx val="0"/>
          <c:order val="0"/>
          <c:tx>
            <c:strRef>
              <c:f>'Osn. makroekon. agregati'!$B$9</c:f>
              <c:strCache>
                <c:ptCount val="1"/>
                <c:pt idx="0">
                  <c:v>Фискални резултат,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0667-4475-8C7E-51ECAA07607E}"/>
              </c:ext>
            </c:extLst>
          </c:dPt>
          <c:dPt>
            <c:idx val="1"/>
            <c:invertIfNegative val="0"/>
            <c:bubble3D val="0"/>
            <c:spPr>
              <a:solidFill>
                <a:srgbClr val="ED1C24"/>
              </a:solidFill>
              <a:ln>
                <a:noFill/>
              </a:ln>
              <a:effectLst/>
            </c:spPr>
            <c:extLst>
              <c:ext xmlns:c16="http://schemas.microsoft.com/office/drawing/2014/chart" uri="{C3380CC4-5D6E-409C-BE32-E72D297353CC}">
                <c16:uniqueId val="{00000003-0667-4475-8C7E-51ECAA07607E}"/>
              </c:ext>
            </c:extLst>
          </c:dPt>
          <c:dLbls>
            <c:dLbl>
              <c:idx val="0"/>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0667-4475-8C7E-51ECAA07607E}"/>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agregati'!$E$9,'Osn. makroekon. agregati'!$F$9)</c:f>
              <c:numCache>
                <c:formatCode>#.#00</c:formatCode>
                <c:ptCount val="2"/>
                <c:pt idx="0">
                  <c:v>-2.2000000000000002</c:v>
                </c:pt>
                <c:pt idx="1">
                  <c:v>-2.2000000000000002</c:v>
                </c:pt>
              </c:numCache>
            </c:numRef>
          </c:val>
          <c:extLst>
            <c:ext xmlns:c16="http://schemas.microsoft.com/office/drawing/2014/chart" uri="{C3380CC4-5D6E-409C-BE32-E72D297353CC}">
              <c16:uniqueId val="{00000004-0667-4475-8C7E-51ECAA07607E}"/>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2024</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9"/>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3">
    <c:autoUpdate val="0"/>
  </c:externalData>
  <c:userShapes r:id="rId4"/>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agregati'!$B$10</c:f>
              <c:strCache>
                <c:ptCount val="1"/>
                <c:pt idx="0">
                  <c:v>Јавни дуг,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1F6E-4C35-9291-7A3924B5BC15}"/>
              </c:ext>
            </c:extLst>
          </c:dPt>
          <c:dPt>
            <c:idx val="1"/>
            <c:invertIfNegative val="0"/>
            <c:bubble3D val="0"/>
            <c:spPr>
              <a:solidFill>
                <a:srgbClr val="ED1C24"/>
              </a:solidFill>
              <a:ln>
                <a:noFill/>
              </a:ln>
              <a:effectLst/>
            </c:spPr>
            <c:extLst>
              <c:ext xmlns:c16="http://schemas.microsoft.com/office/drawing/2014/chart" uri="{C3380CC4-5D6E-409C-BE32-E72D297353CC}">
                <c16:uniqueId val="{00000003-1F6E-4C35-9291-7A3924B5BC15}"/>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1F6E-4C35-9291-7A3924B5BC15}"/>
                </c:ext>
              </c:extLst>
            </c:dLbl>
            <c:dLbl>
              <c:idx val="1"/>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1F6E-4C35-9291-7A3924B5BC15}"/>
                </c:ext>
              </c:extLst>
            </c:dLbl>
            <c:spPr>
              <a:noFill/>
              <a:ln>
                <a:noFill/>
              </a:ln>
              <a:effectLst/>
            </c:spPr>
            <c:txPr>
              <a:bodyPr rot="0" spcFirstLastPara="1" vertOverflow="ellipsis" vert="horz" wrap="non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1"/>
                <c15:leaderLines>
                  <c:spPr>
                    <a:ln w="9525" cap="flat" cmpd="sng" algn="ctr">
                      <a:solidFill>
                        <a:schemeClr val="tx1">
                          <a:lumMod val="35000"/>
                          <a:lumOff val="65000"/>
                        </a:schemeClr>
                      </a:solidFill>
                      <a:round/>
                    </a:ln>
                    <a:effectLst/>
                  </c:spPr>
                </c15:leaderLines>
              </c:ext>
            </c:extLst>
          </c:dLbls>
          <c:val>
            <c:numRef>
              <c:f>('Osn. makroekon. agregati'!$C$10,'Osn. makroekon. agregati'!$D$10)</c:f>
              <c:numCache>
                <c:formatCode>0.0</c:formatCode>
                <c:ptCount val="2"/>
                <c:pt idx="0">
                  <c:v>54.3</c:v>
                </c:pt>
                <c:pt idx="1">
                  <c:v>53.3</c:v>
                </c:pt>
              </c:numCache>
            </c:numRef>
          </c:val>
          <c:extLst>
            <c:ext xmlns:c16="http://schemas.microsoft.com/office/drawing/2014/chart" uri="{C3380CC4-5D6E-409C-BE32-E72D297353CC}">
              <c16:uniqueId val="{00000004-1F6E-4C35-9291-7A3924B5BC15}"/>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2023</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0"/>
          <c:min val="3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agregati'!$B$10</c:f>
              <c:strCache>
                <c:ptCount val="1"/>
                <c:pt idx="0">
                  <c:v>Јавни дуг,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F24D-4813-8F18-C5E660002F95}"/>
              </c:ext>
            </c:extLst>
          </c:dPt>
          <c:dPt>
            <c:idx val="1"/>
            <c:invertIfNegative val="0"/>
            <c:bubble3D val="0"/>
            <c:spPr>
              <a:solidFill>
                <a:srgbClr val="ED1C24"/>
              </a:solidFill>
              <a:ln>
                <a:noFill/>
              </a:ln>
              <a:effectLst/>
            </c:spPr>
            <c:extLst>
              <c:ext xmlns:c16="http://schemas.microsoft.com/office/drawing/2014/chart" uri="{C3380CC4-5D6E-409C-BE32-E72D297353CC}">
                <c16:uniqueId val="{00000003-F24D-4813-8F18-C5E660002F95}"/>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F24D-4813-8F18-C5E660002F95}"/>
                </c:ext>
              </c:extLst>
            </c:dLbl>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1"/>
                <c15:leaderLines>
                  <c:spPr>
                    <a:ln w="9525" cap="flat" cmpd="sng" algn="ctr">
                      <a:solidFill>
                        <a:schemeClr val="tx1">
                          <a:lumMod val="35000"/>
                          <a:lumOff val="65000"/>
                        </a:schemeClr>
                      </a:solidFill>
                      <a:round/>
                    </a:ln>
                    <a:effectLst/>
                  </c:spPr>
                </c15:leaderLines>
              </c:ext>
            </c:extLst>
          </c:dLbls>
          <c:val>
            <c:numRef>
              <c:f>('Osn. makroekon. agregati'!$E$10,'Osn. makroekon. agregati'!$F$10)</c:f>
              <c:numCache>
                <c:formatCode>0.0</c:formatCode>
                <c:ptCount val="2"/>
                <c:pt idx="0">
                  <c:v>54</c:v>
                </c:pt>
                <c:pt idx="1">
                  <c:v>51.7</c:v>
                </c:pt>
              </c:numCache>
            </c:numRef>
          </c:val>
          <c:extLst>
            <c:ext xmlns:c16="http://schemas.microsoft.com/office/drawing/2014/chart" uri="{C3380CC4-5D6E-409C-BE32-E72D297353CC}">
              <c16:uniqueId val="{00000004-F24D-4813-8F18-C5E660002F95}"/>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0"/>
          <c:min val="3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7.0236607987885669E-2"/>
          <c:w val="0.90740810185185183"/>
          <c:h val="0.59525488274838001"/>
        </c:manualLayout>
      </c:layout>
      <c:barChart>
        <c:barDir val="col"/>
        <c:grouping val="stacked"/>
        <c:varyColors val="0"/>
        <c:ser>
          <c:idx val="0"/>
          <c:order val="0"/>
          <c:tx>
            <c:strRef>
              <c:f>BDPQ_doprinosi!$R$34</c:f>
              <c:strCache>
                <c:ptCount val="1"/>
                <c:pt idx="0">
                  <c:v>Пољопривреда</c:v>
                </c:pt>
              </c:strCache>
            </c:strRef>
          </c:tx>
          <c:spPr>
            <a:solidFill>
              <a:srgbClr val="10103C"/>
            </a:solidFill>
            <a:ln>
              <a:noFill/>
            </a:ln>
            <a:effectLst/>
          </c:spPr>
          <c:invertIfNegative val="0"/>
          <c:cat>
            <c:multiLvlStrRef>
              <c:f>BDPQ_doprinosi!$BC$32:$BL$33</c:f>
              <c:multiLvlStrCache>
                <c:ptCount val="10"/>
                <c:lvl>
                  <c:pt idx="0">
                    <c:v>Q1</c:v>
                  </c:pt>
                  <c:pt idx="1">
                    <c:v>Q2</c:v>
                  </c:pt>
                  <c:pt idx="2">
                    <c:v>Q3</c:v>
                  </c:pt>
                  <c:pt idx="3">
                    <c:v>Q4</c:v>
                  </c:pt>
                  <c:pt idx="4">
                    <c:v>Q1</c:v>
                  </c:pt>
                  <c:pt idx="5">
                    <c:v>Q2</c:v>
                  </c:pt>
                  <c:pt idx="6">
                    <c:v>Q3</c:v>
                  </c:pt>
                  <c:pt idx="7">
                    <c:v>Q4</c:v>
                  </c:pt>
                  <c:pt idx="8">
                    <c:v>Q1</c:v>
                  </c:pt>
                  <c:pt idx="9">
                    <c:v>Q2</c:v>
                  </c:pt>
                </c:lvl>
                <c:lvl>
                  <c:pt idx="0">
                    <c:v>2021</c:v>
                  </c:pt>
                  <c:pt idx="4">
                    <c:v>2022</c:v>
                  </c:pt>
                  <c:pt idx="8">
                    <c:v>2023</c:v>
                  </c:pt>
                </c:lvl>
              </c:multiLvlStrCache>
            </c:multiLvlStrRef>
          </c:cat>
          <c:val>
            <c:numRef>
              <c:f>BDPQ_doprinosi!$BC$34:$BL$34</c:f>
              <c:numCache>
                <c:formatCode>0.0</c:formatCode>
                <c:ptCount val="10"/>
                <c:pt idx="0">
                  <c:v>-0.33796361791823409</c:v>
                </c:pt>
                <c:pt idx="1">
                  <c:v>-0.33263579462298948</c:v>
                </c:pt>
                <c:pt idx="2">
                  <c:v>-0.38875138265755815</c:v>
                </c:pt>
                <c:pt idx="3">
                  <c:v>-0.37559192336871122</c:v>
                </c:pt>
                <c:pt idx="4">
                  <c:v>-0.55977098102281819</c:v>
                </c:pt>
                <c:pt idx="5">
                  <c:v>-0.56078698537041638</c:v>
                </c:pt>
                <c:pt idx="6">
                  <c:v>-0.49780168947705417</c:v>
                </c:pt>
                <c:pt idx="7">
                  <c:v>-0.47570611423114345</c:v>
                </c:pt>
                <c:pt idx="8">
                  <c:v>0.38216404780832103</c:v>
                </c:pt>
                <c:pt idx="9">
                  <c:v>0.40776266799019101</c:v>
                </c:pt>
              </c:numCache>
            </c:numRef>
          </c:val>
          <c:extLst>
            <c:ext xmlns:c16="http://schemas.microsoft.com/office/drawing/2014/chart" uri="{C3380CC4-5D6E-409C-BE32-E72D297353CC}">
              <c16:uniqueId val="{00000000-67B0-48D7-ADAB-CAEDD8901B2A}"/>
            </c:ext>
          </c:extLst>
        </c:ser>
        <c:ser>
          <c:idx val="1"/>
          <c:order val="1"/>
          <c:tx>
            <c:strRef>
              <c:f>BDPQ_doprinosi!$R$35</c:f>
              <c:strCache>
                <c:ptCount val="1"/>
                <c:pt idx="0">
                  <c:v>Индустрија</c:v>
                </c:pt>
              </c:strCache>
            </c:strRef>
          </c:tx>
          <c:spPr>
            <a:solidFill>
              <a:srgbClr val="29489A"/>
            </a:solidFill>
            <a:ln>
              <a:noFill/>
            </a:ln>
            <a:effectLst/>
          </c:spPr>
          <c:invertIfNegative val="0"/>
          <c:cat>
            <c:multiLvlStrRef>
              <c:f>BDPQ_doprinosi!$BC$32:$BL$33</c:f>
              <c:multiLvlStrCache>
                <c:ptCount val="10"/>
                <c:lvl>
                  <c:pt idx="0">
                    <c:v>Q1</c:v>
                  </c:pt>
                  <c:pt idx="1">
                    <c:v>Q2</c:v>
                  </c:pt>
                  <c:pt idx="2">
                    <c:v>Q3</c:v>
                  </c:pt>
                  <c:pt idx="3">
                    <c:v>Q4</c:v>
                  </c:pt>
                  <c:pt idx="4">
                    <c:v>Q1</c:v>
                  </c:pt>
                  <c:pt idx="5">
                    <c:v>Q2</c:v>
                  </c:pt>
                  <c:pt idx="6">
                    <c:v>Q3</c:v>
                  </c:pt>
                  <c:pt idx="7">
                    <c:v>Q4</c:v>
                  </c:pt>
                  <c:pt idx="8">
                    <c:v>Q1</c:v>
                  </c:pt>
                  <c:pt idx="9">
                    <c:v>Q2</c:v>
                  </c:pt>
                </c:lvl>
                <c:lvl>
                  <c:pt idx="0">
                    <c:v>2021</c:v>
                  </c:pt>
                  <c:pt idx="4">
                    <c:v>2022</c:v>
                  </c:pt>
                  <c:pt idx="8">
                    <c:v>2023</c:v>
                  </c:pt>
                </c:lvl>
              </c:multiLvlStrCache>
            </c:multiLvlStrRef>
          </c:cat>
          <c:val>
            <c:numRef>
              <c:f>BDPQ_doprinosi!$BC$35:$BL$35</c:f>
              <c:numCache>
                <c:formatCode>0.0</c:formatCode>
                <c:ptCount val="10"/>
                <c:pt idx="0">
                  <c:v>0.86623784457617647</c:v>
                </c:pt>
                <c:pt idx="1">
                  <c:v>3.0116035665737875</c:v>
                </c:pt>
                <c:pt idx="2">
                  <c:v>0.44229871835361173</c:v>
                </c:pt>
                <c:pt idx="3">
                  <c:v>0.76353319208566306</c:v>
                </c:pt>
                <c:pt idx="4">
                  <c:v>0.37098868777865035</c:v>
                </c:pt>
                <c:pt idx="5">
                  <c:v>0.86061654122600051</c:v>
                </c:pt>
                <c:pt idx="6">
                  <c:v>-4.2501023124613083E-2</c:v>
                </c:pt>
                <c:pt idx="7">
                  <c:v>0.24487781169445708</c:v>
                </c:pt>
                <c:pt idx="8">
                  <c:v>0.37749081381914312</c:v>
                </c:pt>
                <c:pt idx="9">
                  <c:v>0.12246587310319004</c:v>
                </c:pt>
              </c:numCache>
            </c:numRef>
          </c:val>
          <c:extLst>
            <c:ext xmlns:c16="http://schemas.microsoft.com/office/drawing/2014/chart" uri="{C3380CC4-5D6E-409C-BE32-E72D297353CC}">
              <c16:uniqueId val="{00000001-67B0-48D7-ADAB-CAEDD8901B2A}"/>
            </c:ext>
          </c:extLst>
        </c:ser>
        <c:ser>
          <c:idx val="2"/>
          <c:order val="2"/>
          <c:tx>
            <c:strRef>
              <c:f>BDPQ_doprinosi!$R$36</c:f>
              <c:strCache>
                <c:ptCount val="1"/>
                <c:pt idx="0">
                  <c:v>Грађевинарство</c:v>
                </c:pt>
              </c:strCache>
            </c:strRef>
          </c:tx>
          <c:spPr>
            <a:solidFill>
              <a:srgbClr val="2183C4"/>
            </a:solidFill>
            <a:ln>
              <a:noFill/>
            </a:ln>
            <a:effectLst/>
          </c:spPr>
          <c:invertIfNegative val="0"/>
          <c:cat>
            <c:multiLvlStrRef>
              <c:f>BDPQ_doprinosi!$BC$32:$BL$33</c:f>
              <c:multiLvlStrCache>
                <c:ptCount val="10"/>
                <c:lvl>
                  <c:pt idx="0">
                    <c:v>Q1</c:v>
                  </c:pt>
                  <c:pt idx="1">
                    <c:v>Q2</c:v>
                  </c:pt>
                  <c:pt idx="2">
                    <c:v>Q3</c:v>
                  </c:pt>
                  <c:pt idx="3">
                    <c:v>Q4</c:v>
                  </c:pt>
                  <c:pt idx="4">
                    <c:v>Q1</c:v>
                  </c:pt>
                  <c:pt idx="5">
                    <c:v>Q2</c:v>
                  </c:pt>
                  <c:pt idx="6">
                    <c:v>Q3</c:v>
                  </c:pt>
                  <c:pt idx="7">
                    <c:v>Q4</c:v>
                  </c:pt>
                  <c:pt idx="8">
                    <c:v>Q1</c:v>
                  </c:pt>
                  <c:pt idx="9">
                    <c:v>Q2</c:v>
                  </c:pt>
                </c:lvl>
                <c:lvl>
                  <c:pt idx="0">
                    <c:v>2021</c:v>
                  </c:pt>
                  <c:pt idx="4">
                    <c:v>2022</c:v>
                  </c:pt>
                  <c:pt idx="8">
                    <c:v>2023</c:v>
                  </c:pt>
                </c:lvl>
              </c:multiLvlStrCache>
            </c:multiLvlStrRef>
          </c:cat>
          <c:val>
            <c:numRef>
              <c:f>BDPQ_doprinosi!$BC$36:$BL$36</c:f>
              <c:numCache>
                <c:formatCode>0.0</c:formatCode>
                <c:ptCount val="10"/>
                <c:pt idx="0">
                  <c:v>0.8782964750331147</c:v>
                </c:pt>
                <c:pt idx="1">
                  <c:v>0.97600347698533241</c:v>
                </c:pt>
                <c:pt idx="2">
                  <c:v>1.0663578838736805</c:v>
                </c:pt>
                <c:pt idx="3">
                  <c:v>0.91674545657571305</c:v>
                </c:pt>
                <c:pt idx="4">
                  <c:v>-0.29519482054377905</c:v>
                </c:pt>
                <c:pt idx="5">
                  <c:v>-0.38593965914292033</c:v>
                </c:pt>
                <c:pt idx="6">
                  <c:v>-0.74579620395638602</c:v>
                </c:pt>
                <c:pt idx="7">
                  <c:v>-0.87271907539098614</c:v>
                </c:pt>
                <c:pt idx="8">
                  <c:v>-9.936967895805135E-2</c:v>
                </c:pt>
                <c:pt idx="9">
                  <c:v>0.77969082229838793</c:v>
                </c:pt>
              </c:numCache>
            </c:numRef>
          </c:val>
          <c:extLst>
            <c:ext xmlns:c16="http://schemas.microsoft.com/office/drawing/2014/chart" uri="{C3380CC4-5D6E-409C-BE32-E72D297353CC}">
              <c16:uniqueId val="{00000002-67B0-48D7-ADAB-CAEDD8901B2A}"/>
            </c:ext>
          </c:extLst>
        </c:ser>
        <c:ser>
          <c:idx val="3"/>
          <c:order val="3"/>
          <c:tx>
            <c:strRef>
              <c:f>BDPQ_doprinosi!$R$37</c:f>
              <c:strCache>
                <c:ptCount val="1"/>
                <c:pt idx="0">
                  <c:v>Услуге</c:v>
                </c:pt>
              </c:strCache>
            </c:strRef>
          </c:tx>
          <c:spPr>
            <a:solidFill>
              <a:srgbClr val="51BBE7"/>
            </a:solidFill>
            <a:ln>
              <a:noFill/>
            </a:ln>
            <a:effectLst/>
          </c:spPr>
          <c:invertIfNegative val="0"/>
          <c:cat>
            <c:multiLvlStrRef>
              <c:f>BDPQ_doprinosi!$BC$32:$BL$33</c:f>
              <c:multiLvlStrCache>
                <c:ptCount val="10"/>
                <c:lvl>
                  <c:pt idx="0">
                    <c:v>Q1</c:v>
                  </c:pt>
                  <c:pt idx="1">
                    <c:v>Q2</c:v>
                  </c:pt>
                  <c:pt idx="2">
                    <c:v>Q3</c:v>
                  </c:pt>
                  <c:pt idx="3">
                    <c:v>Q4</c:v>
                  </c:pt>
                  <c:pt idx="4">
                    <c:v>Q1</c:v>
                  </c:pt>
                  <c:pt idx="5">
                    <c:v>Q2</c:v>
                  </c:pt>
                  <c:pt idx="6">
                    <c:v>Q3</c:v>
                  </c:pt>
                  <c:pt idx="7">
                    <c:v>Q4</c:v>
                  </c:pt>
                  <c:pt idx="8">
                    <c:v>Q1</c:v>
                  </c:pt>
                  <c:pt idx="9">
                    <c:v>Q2</c:v>
                  </c:pt>
                </c:lvl>
                <c:lvl>
                  <c:pt idx="0">
                    <c:v>2021</c:v>
                  </c:pt>
                  <c:pt idx="4">
                    <c:v>2022</c:v>
                  </c:pt>
                  <c:pt idx="8">
                    <c:v>2023</c:v>
                  </c:pt>
                </c:lvl>
              </c:multiLvlStrCache>
            </c:multiLvlStrRef>
          </c:cat>
          <c:val>
            <c:numRef>
              <c:f>BDPQ_doprinosi!$BC$37:$BL$37</c:f>
              <c:numCache>
                <c:formatCode>0.0</c:formatCode>
                <c:ptCount val="10"/>
                <c:pt idx="0">
                  <c:v>0.42551813302671754</c:v>
                </c:pt>
                <c:pt idx="1">
                  <c:v>7.2408138268489886</c:v>
                </c:pt>
                <c:pt idx="2">
                  <c:v>5.126963782756496</c:v>
                </c:pt>
                <c:pt idx="3">
                  <c:v>4.5994642271619499</c:v>
                </c:pt>
                <c:pt idx="4">
                  <c:v>3.1862360725194847</c:v>
                </c:pt>
                <c:pt idx="5">
                  <c:v>2.9906898524348353</c:v>
                </c:pt>
                <c:pt idx="6">
                  <c:v>1.8272465768092219</c:v>
                </c:pt>
                <c:pt idx="7">
                  <c:v>1.375898397499699</c:v>
                </c:pt>
                <c:pt idx="8">
                  <c:v>0.43692048475517142</c:v>
                </c:pt>
                <c:pt idx="9">
                  <c:v>0.57474824708056516</c:v>
                </c:pt>
              </c:numCache>
            </c:numRef>
          </c:val>
          <c:extLst>
            <c:ext xmlns:c16="http://schemas.microsoft.com/office/drawing/2014/chart" uri="{C3380CC4-5D6E-409C-BE32-E72D297353CC}">
              <c16:uniqueId val="{00000003-67B0-48D7-ADAB-CAEDD8901B2A}"/>
            </c:ext>
          </c:extLst>
        </c:ser>
        <c:ser>
          <c:idx val="4"/>
          <c:order val="4"/>
          <c:tx>
            <c:strRef>
              <c:f>BDPQ_doprinosi!$R$38</c:f>
              <c:strCache>
                <c:ptCount val="1"/>
                <c:pt idx="0">
                  <c:v>Нето порези</c:v>
                </c:pt>
              </c:strCache>
            </c:strRef>
          </c:tx>
          <c:spPr>
            <a:solidFill>
              <a:srgbClr val="9ED1E6"/>
            </a:solidFill>
            <a:ln>
              <a:noFill/>
            </a:ln>
            <a:effectLst/>
          </c:spPr>
          <c:invertIfNegative val="0"/>
          <c:cat>
            <c:multiLvlStrRef>
              <c:f>BDPQ_doprinosi!$BC$32:$BL$33</c:f>
              <c:multiLvlStrCache>
                <c:ptCount val="10"/>
                <c:lvl>
                  <c:pt idx="0">
                    <c:v>Q1</c:v>
                  </c:pt>
                  <c:pt idx="1">
                    <c:v>Q2</c:v>
                  </c:pt>
                  <c:pt idx="2">
                    <c:v>Q3</c:v>
                  </c:pt>
                  <c:pt idx="3">
                    <c:v>Q4</c:v>
                  </c:pt>
                  <c:pt idx="4">
                    <c:v>Q1</c:v>
                  </c:pt>
                  <c:pt idx="5">
                    <c:v>Q2</c:v>
                  </c:pt>
                  <c:pt idx="6">
                    <c:v>Q3</c:v>
                  </c:pt>
                  <c:pt idx="7">
                    <c:v>Q4</c:v>
                  </c:pt>
                  <c:pt idx="8">
                    <c:v>Q1</c:v>
                  </c:pt>
                  <c:pt idx="9">
                    <c:v>Q2</c:v>
                  </c:pt>
                </c:lvl>
                <c:lvl>
                  <c:pt idx="0">
                    <c:v>2021</c:v>
                  </c:pt>
                  <c:pt idx="4">
                    <c:v>2022</c:v>
                  </c:pt>
                  <c:pt idx="8">
                    <c:v>2023</c:v>
                  </c:pt>
                </c:lvl>
              </c:multiLvlStrCache>
            </c:multiLvlStrRef>
          </c:cat>
          <c:val>
            <c:numRef>
              <c:f>BDPQ_doprinosi!$BC$38:$BL$38</c:f>
              <c:numCache>
                <c:formatCode>0.0</c:formatCode>
                <c:ptCount val="10"/>
                <c:pt idx="0">
                  <c:v>-0.15865079095858167</c:v>
                </c:pt>
                <c:pt idx="1">
                  <c:v>2.8800300857009002</c:v>
                </c:pt>
                <c:pt idx="2">
                  <c:v>1.5441681120736972</c:v>
                </c:pt>
                <c:pt idx="3">
                  <c:v>1.3814077635507449</c:v>
                </c:pt>
                <c:pt idx="4">
                  <c:v>1.3431583037325701</c:v>
                </c:pt>
                <c:pt idx="5">
                  <c:v>0.93995629537012138</c:v>
                </c:pt>
                <c:pt idx="6">
                  <c:v>0.43862778692255533</c:v>
                </c:pt>
                <c:pt idx="7">
                  <c:v>0.18643976761282466</c:v>
                </c:pt>
                <c:pt idx="8">
                  <c:v>-0.22425232418732394</c:v>
                </c:pt>
                <c:pt idx="9">
                  <c:v>-0.2179762841949171</c:v>
                </c:pt>
              </c:numCache>
            </c:numRef>
          </c:val>
          <c:extLst>
            <c:ext xmlns:c16="http://schemas.microsoft.com/office/drawing/2014/chart" uri="{C3380CC4-5D6E-409C-BE32-E72D297353CC}">
              <c16:uniqueId val="{00000004-67B0-48D7-ADAB-CAEDD8901B2A}"/>
            </c:ext>
          </c:extLst>
        </c:ser>
        <c:dLbls>
          <c:showLegendKey val="0"/>
          <c:showVal val="0"/>
          <c:showCatName val="0"/>
          <c:showSerName val="0"/>
          <c:showPercent val="0"/>
          <c:showBubbleSize val="0"/>
        </c:dLbls>
        <c:gapWidth val="60"/>
        <c:overlap val="100"/>
        <c:axId val="1768857792"/>
        <c:axId val="1768858336"/>
      </c:barChart>
      <c:lineChart>
        <c:grouping val="standard"/>
        <c:varyColors val="0"/>
        <c:ser>
          <c:idx val="5"/>
          <c:order val="5"/>
          <c:tx>
            <c:strRef>
              <c:f>BDPQ_doprinosi!$R$39</c:f>
              <c:strCache>
                <c:ptCount val="1"/>
                <c:pt idx="0">
                  <c:v>Реални раст БДП</c:v>
                </c:pt>
              </c:strCache>
            </c:strRef>
          </c:tx>
          <c:spPr>
            <a:ln w="28575" cap="rnd">
              <a:solidFill>
                <a:srgbClr val="FF0000"/>
              </a:solidFill>
              <a:round/>
            </a:ln>
            <a:effectLst/>
          </c:spPr>
          <c:marker>
            <c:symbol val="none"/>
          </c:marker>
          <c:dLbls>
            <c:dLbl>
              <c:idx val="0"/>
              <c:layout>
                <c:manualLayout>
                  <c:x val="-8.4733887430737995E-2"/>
                  <c:y val="-5.679121289584573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7B0-48D7-ADAB-CAEDD8901B2A}"/>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BDPQ_doprinosi!$BC$32:$BL$33</c:f>
              <c:multiLvlStrCache>
                <c:ptCount val="10"/>
                <c:lvl>
                  <c:pt idx="0">
                    <c:v>Q1</c:v>
                  </c:pt>
                  <c:pt idx="1">
                    <c:v>Q2</c:v>
                  </c:pt>
                  <c:pt idx="2">
                    <c:v>Q3</c:v>
                  </c:pt>
                  <c:pt idx="3">
                    <c:v>Q4</c:v>
                  </c:pt>
                  <c:pt idx="4">
                    <c:v>Q1</c:v>
                  </c:pt>
                  <c:pt idx="5">
                    <c:v>Q2</c:v>
                  </c:pt>
                  <c:pt idx="6">
                    <c:v>Q3</c:v>
                  </c:pt>
                  <c:pt idx="7">
                    <c:v>Q4</c:v>
                  </c:pt>
                  <c:pt idx="8">
                    <c:v>Q1</c:v>
                  </c:pt>
                  <c:pt idx="9">
                    <c:v>Q2</c:v>
                  </c:pt>
                </c:lvl>
                <c:lvl>
                  <c:pt idx="0">
                    <c:v>2021</c:v>
                  </c:pt>
                  <c:pt idx="4">
                    <c:v>2022</c:v>
                  </c:pt>
                  <c:pt idx="8">
                    <c:v>2023</c:v>
                  </c:pt>
                </c:lvl>
              </c:multiLvlStrCache>
            </c:multiLvlStrRef>
          </c:cat>
          <c:val>
            <c:numRef>
              <c:f>BDPQ_doprinosi!$BC$39:$BL$39</c:f>
              <c:numCache>
                <c:formatCode>0.0</c:formatCode>
                <c:ptCount val="10"/>
                <c:pt idx="0">
                  <c:v>1.6734380437592051</c:v>
                </c:pt>
                <c:pt idx="1">
                  <c:v>13.775815161486008</c:v>
                </c:pt>
                <c:pt idx="2">
                  <c:v>7.7910371143998844</c:v>
                </c:pt>
                <c:pt idx="3">
                  <c:v>7.2855587160053545</c:v>
                </c:pt>
                <c:pt idx="4">
                  <c:v>4.0454172624640989</c:v>
                </c:pt>
                <c:pt idx="5">
                  <c:v>3.8445360445176391</c:v>
                </c:pt>
                <c:pt idx="6">
                  <c:v>0.97977544717373632</c:v>
                </c:pt>
                <c:pt idx="7">
                  <c:v>0.4587907871848671</c:v>
                </c:pt>
                <c:pt idx="8">
                  <c:v>0.87295334323724205</c:v>
                </c:pt>
                <c:pt idx="9">
                  <c:v>1.6666913262773733</c:v>
                </c:pt>
              </c:numCache>
            </c:numRef>
          </c:val>
          <c:smooth val="0"/>
          <c:extLst>
            <c:ext xmlns:c16="http://schemas.microsoft.com/office/drawing/2014/chart" uri="{C3380CC4-5D6E-409C-BE32-E72D297353CC}">
              <c16:uniqueId val="{00000006-67B0-48D7-ADAB-CAEDD8901B2A}"/>
            </c:ext>
          </c:extLst>
        </c:ser>
        <c:dLbls>
          <c:showLegendKey val="0"/>
          <c:showVal val="0"/>
          <c:showCatName val="0"/>
          <c:showSerName val="0"/>
          <c:showPercent val="0"/>
          <c:showBubbleSize val="0"/>
        </c:dLbls>
        <c:marker val="1"/>
        <c:smooth val="0"/>
        <c:axId val="1768857792"/>
        <c:axId val="1768858336"/>
      </c:lineChart>
      <c:catAx>
        <c:axId val="1768857792"/>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8336"/>
        <c:crosses val="autoZero"/>
        <c:auto val="1"/>
        <c:lblAlgn val="ctr"/>
        <c:lblOffset val="0"/>
        <c:noMultiLvlLbl val="0"/>
      </c:catAx>
      <c:valAx>
        <c:axId val="1768858336"/>
        <c:scaling>
          <c:orientation val="minMax"/>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792"/>
        <c:crosses val="autoZero"/>
        <c:crossBetween val="between"/>
        <c:majorUnit val="2"/>
      </c:valAx>
      <c:spPr>
        <a:noFill/>
        <a:ln>
          <a:noFill/>
        </a:ln>
        <a:effectLst/>
      </c:spPr>
    </c:plotArea>
    <c:legend>
      <c:legendPos val="b"/>
      <c:layout>
        <c:manualLayout>
          <c:xMode val="edge"/>
          <c:yMode val="edge"/>
          <c:x val="2.9349664625255175E-2"/>
          <c:y val="0.82380033637552841"/>
          <c:w val="0.93586103820355804"/>
          <c:h val="0.1732303667301369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3880572945331671"/>
        </c:manualLayout>
      </c:layout>
      <c:barChart>
        <c:barDir val="col"/>
        <c:grouping val="stacked"/>
        <c:varyColors val="0"/>
        <c:ser>
          <c:idx val="2"/>
          <c:order val="0"/>
          <c:tx>
            <c:strRef>
              <c:f>BDPQ_doprinosi!$R$8</c:f>
              <c:strCache>
                <c:ptCount val="1"/>
                <c:pt idx="0">
                  <c:v>Приватна потрошња</c:v>
                </c:pt>
              </c:strCache>
            </c:strRef>
          </c:tx>
          <c:spPr>
            <a:solidFill>
              <a:srgbClr val="10103C"/>
            </a:solidFill>
            <a:ln>
              <a:noFill/>
            </a:ln>
            <a:effectLst/>
          </c:spPr>
          <c:invertIfNegative val="0"/>
          <c:cat>
            <c:multiLvlStrRef>
              <c:f>BDPQ_doprinosi!$BC$5:$BL$6</c:f>
              <c:multiLvlStrCache>
                <c:ptCount val="10"/>
                <c:lvl>
                  <c:pt idx="0">
                    <c:v>Q1</c:v>
                  </c:pt>
                  <c:pt idx="1">
                    <c:v>Q2</c:v>
                  </c:pt>
                  <c:pt idx="2">
                    <c:v>Q3</c:v>
                  </c:pt>
                  <c:pt idx="3">
                    <c:v>Q4</c:v>
                  </c:pt>
                  <c:pt idx="4">
                    <c:v>Q1</c:v>
                  </c:pt>
                  <c:pt idx="5">
                    <c:v>Q2</c:v>
                  </c:pt>
                  <c:pt idx="6">
                    <c:v>Q3</c:v>
                  </c:pt>
                  <c:pt idx="7">
                    <c:v>Q4</c:v>
                  </c:pt>
                  <c:pt idx="8">
                    <c:v>Q1</c:v>
                  </c:pt>
                  <c:pt idx="9">
                    <c:v>Q2</c:v>
                  </c:pt>
                </c:lvl>
                <c:lvl>
                  <c:pt idx="0">
                    <c:v>2021</c:v>
                  </c:pt>
                  <c:pt idx="4">
                    <c:v>2022</c:v>
                  </c:pt>
                  <c:pt idx="8">
                    <c:v>2023</c:v>
                  </c:pt>
                </c:lvl>
              </c:multiLvlStrCache>
            </c:multiLvlStrRef>
          </c:cat>
          <c:val>
            <c:numRef>
              <c:f>BDPQ_doprinosi!$BC$8:$BL$8</c:f>
              <c:numCache>
                <c:formatCode>0.0</c:formatCode>
                <c:ptCount val="10"/>
                <c:pt idx="0">
                  <c:v>-1.3183316927795941</c:v>
                </c:pt>
                <c:pt idx="1">
                  <c:v>11.750845098673363</c:v>
                </c:pt>
                <c:pt idx="2">
                  <c:v>5.6054290745929052</c:v>
                </c:pt>
                <c:pt idx="3">
                  <c:v>4.9492220628725203</c:v>
                </c:pt>
                <c:pt idx="4">
                  <c:v>4.2877047664472467</c:v>
                </c:pt>
                <c:pt idx="5">
                  <c:v>2.613894246615871</c:v>
                </c:pt>
                <c:pt idx="6">
                  <c:v>2.0228413113082162</c:v>
                </c:pt>
                <c:pt idx="7">
                  <c:v>0.98597905555296272</c:v>
                </c:pt>
                <c:pt idx="8">
                  <c:v>-0.18123377004112093</c:v>
                </c:pt>
                <c:pt idx="9">
                  <c:v>-0.30111112886614827</c:v>
                </c:pt>
              </c:numCache>
            </c:numRef>
          </c:val>
          <c:extLst>
            <c:ext xmlns:c16="http://schemas.microsoft.com/office/drawing/2014/chart" uri="{C3380CC4-5D6E-409C-BE32-E72D297353CC}">
              <c16:uniqueId val="{00000000-0A24-4750-88E1-48FB2847B66E}"/>
            </c:ext>
          </c:extLst>
        </c:ser>
        <c:ser>
          <c:idx val="3"/>
          <c:order val="1"/>
          <c:tx>
            <c:strRef>
              <c:f>BDPQ_doprinosi!$R$9</c:f>
              <c:strCache>
                <c:ptCount val="1"/>
                <c:pt idx="0">
                  <c:v>Државна потрошња</c:v>
                </c:pt>
              </c:strCache>
            </c:strRef>
          </c:tx>
          <c:spPr>
            <a:solidFill>
              <a:srgbClr val="29489A"/>
            </a:solidFill>
            <a:ln>
              <a:noFill/>
            </a:ln>
            <a:effectLst/>
          </c:spPr>
          <c:invertIfNegative val="0"/>
          <c:cat>
            <c:multiLvlStrRef>
              <c:f>BDPQ_doprinosi!$BC$5:$BL$6</c:f>
              <c:multiLvlStrCache>
                <c:ptCount val="10"/>
                <c:lvl>
                  <c:pt idx="0">
                    <c:v>Q1</c:v>
                  </c:pt>
                  <c:pt idx="1">
                    <c:v>Q2</c:v>
                  </c:pt>
                  <c:pt idx="2">
                    <c:v>Q3</c:v>
                  </c:pt>
                  <c:pt idx="3">
                    <c:v>Q4</c:v>
                  </c:pt>
                  <c:pt idx="4">
                    <c:v>Q1</c:v>
                  </c:pt>
                  <c:pt idx="5">
                    <c:v>Q2</c:v>
                  </c:pt>
                  <c:pt idx="6">
                    <c:v>Q3</c:v>
                  </c:pt>
                  <c:pt idx="7">
                    <c:v>Q4</c:v>
                  </c:pt>
                  <c:pt idx="8">
                    <c:v>Q1</c:v>
                  </c:pt>
                  <c:pt idx="9">
                    <c:v>Q2</c:v>
                  </c:pt>
                </c:lvl>
                <c:lvl>
                  <c:pt idx="0">
                    <c:v>2021</c:v>
                  </c:pt>
                  <c:pt idx="4">
                    <c:v>2022</c:v>
                  </c:pt>
                  <c:pt idx="8">
                    <c:v>2023</c:v>
                  </c:pt>
                </c:lvl>
              </c:multiLvlStrCache>
            </c:multiLvlStrRef>
          </c:cat>
          <c:val>
            <c:numRef>
              <c:f>BDPQ_doprinosi!$BC$9:$BL$9</c:f>
              <c:numCache>
                <c:formatCode>0.0</c:formatCode>
                <c:ptCount val="10"/>
                <c:pt idx="0">
                  <c:v>0.29058963337119836</c:v>
                </c:pt>
                <c:pt idx="1">
                  <c:v>-0.25566274355820112</c:v>
                </c:pt>
                <c:pt idx="2">
                  <c:v>1.4906362796956565</c:v>
                </c:pt>
                <c:pt idx="3">
                  <c:v>1.2334457761395941</c:v>
                </c:pt>
                <c:pt idx="4">
                  <c:v>0.46339451975238821</c:v>
                </c:pt>
                <c:pt idx="5">
                  <c:v>0.81327649122968182</c:v>
                </c:pt>
                <c:pt idx="6">
                  <c:v>-0.61738857568075622</c:v>
                </c:pt>
                <c:pt idx="7">
                  <c:v>-0.41158470304850697</c:v>
                </c:pt>
                <c:pt idx="8">
                  <c:v>-0.82316206341009435</c:v>
                </c:pt>
                <c:pt idx="9">
                  <c:v>-0.18976939183177061</c:v>
                </c:pt>
              </c:numCache>
            </c:numRef>
          </c:val>
          <c:extLst>
            <c:ext xmlns:c16="http://schemas.microsoft.com/office/drawing/2014/chart" uri="{C3380CC4-5D6E-409C-BE32-E72D297353CC}">
              <c16:uniqueId val="{00000001-0A24-4750-88E1-48FB2847B66E}"/>
            </c:ext>
          </c:extLst>
        </c:ser>
        <c:ser>
          <c:idx val="1"/>
          <c:order val="2"/>
          <c:tx>
            <c:strRef>
              <c:f>BDPQ_doprinosi!$R$10</c:f>
              <c:strCache>
                <c:ptCount val="1"/>
                <c:pt idx="0">
                  <c:v>Инвестиције</c:v>
                </c:pt>
              </c:strCache>
            </c:strRef>
          </c:tx>
          <c:spPr>
            <a:solidFill>
              <a:srgbClr val="2183C4"/>
            </a:solidFill>
            <a:ln>
              <a:noFill/>
            </a:ln>
            <a:effectLst/>
          </c:spPr>
          <c:invertIfNegative val="0"/>
          <c:cat>
            <c:multiLvlStrRef>
              <c:f>BDPQ_doprinosi!$BC$5:$BL$6</c:f>
              <c:multiLvlStrCache>
                <c:ptCount val="10"/>
                <c:lvl>
                  <c:pt idx="0">
                    <c:v>Q1</c:v>
                  </c:pt>
                  <c:pt idx="1">
                    <c:v>Q2</c:v>
                  </c:pt>
                  <c:pt idx="2">
                    <c:v>Q3</c:v>
                  </c:pt>
                  <c:pt idx="3">
                    <c:v>Q4</c:v>
                  </c:pt>
                  <c:pt idx="4">
                    <c:v>Q1</c:v>
                  </c:pt>
                  <c:pt idx="5">
                    <c:v>Q2</c:v>
                  </c:pt>
                  <c:pt idx="6">
                    <c:v>Q3</c:v>
                  </c:pt>
                  <c:pt idx="7">
                    <c:v>Q4</c:v>
                  </c:pt>
                  <c:pt idx="8">
                    <c:v>Q1</c:v>
                  </c:pt>
                  <c:pt idx="9">
                    <c:v>Q2</c:v>
                  </c:pt>
                </c:lvl>
                <c:lvl>
                  <c:pt idx="0">
                    <c:v>2021</c:v>
                  </c:pt>
                  <c:pt idx="4">
                    <c:v>2022</c:v>
                  </c:pt>
                  <c:pt idx="8">
                    <c:v>2023</c:v>
                  </c:pt>
                </c:lvl>
              </c:multiLvlStrCache>
            </c:multiLvlStrRef>
          </c:cat>
          <c:val>
            <c:numRef>
              <c:f>BDPQ_doprinosi!$BC$10:$BL$10</c:f>
              <c:numCache>
                <c:formatCode>0.0</c:formatCode>
                <c:ptCount val="10"/>
                <c:pt idx="0">
                  <c:v>2.3335824521108357</c:v>
                </c:pt>
                <c:pt idx="1">
                  <c:v>4.9526564595132641</c:v>
                </c:pt>
                <c:pt idx="2">
                  <c:v>3.3722145009004758</c:v>
                </c:pt>
                <c:pt idx="3">
                  <c:v>3.0654950208302254</c:v>
                </c:pt>
                <c:pt idx="4">
                  <c:v>0.24667584165285142</c:v>
                </c:pt>
                <c:pt idx="5">
                  <c:v>0.45844213088132291</c:v>
                </c:pt>
                <c:pt idx="6">
                  <c:v>-0.44299071903216009</c:v>
                </c:pt>
                <c:pt idx="7">
                  <c:v>-0.70319771848456125</c:v>
                </c:pt>
                <c:pt idx="8">
                  <c:v>0.44631455364659633</c:v>
                </c:pt>
                <c:pt idx="9">
                  <c:v>0.81638173848845152</c:v>
                </c:pt>
              </c:numCache>
            </c:numRef>
          </c:val>
          <c:extLst>
            <c:ext xmlns:c16="http://schemas.microsoft.com/office/drawing/2014/chart" uri="{C3380CC4-5D6E-409C-BE32-E72D297353CC}">
              <c16:uniqueId val="{00000002-0A24-4750-88E1-48FB2847B66E}"/>
            </c:ext>
          </c:extLst>
        </c:ser>
        <c:ser>
          <c:idx val="0"/>
          <c:order val="3"/>
          <c:tx>
            <c:strRef>
              <c:f>BDPQ_doprinosi!$R$11</c:f>
              <c:strCache>
                <c:ptCount val="1"/>
                <c:pt idx="0">
                  <c:v>Нето извоз</c:v>
                </c:pt>
              </c:strCache>
            </c:strRef>
          </c:tx>
          <c:spPr>
            <a:solidFill>
              <a:srgbClr val="51BBE7"/>
            </a:solidFill>
            <a:ln>
              <a:noFill/>
            </a:ln>
            <a:effectLst/>
          </c:spPr>
          <c:invertIfNegative val="0"/>
          <c:cat>
            <c:multiLvlStrRef>
              <c:f>BDPQ_doprinosi!$BC$5:$BL$6</c:f>
              <c:multiLvlStrCache>
                <c:ptCount val="10"/>
                <c:lvl>
                  <c:pt idx="0">
                    <c:v>Q1</c:v>
                  </c:pt>
                  <c:pt idx="1">
                    <c:v>Q2</c:v>
                  </c:pt>
                  <c:pt idx="2">
                    <c:v>Q3</c:v>
                  </c:pt>
                  <c:pt idx="3">
                    <c:v>Q4</c:v>
                  </c:pt>
                  <c:pt idx="4">
                    <c:v>Q1</c:v>
                  </c:pt>
                  <c:pt idx="5">
                    <c:v>Q2</c:v>
                  </c:pt>
                  <c:pt idx="6">
                    <c:v>Q3</c:v>
                  </c:pt>
                  <c:pt idx="7">
                    <c:v>Q4</c:v>
                  </c:pt>
                  <c:pt idx="8">
                    <c:v>Q1</c:v>
                  </c:pt>
                  <c:pt idx="9">
                    <c:v>Q2</c:v>
                  </c:pt>
                </c:lvl>
                <c:lvl>
                  <c:pt idx="0">
                    <c:v>2021</c:v>
                  </c:pt>
                  <c:pt idx="4">
                    <c:v>2022</c:v>
                  </c:pt>
                  <c:pt idx="8">
                    <c:v>2023</c:v>
                  </c:pt>
                </c:lvl>
              </c:multiLvlStrCache>
            </c:multiLvlStrRef>
          </c:cat>
          <c:val>
            <c:numRef>
              <c:f>BDPQ_doprinosi!$BC$11:$BL$11</c:f>
              <c:numCache>
                <c:formatCode>0.0</c:formatCode>
                <c:ptCount val="10"/>
                <c:pt idx="0">
                  <c:v>5.1782091602850953</c:v>
                </c:pt>
                <c:pt idx="1">
                  <c:v>-5.4786673885216821</c:v>
                </c:pt>
                <c:pt idx="2">
                  <c:v>-1.1699814178736592</c:v>
                </c:pt>
                <c:pt idx="3">
                  <c:v>-1.0159271165917758</c:v>
                </c:pt>
                <c:pt idx="4">
                  <c:v>-9.1056944137168614</c:v>
                </c:pt>
                <c:pt idx="5">
                  <c:v>-2.9067182320581235</c:v>
                </c:pt>
                <c:pt idx="6">
                  <c:v>2.2659561897368468</c:v>
                </c:pt>
                <c:pt idx="7">
                  <c:v>2.864788068208509</c:v>
                </c:pt>
                <c:pt idx="8">
                  <c:v>6.3777759050945662</c:v>
                </c:pt>
                <c:pt idx="9">
                  <c:v>5.7429497318787934</c:v>
                </c:pt>
              </c:numCache>
            </c:numRef>
          </c:val>
          <c:extLst>
            <c:ext xmlns:c16="http://schemas.microsoft.com/office/drawing/2014/chart" uri="{C3380CC4-5D6E-409C-BE32-E72D297353CC}">
              <c16:uniqueId val="{00000003-0A24-4750-88E1-48FB2847B66E}"/>
            </c:ext>
          </c:extLst>
        </c:ser>
        <c:ser>
          <c:idx val="4"/>
          <c:order val="4"/>
          <c:tx>
            <c:strRef>
              <c:f>BDPQ_doprinosi!$R$12</c:f>
              <c:strCache>
                <c:ptCount val="1"/>
                <c:pt idx="0">
                  <c:v>Промена у залихама</c:v>
                </c:pt>
              </c:strCache>
            </c:strRef>
          </c:tx>
          <c:spPr>
            <a:solidFill>
              <a:srgbClr val="9ED1E6"/>
            </a:solidFill>
            <a:ln>
              <a:noFill/>
            </a:ln>
            <a:effectLst/>
          </c:spPr>
          <c:invertIfNegative val="0"/>
          <c:cat>
            <c:multiLvlStrRef>
              <c:f>BDPQ_doprinosi!$BC$5:$BL$6</c:f>
              <c:multiLvlStrCache>
                <c:ptCount val="10"/>
                <c:lvl>
                  <c:pt idx="0">
                    <c:v>Q1</c:v>
                  </c:pt>
                  <c:pt idx="1">
                    <c:v>Q2</c:v>
                  </c:pt>
                  <c:pt idx="2">
                    <c:v>Q3</c:v>
                  </c:pt>
                  <c:pt idx="3">
                    <c:v>Q4</c:v>
                  </c:pt>
                  <c:pt idx="4">
                    <c:v>Q1</c:v>
                  </c:pt>
                  <c:pt idx="5">
                    <c:v>Q2</c:v>
                  </c:pt>
                  <c:pt idx="6">
                    <c:v>Q3</c:v>
                  </c:pt>
                  <c:pt idx="7">
                    <c:v>Q4</c:v>
                  </c:pt>
                  <c:pt idx="8">
                    <c:v>Q1</c:v>
                  </c:pt>
                  <c:pt idx="9">
                    <c:v>Q2</c:v>
                  </c:pt>
                </c:lvl>
                <c:lvl>
                  <c:pt idx="0">
                    <c:v>2021</c:v>
                  </c:pt>
                  <c:pt idx="4">
                    <c:v>2022</c:v>
                  </c:pt>
                  <c:pt idx="8">
                    <c:v>2023</c:v>
                  </c:pt>
                </c:lvl>
              </c:multiLvlStrCache>
            </c:multiLvlStrRef>
          </c:cat>
          <c:val>
            <c:numRef>
              <c:f>BDPQ_doprinosi!$BC$12:$BL$12</c:f>
              <c:numCache>
                <c:formatCode>0.0</c:formatCode>
                <c:ptCount val="10"/>
                <c:pt idx="0">
                  <c:v>-4.8106115092283162</c:v>
                </c:pt>
                <c:pt idx="1">
                  <c:v>2.8066437353792573</c:v>
                </c:pt>
                <c:pt idx="2">
                  <c:v>-1.5072613229155074</c:v>
                </c:pt>
                <c:pt idx="3">
                  <c:v>-0.94667702724521341</c:v>
                </c:pt>
                <c:pt idx="4">
                  <c:v>8.1533365483284701</c:v>
                </c:pt>
                <c:pt idx="5">
                  <c:v>2.8656414078488908</c:v>
                </c:pt>
                <c:pt idx="6">
                  <c:v>-2.2486427591584137</c:v>
                </c:pt>
                <c:pt idx="7">
                  <c:v>-2.2771939150435365</c:v>
                </c:pt>
                <c:pt idx="8">
                  <c:v>-4.9467412820527032</c:v>
                </c:pt>
                <c:pt idx="9">
                  <c:v>-4.4017596233919498</c:v>
                </c:pt>
              </c:numCache>
            </c:numRef>
          </c:val>
          <c:extLst>
            <c:ext xmlns:c16="http://schemas.microsoft.com/office/drawing/2014/chart" uri="{C3380CC4-5D6E-409C-BE32-E72D297353CC}">
              <c16:uniqueId val="{00000004-0A24-4750-88E1-48FB2847B66E}"/>
            </c:ext>
          </c:extLst>
        </c:ser>
        <c:dLbls>
          <c:showLegendKey val="0"/>
          <c:showVal val="0"/>
          <c:showCatName val="0"/>
          <c:showSerName val="0"/>
          <c:showPercent val="0"/>
          <c:showBubbleSize val="0"/>
        </c:dLbls>
        <c:gapWidth val="60"/>
        <c:overlap val="100"/>
        <c:axId val="1768857248"/>
        <c:axId val="1768855072"/>
      </c:barChart>
      <c:lineChart>
        <c:grouping val="standard"/>
        <c:varyColors val="0"/>
        <c:ser>
          <c:idx val="5"/>
          <c:order val="5"/>
          <c:tx>
            <c:strRef>
              <c:f>BDPQ_doprinosi!$R$13</c:f>
              <c:strCache>
                <c:ptCount val="1"/>
                <c:pt idx="0">
                  <c:v>Реални раст БДП</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BDPQ_doprinosi!$BC$5:$BL$6</c:f>
              <c:multiLvlStrCache>
                <c:ptCount val="10"/>
                <c:lvl>
                  <c:pt idx="0">
                    <c:v>Q1</c:v>
                  </c:pt>
                  <c:pt idx="1">
                    <c:v>Q2</c:v>
                  </c:pt>
                  <c:pt idx="2">
                    <c:v>Q3</c:v>
                  </c:pt>
                  <c:pt idx="3">
                    <c:v>Q4</c:v>
                  </c:pt>
                  <c:pt idx="4">
                    <c:v>Q1</c:v>
                  </c:pt>
                  <c:pt idx="5">
                    <c:v>Q2</c:v>
                  </c:pt>
                  <c:pt idx="6">
                    <c:v>Q3</c:v>
                  </c:pt>
                  <c:pt idx="7">
                    <c:v>Q4</c:v>
                  </c:pt>
                  <c:pt idx="8">
                    <c:v>Q1</c:v>
                  </c:pt>
                  <c:pt idx="9">
                    <c:v>Q2</c:v>
                  </c:pt>
                </c:lvl>
                <c:lvl>
                  <c:pt idx="0">
                    <c:v>2021</c:v>
                  </c:pt>
                  <c:pt idx="4">
                    <c:v>2022</c:v>
                  </c:pt>
                  <c:pt idx="8">
                    <c:v>2023</c:v>
                  </c:pt>
                </c:lvl>
              </c:multiLvlStrCache>
            </c:multiLvlStrRef>
          </c:cat>
          <c:val>
            <c:numRef>
              <c:f>BDPQ_doprinosi!$BC$13:$BL$13</c:f>
              <c:numCache>
                <c:formatCode>0.0</c:formatCode>
                <c:ptCount val="10"/>
                <c:pt idx="0">
                  <c:v>1.6734380437592189</c:v>
                </c:pt>
                <c:pt idx="1">
                  <c:v>13.775815161486001</c:v>
                </c:pt>
                <c:pt idx="2">
                  <c:v>7.7910371143998711</c:v>
                </c:pt>
                <c:pt idx="3">
                  <c:v>7.285558716005351</c:v>
                </c:pt>
                <c:pt idx="4">
                  <c:v>4.0454172624640954</c:v>
                </c:pt>
                <c:pt idx="5">
                  <c:v>3.8445360445176435</c:v>
                </c:pt>
                <c:pt idx="6">
                  <c:v>0.97977544717373333</c:v>
                </c:pt>
                <c:pt idx="7">
                  <c:v>0.45879078718486666</c:v>
                </c:pt>
                <c:pt idx="8">
                  <c:v>0.87295334323724394</c:v>
                </c:pt>
                <c:pt idx="9">
                  <c:v>1.6666913262773764</c:v>
                </c:pt>
              </c:numCache>
            </c:numRef>
          </c:val>
          <c:smooth val="0"/>
          <c:extLst>
            <c:ext xmlns:c16="http://schemas.microsoft.com/office/drawing/2014/chart" uri="{C3380CC4-5D6E-409C-BE32-E72D297353CC}">
              <c16:uniqueId val="{00000005-0A24-4750-88E1-48FB2847B66E}"/>
            </c:ext>
          </c:extLst>
        </c:ser>
        <c:dLbls>
          <c:showLegendKey val="0"/>
          <c:showVal val="0"/>
          <c:showCatName val="0"/>
          <c:showSerName val="0"/>
          <c:showPercent val="0"/>
          <c:showBubbleSize val="0"/>
        </c:dLbls>
        <c:marker val="1"/>
        <c:smooth val="0"/>
        <c:axId val="1768857248"/>
        <c:axId val="1768855072"/>
      </c:lineChart>
      <c:catAx>
        <c:axId val="1768857248"/>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5072"/>
        <c:crosses val="autoZero"/>
        <c:auto val="1"/>
        <c:lblAlgn val="ctr"/>
        <c:lblOffset val="0"/>
        <c:noMultiLvlLbl val="0"/>
      </c:catAx>
      <c:valAx>
        <c:axId val="1768855072"/>
        <c:scaling>
          <c:orientation val="minMax"/>
          <c:max val="22"/>
          <c:min val="-1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248"/>
        <c:crosses val="autoZero"/>
        <c:crossBetween val="between"/>
        <c:majorUnit val="4"/>
      </c:valAx>
      <c:spPr>
        <a:noFill/>
        <a:ln>
          <a:noFill/>
        </a:ln>
        <a:effectLst/>
      </c:spPr>
    </c:plotArea>
    <c:legend>
      <c:legendPos val="b"/>
      <c:layout>
        <c:manualLayout>
          <c:xMode val="edge"/>
          <c:yMode val="edge"/>
          <c:x val="0"/>
          <c:y val="0.83244109195402283"/>
          <c:w val="1"/>
          <c:h val="0.167558908045977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2891976270649497"/>
        </c:manualLayout>
      </c:layout>
      <c:barChart>
        <c:barDir val="col"/>
        <c:grouping val="stacked"/>
        <c:varyColors val="0"/>
        <c:ser>
          <c:idx val="0"/>
          <c:order val="1"/>
          <c:tx>
            <c:strRef>
              <c:f>IPAS_doprinosi!$D$11</c:f>
              <c:strCache>
                <c:ptCount val="1"/>
                <c:pt idx="0">
                  <c:v>Пољопривреда</c:v>
                </c:pt>
              </c:strCache>
            </c:strRef>
          </c:tx>
          <c:spPr>
            <a:solidFill>
              <a:srgbClr val="10103C"/>
            </a:solidFill>
            <a:ln>
              <a:noFill/>
            </a:ln>
            <a:effectLst/>
          </c:spPr>
          <c:invertIfNegative val="0"/>
          <c:cat>
            <c:multiLvlStrRef>
              <c:f>IPAS_doprinosi!$A$48:$B$66</c:f>
              <c:multiLvlStrCache>
                <c:ptCount val="19"/>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lvl>
                <c:lvl>
                  <c:pt idx="0">
                    <c:v>2022</c:v>
                  </c:pt>
                  <c:pt idx="12">
                    <c:v>2023</c:v>
                  </c:pt>
                </c:lvl>
              </c:multiLvlStrCache>
            </c:multiLvlStrRef>
          </c:cat>
          <c:val>
            <c:numRef>
              <c:f>IPAS_doprinosi!$D$48:$D$66</c:f>
              <c:numCache>
                <c:formatCode>0.0</c:formatCode>
                <c:ptCount val="19"/>
                <c:pt idx="0">
                  <c:v>-0.55719304887614407</c:v>
                </c:pt>
                <c:pt idx="1">
                  <c:v>-0.54898394684249563</c:v>
                </c:pt>
                <c:pt idx="2">
                  <c:v>-0.57220053635734902</c:v>
                </c:pt>
                <c:pt idx="3">
                  <c:v>-0.53718021191702836</c:v>
                </c:pt>
                <c:pt idx="4">
                  <c:v>-0.57747167219192896</c:v>
                </c:pt>
                <c:pt idx="5">
                  <c:v>-0.56652350567174092</c:v>
                </c:pt>
                <c:pt idx="6">
                  <c:v>-0.54359413986137906</c:v>
                </c:pt>
                <c:pt idx="7">
                  <c:v>-0.47802090539717002</c:v>
                </c:pt>
                <c:pt idx="8">
                  <c:v>-0.4726258547636028</c:v>
                </c:pt>
                <c:pt idx="9">
                  <c:v>-0.48362677613087018</c:v>
                </c:pt>
                <c:pt idx="10">
                  <c:v>-0.46197017652696631</c:v>
                </c:pt>
                <c:pt idx="11">
                  <c:v>-0.48182901753931073</c:v>
                </c:pt>
                <c:pt idx="12">
                  <c:v>0.12461867868204272</c:v>
                </c:pt>
                <c:pt idx="13">
                  <c:v>0.12646648796361101</c:v>
                </c:pt>
                <c:pt idx="14">
                  <c:v>5.5303910763253264E-2</c:v>
                </c:pt>
                <c:pt idx="15">
                  <c:v>0.47982473914242491</c:v>
                </c:pt>
                <c:pt idx="16">
                  <c:v>0.44694815294244528</c:v>
                </c:pt>
                <c:pt idx="17">
                  <c:v>0.36341020089838094</c:v>
                </c:pt>
                <c:pt idx="18">
                  <c:v>0.91533293224633006</c:v>
                </c:pt>
              </c:numCache>
            </c:numRef>
          </c:val>
          <c:extLst>
            <c:ext xmlns:c16="http://schemas.microsoft.com/office/drawing/2014/chart" uri="{C3380CC4-5D6E-409C-BE32-E72D297353CC}">
              <c16:uniqueId val="{00000000-F12F-479E-93C4-500F9AA6F2CC}"/>
            </c:ext>
          </c:extLst>
        </c:ser>
        <c:ser>
          <c:idx val="1"/>
          <c:order val="2"/>
          <c:tx>
            <c:strRef>
              <c:f>IPAS_doprinosi!$E$11</c:f>
              <c:strCache>
                <c:ptCount val="1"/>
                <c:pt idx="0">
                  <c:v>Индустрија</c:v>
                </c:pt>
              </c:strCache>
            </c:strRef>
          </c:tx>
          <c:spPr>
            <a:solidFill>
              <a:srgbClr val="2183C4"/>
            </a:solidFill>
            <a:ln>
              <a:noFill/>
            </a:ln>
            <a:effectLst/>
          </c:spPr>
          <c:invertIfNegative val="0"/>
          <c:cat>
            <c:multiLvlStrRef>
              <c:f>IPAS_doprinosi!$A$48:$B$66</c:f>
              <c:multiLvlStrCache>
                <c:ptCount val="19"/>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lvl>
                <c:lvl>
                  <c:pt idx="0">
                    <c:v>2022</c:v>
                  </c:pt>
                  <c:pt idx="12">
                    <c:v>2023</c:v>
                  </c:pt>
                </c:lvl>
              </c:multiLvlStrCache>
            </c:multiLvlStrRef>
          </c:cat>
          <c:val>
            <c:numRef>
              <c:f>IPAS_doprinosi!$E$48:$E$66</c:f>
              <c:numCache>
                <c:formatCode>0.0</c:formatCode>
                <c:ptCount val="19"/>
                <c:pt idx="0">
                  <c:v>9.0888440464789888E-2</c:v>
                </c:pt>
                <c:pt idx="1">
                  <c:v>0.2189163970349102</c:v>
                </c:pt>
                <c:pt idx="2">
                  <c:v>0.77057203270607011</c:v>
                </c:pt>
                <c:pt idx="3">
                  <c:v>0.351913780400674</c:v>
                </c:pt>
                <c:pt idx="4">
                  <c:v>1.2549232114167945</c:v>
                </c:pt>
                <c:pt idx="5">
                  <c:v>0.95082802030864011</c:v>
                </c:pt>
                <c:pt idx="6">
                  <c:v>-6.2148841800721243E-3</c:v>
                </c:pt>
                <c:pt idx="7">
                  <c:v>-0.12567476448851114</c:v>
                </c:pt>
                <c:pt idx="8">
                  <c:v>3.4869181326025621E-3</c:v>
                </c:pt>
                <c:pt idx="9">
                  <c:v>0.21684592235802283</c:v>
                </c:pt>
                <c:pt idx="10">
                  <c:v>0.18056503197678106</c:v>
                </c:pt>
                <c:pt idx="11">
                  <c:v>0.3379040735624162</c:v>
                </c:pt>
                <c:pt idx="12">
                  <c:v>0.67833153758351517</c:v>
                </c:pt>
                <c:pt idx="13">
                  <c:v>0.21095392212400893</c:v>
                </c:pt>
                <c:pt idx="14">
                  <c:v>0.16600151496809692</c:v>
                </c:pt>
                <c:pt idx="15">
                  <c:v>-2.522727414751172E-3</c:v>
                </c:pt>
                <c:pt idx="16">
                  <c:v>0.22488259533729288</c:v>
                </c:pt>
                <c:pt idx="17">
                  <c:v>0.10698100237478406</c:v>
                </c:pt>
                <c:pt idx="18">
                  <c:v>0.46777614567089876</c:v>
                </c:pt>
              </c:numCache>
            </c:numRef>
          </c:val>
          <c:extLst>
            <c:ext xmlns:c16="http://schemas.microsoft.com/office/drawing/2014/chart" uri="{C3380CC4-5D6E-409C-BE32-E72D297353CC}">
              <c16:uniqueId val="{00000001-F12F-479E-93C4-500F9AA6F2CC}"/>
            </c:ext>
          </c:extLst>
        </c:ser>
        <c:ser>
          <c:idx val="2"/>
          <c:order val="3"/>
          <c:tx>
            <c:strRef>
              <c:f>IPAS_doprinosi!$F$11</c:f>
              <c:strCache>
                <c:ptCount val="1"/>
                <c:pt idx="0">
                  <c:v>Грађевинарство</c:v>
                </c:pt>
              </c:strCache>
            </c:strRef>
          </c:tx>
          <c:spPr>
            <a:solidFill>
              <a:srgbClr val="51BBE7"/>
            </a:solidFill>
            <a:ln>
              <a:noFill/>
            </a:ln>
            <a:effectLst/>
          </c:spPr>
          <c:invertIfNegative val="0"/>
          <c:cat>
            <c:multiLvlStrRef>
              <c:f>IPAS_doprinosi!$A$48:$B$66</c:f>
              <c:multiLvlStrCache>
                <c:ptCount val="19"/>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lvl>
                <c:lvl>
                  <c:pt idx="0">
                    <c:v>2022</c:v>
                  </c:pt>
                  <c:pt idx="12">
                    <c:v>2023</c:v>
                  </c:pt>
                </c:lvl>
              </c:multiLvlStrCache>
            </c:multiLvlStrRef>
          </c:cat>
          <c:val>
            <c:numRef>
              <c:f>IPAS_doprinosi!$F$48:$F$66</c:f>
              <c:numCache>
                <c:formatCode>0.0</c:formatCode>
                <c:ptCount val="19"/>
                <c:pt idx="0">
                  <c:v>-0.25621757074265633</c:v>
                </c:pt>
                <c:pt idx="1">
                  <c:v>-0.27232708489447482</c:v>
                </c:pt>
                <c:pt idx="2">
                  <c:v>-0.35238938885444354</c:v>
                </c:pt>
                <c:pt idx="3">
                  <c:v>-0.42067266004649401</c:v>
                </c:pt>
                <c:pt idx="4">
                  <c:v>-0.22647189881384205</c:v>
                </c:pt>
                <c:pt idx="5">
                  <c:v>-0.50713012215375408</c:v>
                </c:pt>
                <c:pt idx="6">
                  <c:v>-0.87195429237222566</c:v>
                </c:pt>
                <c:pt idx="7">
                  <c:v>-0.60820177779877105</c:v>
                </c:pt>
                <c:pt idx="8">
                  <c:v>-0.75761242578754007</c:v>
                </c:pt>
                <c:pt idx="9">
                  <c:v>-0.77332794977776365</c:v>
                </c:pt>
                <c:pt idx="10">
                  <c:v>-1.0693244432566669</c:v>
                </c:pt>
                <c:pt idx="11">
                  <c:v>-0.77126437461411934</c:v>
                </c:pt>
                <c:pt idx="12">
                  <c:v>5.9495259583680259E-2</c:v>
                </c:pt>
                <c:pt idx="13">
                  <c:v>-0.11605512528376917</c:v>
                </c:pt>
                <c:pt idx="14">
                  <c:v>-0.24161795347662118</c:v>
                </c:pt>
                <c:pt idx="15">
                  <c:v>0.33182800988830136</c:v>
                </c:pt>
                <c:pt idx="16">
                  <c:v>0.98662370577488867</c:v>
                </c:pt>
                <c:pt idx="17">
                  <c:v>0.9685718173693566</c:v>
                </c:pt>
                <c:pt idx="18">
                  <c:v>0.23839049361052889</c:v>
                </c:pt>
              </c:numCache>
            </c:numRef>
          </c:val>
          <c:extLst>
            <c:ext xmlns:c16="http://schemas.microsoft.com/office/drawing/2014/chart" uri="{C3380CC4-5D6E-409C-BE32-E72D297353CC}">
              <c16:uniqueId val="{00000002-F12F-479E-93C4-500F9AA6F2CC}"/>
            </c:ext>
          </c:extLst>
        </c:ser>
        <c:ser>
          <c:idx val="3"/>
          <c:order val="4"/>
          <c:tx>
            <c:strRef>
              <c:f>IPAS_doprinosi!$G$11</c:f>
              <c:strCache>
                <c:ptCount val="1"/>
                <c:pt idx="0">
                  <c:v>Услуге</c:v>
                </c:pt>
              </c:strCache>
            </c:strRef>
          </c:tx>
          <c:spPr>
            <a:solidFill>
              <a:srgbClr val="90CAE2"/>
            </a:solidFill>
            <a:ln>
              <a:noFill/>
            </a:ln>
            <a:effectLst/>
          </c:spPr>
          <c:invertIfNegative val="0"/>
          <c:cat>
            <c:multiLvlStrRef>
              <c:f>IPAS_doprinosi!$A$48:$B$66</c:f>
              <c:multiLvlStrCache>
                <c:ptCount val="19"/>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lvl>
                <c:lvl>
                  <c:pt idx="0">
                    <c:v>2022</c:v>
                  </c:pt>
                  <c:pt idx="12">
                    <c:v>2023</c:v>
                  </c:pt>
                </c:lvl>
              </c:multiLvlStrCache>
            </c:multiLvlStrRef>
          </c:cat>
          <c:val>
            <c:numRef>
              <c:f>IPAS_doprinosi!$G$48:$G$66</c:f>
              <c:numCache>
                <c:formatCode>0.0</c:formatCode>
                <c:ptCount val="19"/>
                <c:pt idx="0">
                  <c:v>3.8893545066171602</c:v>
                </c:pt>
                <c:pt idx="1">
                  <c:v>2.9927870747180396</c:v>
                </c:pt>
                <c:pt idx="2">
                  <c:v>2.719437448004022</c:v>
                </c:pt>
                <c:pt idx="3">
                  <c:v>3.6884996882608752</c:v>
                </c:pt>
                <c:pt idx="4">
                  <c:v>2.9825599704162986</c:v>
                </c:pt>
                <c:pt idx="5">
                  <c:v>2.355068558218568</c:v>
                </c:pt>
                <c:pt idx="6">
                  <c:v>1.8555042839909017</c:v>
                </c:pt>
                <c:pt idx="7">
                  <c:v>2.1053056395102465</c:v>
                </c:pt>
                <c:pt idx="8">
                  <c:v>1.5281625679188129</c:v>
                </c:pt>
                <c:pt idx="9">
                  <c:v>1.5992734375319497</c:v>
                </c:pt>
                <c:pt idx="10">
                  <c:v>1.3415631391043725</c:v>
                </c:pt>
                <c:pt idx="11">
                  <c:v>1.1900000434669296</c:v>
                </c:pt>
                <c:pt idx="12">
                  <c:v>0.84216038218419997</c:v>
                </c:pt>
                <c:pt idx="13">
                  <c:v>0.62673396617294863</c:v>
                </c:pt>
                <c:pt idx="14">
                  <c:v>0.22874657007883714</c:v>
                </c:pt>
                <c:pt idx="15">
                  <c:v>0.11327412091763117</c:v>
                </c:pt>
                <c:pt idx="16">
                  <c:v>0.59401201035507811</c:v>
                </c:pt>
                <c:pt idx="17">
                  <c:v>0.89563672111432435</c:v>
                </c:pt>
                <c:pt idx="18">
                  <c:v>0.88495307944420798</c:v>
                </c:pt>
              </c:numCache>
            </c:numRef>
          </c:val>
          <c:extLst>
            <c:ext xmlns:c16="http://schemas.microsoft.com/office/drawing/2014/chart" uri="{C3380CC4-5D6E-409C-BE32-E72D297353CC}">
              <c16:uniqueId val="{00000003-F12F-479E-93C4-500F9AA6F2CC}"/>
            </c:ext>
          </c:extLst>
        </c:ser>
        <c:ser>
          <c:idx val="4"/>
          <c:order val="5"/>
          <c:tx>
            <c:strRef>
              <c:f>IPAS_doprinosi!$H$11</c:f>
              <c:strCache>
                <c:ptCount val="1"/>
                <c:pt idx="0">
                  <c:v>Нето порези</c:v>
                </c:pt>
              </c:strCache>
            </c:strRef>
          </c:tx>
          <c:spPr>
            <a:solidFill>
              <a:srgbClr val="C9E4EB"/>
            </a:solidFill>
            <a:ln>
              <a:noFill/>
            </a:ln>
            <a:effectLst/>
          </c:spPr>
          <c:invertIfNegative val="0"/>
          <c:cat>
            <c:multiLvlStrRef>
              <c:f>IPAS_doprinosi!$A$48:$B$66</c:f>
              <c:multiLvlStrCache>
                <c:ptCount val="19"/>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lvl>
                <c:lvl>
                  <c:pt idx="0">
                    <c:v>2022</c:v>
                  </c:pt>
                  <c:pt idx="12">
                    <c:v>2023</c:v>
                  </c:pt>
                </c:lvl>
              </c:multiLvlStrCache>
            </c:multiLvlStrRef>
          </c:cat>
          <c:val>
            <c:numRef>
              <c:f>IPAS_doprinosi!$H$48:$H$66</c:f>
              <c:numCache>
                <c:formatCode>0.0</c:formatCode>
                <c:ptCount val="19"/>
                <c:pt idx="0">
                  <c:v>0.63064678649819794</c:v>
                </c:pt>
                <c:pt idx="1">
                  <c:v>1.4777836198349843</c:v>
                </c:pt>
                <c:pt idx="2">
                  <c:v>1.8734443694022096</c:v>
                </c:pt>
                <c:pt idx="3">
                  <c:v>0.91858392345263074</c:v>
                </c:pt>
                <c:pt idx="4">
                  <c:v>0.95398218526242495</c:v>
                </c:pt>
                <c:pt idx="5">
                  <c:v>0.9461872130988338</c:v>
                </c:pt>
                <c:pt idx="6">
                  <c:v>0.43512439717222046</c:v>
                </c:pt>
                <c:pt idx="7">
                  <c:v>0.49692920542916658</c:v>
                </c:pt>
                <c:pt idx="8">
                  <c:v>0.38507997788721465</c:v>
                </c:pt>
                <c:pt idx="9">
                  <c:v>0.15052706612769312</c:v>
                </c:pt>
                <c:pt idx="10">
                  <c:v>0.20659118435249241</c:v>
                </c:pt>
                <c:pt idx="11">
                  <c:v>0.20146666144582587</c:v>
                </c:pt>
                <c:pt idx="12">
                  <c:v>0.11647192024191774</c:v>
                </c:pt>
                <c:pt idx="13">
                  <c:v>1.1568664672203683E-2</c:v>
                </c:pt>
                <c:pt idx="14">
                  <c:v>-0.74854508414118415</c:v>
                </c:pt>
                <c:pt idx="15">
                  <c:v>-8.2223893455612984E-2</c:v>
                </c:pt>
                <c:pt idx="16">
                  <c:v>-0.2269172361830884</c:v>
                </c:pt>
                <c:pt idx="17">
                  <c:v>-0.24713416081103973</c:v>
                </c:pt>
                <c:pt idx="18">
                  <c:v>-5.1114001462427248E-2</c:v>
                </c:pt>
              </c:numCache>
            </c:numRef>
          </c:val>
          <c:extLst>
            <c:ext xmlns:c16="http://schemas.microsoft.com/office/drawing/2014/chart" uri="{C3380CC4-5D6E-409C-BE32-E72D297353CC}">
              <c16:uniqueId val="{00000004-F12F-479E-93C4-500F9AA6F2CC}"/>
            </c:ext>
          </c:extLst>
        </c:ser>
        <c:dLbls>
          <c:showLegendKey val="0"/>
          <c:showVal val="0"/>
          <c:showCatName val="0"/>
          <c:showSerName val="0"/>
          <c:showPercent val="0"/>
          <c:showBubbleSize val="0"/>
        </c:dLbls>
        <c:gapWidth val="60"/>
        <c:overlap val="100"/>
        <c:axId val="1961434128"/>
        <c:axId val="1961419984"/>
      </c:barChart>
      <c:lineChart>
        <c:grouping val="standard"/>
        <c:varyColors val="0"/>
        <c:ser>
          <c:idx val="5"/>
          <c:order val="0"/>
          <c:tx>
            <c:strRef>
              <c:f>IPAS_doprinosi!$C$11</c:f>
              <c:strCache>
                <c:ptCount val="1"/>
                <c:pt idx="0">
                  <c:v>БДП</c:v>
                </c:pt>
              </c:strCache>
            </c:strRef>
          </c:tx>
          <c:spPr>
            <a:ln w="2222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IPAS_doprinosi!$A$48:$B$66</c:f>
              <c:multiLvlStrCache>
                <c:ptCount val="19"/>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lvl>
                <c:lvl>
                  <c:pt idx="0">
                    <c:v>2022</c:v>
                  </c:pt>
                  <c:pt idx="12">
                    <c:v>2023</c:v>
                  </c:pt>
                </c:lvl>
              </c:multiLvlStrCache>
            </c:multiLvlStrRef>
          </c:cat>
          <c:val>
            <c:numRef>
              <c:f>IPAS_doprinosi!$C$48:$C$66</c:f>
              <c:numCache>
                <c:formatCode>0.0</c:formatCode>
                <c:ptCount val="19"/>
                <c:pt idx="0">
                  <c:v>3.7974793121923214</c:v>
                </c:pt>
                <c:pt idx="1">
                  <c:v>3.8681762852531074</c:v>
                </c:pt>
                <c:pt idx="2">
                  <c:v>4.4388640738392038</c:v>
                </c:pt>
                <c:pt idx="3">
                  <c:v>4.0011447394283177</c:v>
                </c:pt>
                <c:pt idx="4">
                  <c:v>4.387522224669298</c:v>
                </c:pt>
                <c:pt idx="5">
                  <c:v>3.1784303880079854</c:v>
                </c:pt>
                <c:pt idx="6">
                  <c:v>0.86886547752585797</c:v>
                </c:pt>
                <c:pt idx="7">
                  <c:v>1.3903373550984044</c:v>
                </c:pt>
                <c:pt idx="8">
                  <c:v>0.68649104617191159</c:v>
                </c:pt>
                <c:pt idx="9">
                  <c:v>0.70969163380462319</c:v>
                </c:pt>
                <c:pt idx="10">
                  <c:v>0.19742468226010959</c:v>
                </c:pt>
                <c:pt idx="11">
                  <c:v>0.47627737428194772</c:v>
                </c:pt>
                <c:pt idx="12">
                  <c:v>1.8210777782753558</c:v>
                </c:pt>
                <c:pt idx="13">
                  <c:v>0.85966791564900302</c:v>
                </c:pt>
                <c:pt idx="14">
                  <c:v>-0.54011104180761804</c:v>
                </c:pt>
                <c:pt idx="15">
                  <c:v>0.84018024907799327</c:v>
                </c:pt>
                <c:pt idx="16">
                  <c:v>2.0255492282266165</c:v>
                </c:pt>
                <c:pt idx="17">
                  <c:v>2.0874655809458065</c:v>
                </c:pt>
                <c:pt idx="18">
                  <c:v>2.4553386495095406</c:v>
                </c:pt>
              </c:numCache>
            </c:numRef>
          </c:val>
          <c:smooth val="0"/>
          <c:extLst>
            <c:ext xmlns:c16="http://schemas.microsoft.com/office/drawing/2014/chart" uri="{C3380CC4-5D6E-409C-BE32-E72D297353CC}">
              <c16:uniqueId val="{00000005-F12F-479E-93C4-500F9AA6F2CC}"/>
            </c:ext>
          </c:extLst>
        </c:ser>
        <c:dLbls>
          <c:showLegendKey val="0"/>
          <c:showVal val="0"/>
          <c:showCatName val="0"/>
          <c:showSerName val="0"/>
          <c:showPercent val="0"/>
          <c:showBubbleSize val="0"/>
        </c:dLbls>
        <c:marker val="1"/>
        <c:smooth val="0"/>
        <c:axId val="1961434128"/>
        <c:axId val="1961419984"/>
      </c:lineChart>
      <c:catAx>
        <c:axId val="1961434128"/>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Arial" panose="020B0604020202020204" pitchFamily="34" charset="0"/>
              </a:defRPr>
            </a:pPr>
            <a:endParaRPr lang="sr-Latn-RS"/>
          </a:p>
        </c:txPr>
        <c:crossAx val="1961419984"/>
        <c:crosses val="autoZero"/>
        <c:auto val="1"/>
        <c:lblAlgn val="ctr"/>
        <c:lblOffset val="0"/>
        <c:noMultiLvlLbl val="0"/>
      </c:catAx>
      <c:valAx>
        <c:axId val="196141998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961434128"/>
        <c:crosses val="autoZero"/>
        <c:crossBetween val="between"/>
        <c:majorUnit val="2"/>
        <c:minorUnit val="0.4"/>
      </c:valAx>
      <c:spPr>
        <a:noFill/>
        <a:ln>
          <a:noFill/>
        </a:ln>
        <a:effectLst/>
      </c:spPr>
    </c:plotArea>
    <c:legend>
      <c:legendPos val="b"/>
      <c:layout>
        <c:manualLayout>
          <c:xMode val="edge"/>
          <c:yMode val="edge"/>
          <c:x val="7.1965223097112854E-2"/>
          <c:y val="0.82580643513006691"/>
          <c:w val="0.88171770195392241"/>
          <c:h val="0.1685851809081943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no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6824305555555574E-2"/>
          <c:y val="2.2302910052910054E-2"/>
          <c:w val="0.88431506235448831"/>
          <c:h val="0.60970484016374471"/>
        </c:manualLayout>
      </c:layout>
      <c:lineChart>
        <c:grouping val="standard"/>
        <c:varyColors val="0"/>
        <c:ser>
          <c:idx val="0"/>
          <c:order val="0"/>
          <c:tx>
            <c:strRef>
              <c:f>IPAS_doprinosi!$W$11</c:f>
              <c:strCache>
                <c:ptCount val="1"/>
                <c:pt idx="0">
                  <c:v>Оригинални подаци</c:v>
                </c:pt>
              </c:strCache>
            </c:strRef>
          </c:tx>
          <c:spPr>
            <a:ln w="15875">
              <a:solidFill>
                <a:srgbClr val="A44AA4"/>
              </a:solidFill>
              <a:prstDash val="sysDot"/>
            </a:ln>
          </c:spPr>
          <c:marker>
            <c:symbol val="none"/>
          </c:marker>
          <c:cat>
            <c:multiLvlStrRef>
              <c:f>IPAS_doprinosi!$U$36:$V$66</c:f>
              <c:multiLvlStrCache>
                <c:ptCount val="31"/>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lvl>
                <c:lvl>
                  <c:pt idx="0">
                    <c:v>2021</c:v>
                  </c:pt>
                  <c:pt idx="12">
                    <c:v>2022</c:v>
                  </c:pt>
                  <c:pt idx="24">
                    <c:v>2023</c:v>
                  </c:pt>
                </c:lvl>
              </c:multiLvlStrCache>
            </c:multiLvlStrRef>
          </c:cat>
          <c:val>
            <c:numRef>
              <c:f>IPAS_doprinosi!$W$36:$W$66</c:f>
              <c:numCache>
                <c:formatCode>0.0</c:formatCode>
                <c:ptCount val="31"/>
                <c:pt idx="0">
                  <c:v>394006.37361015502</c:v>
                </c:pt>
                <c:pt idx="1">
                  <c:v>399157.29518738901</c:v>
                </c:pt>
                <c:pt idx="2">
                  <c:v>428104.49723082699</c:v>
                </c:pt>
                <c:pt idx="3">
                  <c:v>415046.585834431</c:v>
                </c:pt>
                <c:pt idx="4">
                  <c:v>432552.57774483802</c:v>
                </c:pt>
                <c:pt idx="5">
                  <c:v>450209.70989124099</c:v>
                </c:pt>
                <c:pt idx="6">
                  <c:v>448432.925696544</c:v>
                </c:pt>
                <c:pt idx="7">
                  <c:v>450823.14908064401</c:v>
                </c:pt>
                <c:pt idx="8">
                  <c:v>461486.54050444299</c:v>
                </c:pt>
                <c:pt idx="9">
                  <c:v>463922.78794206399</c:v>
                </c:pt>
                <c:pt idx="10">
                  <c:v>476812.561158158</c:v>
                </c:pt>
                <c:pt idx="11">
                  <c:v>469474.61704798799</c:v>
                </c:pt>
                <c:pt idx="12">
                  <c:v>408917.49023501301</c:v>
                </c:pt>
                <c:pt idx="13">
                  <c:v>414614.37611507002</c:v>
                </c:pt>
                <c:pt idx="14">
                  <c:v>447141.69639867399</c:v>
                </c:pt>
                <c:pt idx="15">
                  <c:v>431641.98908947798</c:v>
                </c:pt>
                <c:pt idx="16">
                  <c:v>451534.059085063</c:v>
                </c:pt>
                <c:pt idx="17">
                  <c:v>464527.56029304798</c:v>
                </c:pt>
                <c:pt idx="18">
                  <c:v>452267.10420478898</c:v>
                </c:pt>
                <c:pt idx="19">
                  <c:v>457078.39321072801</c:v>
                </c:pt>
                <c:pt idx="20">
                  <c:v>464729.339964988</c:v>
                </c:pt>
                <c:pt idx="21">
                  <c:v>467462.20956252603</c:v>
                </c:pt>
                <c:pt idx="22">
                  <c:v>477880.85777352302</c:v>
                </c:pt>
                <c:pt idx="23">
                  <c:v>471336.811770831</c:v>
                </c:pt>
                <c:pt idx="24">
                  <c:v>416065.77041589702</c:v>
                </c:pt>
                <c:pt idx="25">
                  <c:v>418818.909834166</c:v>
                </c:pt>
                <c:pt idx="26">
                  <c:v>446881.26556842198</c:v>
                </c:pt>
                <c:pt idx="27">
                  <c:v>435052.137947649</c:v>
                </c:pt>
                <c:pt idx="28">
                  <c:v>460658.56870487798</c:v>
                </c:pt>
                <c:pt idx="29">
                  <c:v>474454.95749124902</c:v>
                </c:pt>
                <c:pt idx="30">
                  <c:v>463376.82551833702</c:v>
                </c:pt>
              </c:numCache>
            </c:numRef>
          </c:val>
          <c:smooth val="0"/>
          <c:extLst>
            <c:ext xmlns:c16="http://schemas.microsoft.com/office/drawing/2014/chart" uri="{C3380CC4-5D6E-409C-BE32-E72D297353CC}">
              <c16:uniqueId val="{00000000-F97A-45A1-A30C-C4E080AA6831}"/>
            </c:ext>
          </c:extLst>
        </c:ser>
        <c:ser>
          <c:idx val="1"/>
          <c:order val="1"/>
          <c:tx>
            <c:strRef>
              <c:f>IPAS_doprinosi!$X$11</c:f>
              <c:strCache>
                <c:ptCount val="1"/>
                <c:pt idx="0">
                  <c:v>Тренд циклус</c:v>
                </c:pt>
              </c:strCache>
            </c:strRef>
          </c:tx>
          <c:spPr>
            <a:ln w="25400">
              <a:solidFill>
                <a:srgbClr val="FF0000"/>
              </a:solidFill>
            </a:ln>
          </c:spPr>
          <c:marker>
            <c:symbol val="none"/>
          </c:marker>
          <c:cat>
            <c:multiLvlStrRef>
              <c:f>IPAS_doprinosi!$U$36:$V$66</c:f>
              <c:multiLvlStrCache>
                <c:ptCount val="31"/>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lvl>
                <c:lvl>
                  <c:pt idx="0">
                    <c:v>2021</c:v>
                  </c:pt>
                  <c:pt idx="12">
                    <c:v>2022</c:v>
                  </c:pt>
                  <c:pt idx="24">
                    <c:v>2023</c:v>
                  </c:pt>
                </c:lvl>
              </c:multiLvlStrCache>
            </c:multiLvlStrRef>
          </c:cat>
          <c:val>
            <c:numRef>
              <c:f>IPAS_doprinosi!$X$36:$X$66</c:f>
              <c:numCache>
                <c:formatCode>0.0</c:formatCode>
                <c:ptCount val="31"/>
                <c:pt idx="0">
                  <c:v>426607.42814761598</c:v>
                </c:pt>
                <c:pt idx="1">
                  <c:v>429759.09643105202</c:v>
                </c:pt>
                <c:pt idx="2">
                  <c:v>432965.66604957602</c:v>
                </c:pt>
                <c:pt idx="3">
                  <c:v>436090.78314031498</c:v>
                </c:pt>
                <c:pt idx="4">
                  <c:v>438985.71340496198</c:v>
                </c:pt>
                <c:pt idx="5">
                  <c:v>441511.84756968397</c:v>
                </c:pt>
                <c:pt idx="6">
                  <c:v>443658.92352894001</c:v>
                </c:pt>
                <c:pt idx="7">
                  <c:v>445437.537851959</c:v>
                </c:pt>
                <c:pt idx="8">
                  <c:v>446735.02678409201</c:v>
                </c:pt>
                <c:pt idx="9">
                  <c:v>447621.99930399598</c:v>
                </c:pt>
                <c:pt idx="10">
                  <c:v>448300.85377194599</c:v>
                </c:pt>
                <c:pt idx="11">
                  <c:v>448936.23820225702</c:v>
                </c:pt>
                <c:pt idx="12">
                  <c:v>449619.16694115498</c:v>
                </c:pt>
                <c:pt idx="13">
                  <c:v>450300.94608482701</c:v>
                </c:pt>
                <c:pt idx="14">
                  <c:v>450879.74634208099</c:v>
                </c:pt>
                <c:pt idx="15">
                  <c:v>451280.94721870398</c:v>
                </c:pt>
                <c:pt idx="16">
                  <c:v>451383.17966009601</c:v>
                </c:pt>
                <c:pt idx="17">
                  <c:v>451243.92513189203</c:v>
                </c:pt>
                <c:pt idx="18">
                  <c:v>451072.35785376199</c:v>
                </c:pt>
                <c:pt idx="19">
                  <c:v>450995.74631619698</c:v>
                </c:pt>
                <c:pt idx="20">
                  <c:v>451157.56704047701</c:v>
                </c:pt>
                <c:pt idx="21">
                  <c:v>451492.854354663</c:v>
                </c:pt>
                <c:pt idx="22">
                  <c:v>451753.44620723999</c:v>
                </c:pt>
                <c:pt idx="23">
                  <c:v>451967.66393868998</c:v>
                </c:pt>
                <c:pt idx="24">
                  <c:v>452272.16449103999</c:v>
                </c:pt>
                <c:pt idx="25">
                  <c:v>452887.91213705699</c:v>
                </c:pt>
                <c:pt idx="26">
                  <c:v>454064.90593135997</c:v>
                </c:pt>
                <c:pt idx="27">
                  <c:v>455782.03307125799</c:v>
                </c:pt>
                <c:pt idx="28">
                  <c:v>457744.68282620102</c:v>
                </c:pt>
                <c:pt idx="29">
                  <c:v>459647.76649922098</c:v>
                </c:pt>
                <c:pt idx="30">
                  <c:v>461066.602419756</c:v>
                </c:pt>
              </c:numCache>
            </c:numRef>
          </c:val>
          <c:smooth val="0"/>
          <c:extLst>
            <c:ext xmlns:c16="http://schemas.microsoft.com/office/drawing/2014/chart" uri="{C3380CC4-5D6E-409C-BE32-E72D297353CC}">
              <c16:uniqueId val="{00000001-F97A-45A1-A30C-C4E080AA6831}"/>
            </c:ext>
          </c:extLst>
        </c:ser>
        <c:ser>
          <c:idx val="2"/>
          <c:order val="2"/>
          <c:tx>
            <c:strRef>
              <c:f>IPAS_doprinosi!$Y$11</c:f>
              <c:strCache>
                <c:ptCount val="1"/>
                <c:pt idx="0">
                  <c:v>Десезонирани подаци</c:v>
                </c:pt>
              </c:strCache>
            </c:strRef>
          </c:tx>
          <c:spPr>
            <a:ln w="22225">
              <a:solidFill>
                <a:srgbClr val="002060"/>
              </a:solidFill>
            </a:ln>
          </c:spPr>
          <c:marker>
            <c:symbol val="none"/>
          </c:marker>
          <c:cat>
            <c:multiLvlStrRef>
              <c:f>IPAS_doprinosi!$U$36:$V$66</c:f>
              <c:multiLvlStrCache>
                <c:ptCount val="31"/>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lvl>
                <c:lvl>
                  <c:pt idx="0">
                    <c:v>2021</c:v>
                  </c:pt>
                  <c:pt idx="12">
                    <c:v>2022</c:v>
                  </c:pt>
                  <c:pt idx="24">
                    <c:v>2023</c:v>
                  </c:pt>
                </c:lvl>
              </c:multiLvlStrCache>
            </c:multiLvlStrRef>
          </c:cat>
          <c:val>
            <c:numRef>
              <c:f>IPAS_doprinosi!$Y$36:$Y$66</c:f>
              <c:numCache>
                <c:formatCode>0.0</c:formatCode>
                <c:ptCount val="31"/>
                <c:pt idx="0">
                  <c:v>426196.875200835</c:v>
                </c:pt>
                <c:pt idx="1">
                  <c:v>430933.258359948</c:v>
                </c:pt>
                <c:pt idx="2">
                  <c:v>434341.95656352199</c:v>
                </c:pt>
                <c:pt idx="3">
                  <c:v>431942.42098100699</c:v>
                </c:pt>
                <c:pt idx="4">
                  <c:v>432507.41236667201</c:v>
                </c:pt>
                <c:pt idx="5">
                  <c:v>442227.689035633</c:v>
                </c:pt>
                <c:pt idx="6">
                  <c:v>445029.57148579101</c:v>
                </c:pt>
                <c:pt idx="7">
                  <c:v>445225.26964024297</c:v>
                </c:pt>
                <c:pt idx="8">
                  <c:v>446625.94609017199</c:v>
                </c:pt>
                <c:pt idx="9">
                  <c:v>446779.81093582598</c:v>
                </c:pt>
                <c:pt idx="10">
                  <c:v>454487.140513641</c:v>
                </c:pt>
                <c:pt idx="11">
                  <c:v>450147.34109524102</c:v>
                </c:pt>
                <c:pt idx="12">
                  <c:v>442748.24133288098</c:v>
                </c:pt>
                <c:pt idx="13">
                  <c:v>447972.35511650698</c:v>
                </c:pt>
                <c:pt idx="14">
                  <c:v>453115.05397130898</c:v>
                </c:pt>
                <c:pt idx="15">
                  <c:v>450466.551113314</c:v>
                </c:pt>
                <c:pt idx="16">
                  <c:v>451164.71410357498</c:v>
                </c:pt>
                <c:pt idx="17">
                  <c:v>454340.877865088</c:v>
                </c:pt>
                <c:pt idx="18">
                  <c:v>449558.42065735802</c:v>
                </c:pt>
                <c:pt idx="19">
                  <c:v>450488.75683127699</c:v>
                </c:pt>
                <c:pt idx="20">
                  <c:v>450519.05710072198</c:v>
                </c:pt>
                <c:pt idx="21">
                  <c:v>450761.66119729198</c:v>
                </c:pt>
                <c:pt idx="22">
                  <c:v>453934.04841803299</c:v>
                </c:pt>
                <c:pt idx="23">
                  <c:v>453348.74418400001</c:v>
                </c:pt>
                <c:pt idx="24">
                  <c:v>450378.96169216</c:v>
                </c:pt>
                <c:pt idx="25">
                  <c:v>453164.46370760002</c:v>
                </c:pt>
                <c:pt idx="26">
                  <c:v>452342.59977276699</c:v>
                </c:pt>
                <c:pt idx="27">
                  <c:v>455120.30666279001</c:v>
                </c:pt>
                <c:pt idx="28">
                  <c:v>459156.35335589002</c:v>
                </c:pt>
                <c:pt idx="29">
                  <c:v>462207.06786388397</c:v>
                </c:pt>
                <c:pt idx="30">
                  <c:v>461975.99384756997</c:v>
                </c:pt>
              </c:numCache>
            </c:numRef>
          </c:val>
          <c:smooth val="0"/>
          <c:extLst>
            <c:ext xmlns:c16="http://schemas.microsoft.com/office/drawing/2014/chart" uri="{C3380CC4-5D6E-409C-BE32-E72D297353CC}">
              <c16:uniqueId val="{00000002-F97A-45A1-A30C-C4E080AA6831}"/>
            </c:ext>
          </c:extLst>
        </c:ser>
        <c:dLbls>
          <c:showLegendKey val="0"/>
          <c:showVal val="0"/>
          <c:showCatName val="0"/>
          <c:showSerName val="0"/>
          <c:showPercent val="0"/>
          <c:showBubbleSize val="0"/>
        </c:dLbls>
        <c:smooth val="0"/>
        <c:axId val="761081920"/>
        <c:axId val="761082480"/>
      </c:lineChart>
      <c:catAx>
        <c:axId val="761081920"/>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0" vert="horz"/>
          <a:lstStyle/>
          <a:p>
            <a:pPr>
              <a:defRPr sz="750">
                <a:latin typeface="+mn-lt"/>
              </a:defRPr>
            </a:pPr>
            <a:endParaRPr lang="sr-Latn-RS"/>
          </a:p>
        </c:txPr>
        <c:crossAx val="761082480"/>
        <c:crosses val="autoZero"/>
        <c:auto val="1"/>
        <c:lblAlgn val="ctr"/>
        <c:lblOffset val="100"/>
        <c:tickMarkSkip val="1"/>
        <c:noMultiLvlLbl val="1"/>
      </c:catAx>
      <c:valAx>
        <c:axId val="761082480"/>
        <c:scaling>
          <c:orientation val="minMax"/>
          <c:max val="480000"/>
          <c:min val="400000"/>
        </c:scaling>
        <c:delete val="0"/>
        <c:axPos val="l"/>
        <c:numFmt formatCode="#,##0" sourceLinked="0"/>
        <c:majorTickMark val="none"/>
        <c:minorTickMark val="none"/>
        <c:tickLblPos val="nextTo"/>
        <c:spPr>
          <a:noFill/>
          <a:ln>
            <a:noFill/>
          </a:ln>
          <a:effectLst/>
        </c:spPr>
        <c:txPr>
          <a:bodyPr rot="-60000000" vert="horz"/>
          <a:lstStyle/>
          <a:p>
            <a:pPr>
              <a:defRPr sz="750">
                <a:latin typeface="+mn-lt"/>
              </a:defRPr>
            </a:pPr>
            <a:endParaRPr lang="sr-Latn-RS"/>
          </a:p>
        </c:txPr>
        <c:crossAx val="761081920"/>
        <c:crossesAt val="1"/>
        <c:crossBetween val="between"/>
        <c:majorUnit val="25000"/>
      </c:valAx>
      <c:spPr>
        <a:noFill/>
        <a:ln>
          <a:noFill/>
        </a:ln>
        <a:effectLst/>
      </c:spPr>
    </c:plotArea>
    <c:legend>
      <c:legendPos val="b"/>
      <c:layout>
        <c:manualLayout>
          <c:xMode val="edge"/>
          <c:yMode val="edge"/>
          <c:x val="9.7222222222222224E-2"/>
          <c:y val="0.80180413283690632"/>
          <c:w val="0.81481481481481477"/>
          <c:h val="0.16826371279861205"/>
        </c:manualLayout>
      </c:layout>
      <c:overlay val="0"/>
      <c:spPr>
        <a:noFill/>
        <a:ln>
          <a:noFill/>
        </a:ln>
        <a:effectLst/>
      </c:spPr>
      <c:txPr>
        <a:bodyPr rot="0" vert="horz"/>
        <a:lstStyle/>
        <a:p>
          <a:pPr>
            <a:defRPr sz="750">
              <a:latin typeface="+mn-lt"/>
            </a:defRPr>
          </a:pPr>
          <a:endParaRPr lang="sr-Latn-RS"/>
        </a:p>
      </c:txPr>
    </c:legend>
    <c:plotVisOnly val="1"/>
    <c:dispBlanksAs val="gap"/>
    <c:showDLblsOverMax val="0"/>
  </c:chart>
  <c:spPr>
    <a:noFill/>
    <a:ln w="9525" cap="flat" cmpd="sng" algn="ctr">
      <a:noFill/>
      <a:round/>
    </a:ln>
    <a:effectLst/>
  </c:spPr>
  <c:txPr>
    <a:bodyPr/>
    <a:lstStyle/>
    <a:p>
      <a:pPr>
        <a:defRPr sz="800">
          <a:solidFill>
            <a:schemeClr val="tx2"/>
          </a:solidFill>
          <a:latin typeface="Arial" panose="020B0604020202020204" pitchFamily="34" charset="0"/>
          <a:cs typeface="Arial" panose="020B0604020202020204" pitchFamily="34" charset="0"/>
        </a:defRPr>
      </a:pPr>
      <a:endParaRPr lang="sr-Latn-R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graf'!$CA$7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DB7-4A2D-AD01-E15B9C898C47}"/>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DB7-4A2D-AD01-E15B9C898C47}"/>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DB7-4A2D-AD01-E15B9C898C47}"/>
                </c:ext>
              </c:extLst>
            </c:dLbl>
            <c:dLbl>
              <c:idx val="36"/>
              <c:layout>
                <c:manualLayout>
                  <c:x val="3.1036127851004282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DB7-4A2D-AD01-E15B9C898C47}"/>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graf'!$CA$44:$CA$86</c:f>
              <c:numCache>
                <c:formatCode>General</c:formatCode>
                <c:ptCount val="43"/>
                <c:pt idx="0">
                  <c:v>70</c:v>
                </c:pt>
                <c:pt idx="12">
                  <c:v>70</c:v>
                </c:pt>
                <c:pt idx="24">
                  <c:v>70</c:v>
                </c:pt>
                <c:pt idx="36">
                  <c:v>70</c:v>
                </c:pt>
              </c:numCache>
            </c:numRef>
          </c:val>
          <c:smooth val="0"/>
          <c:extLst>
            <c:ext xmlns:c16="http://schemas.microsoft.com/office/drawing/2014/chart" uri="{C3380CC4-5D6E-409C-BE32-E72D297353CC}">
              <c16:uniqueId val="{00000004-7DB7-4A2D-AD01-E15B9C898C47}"/>
            </c:ext>
          </c:extLst>
        </c:ser>
        <c:ser>
          <c:idx val="4"/>
          <c:order val="1"/>
          <c:tx>
            <c:strRef>
              <c:f>'Prerađivačka_FS graf'!$CB$7</c:f>
              <c:strCache>
                <c:ptCount val="1"/>
                <c:pt idx="0">
                  <c:v>Series5</c:v>
                </c:pt>
              </c:strCache>
            </c:strRef>
          </c:tx>
          <c:spPr>
            <a:ln w="25400" cap="rnd">
              <a:noFill/>
              <a:round/>
            </a:ln>
            <a:effectLst/>
          </c:spPr>
          <c:marker>
            <c:symbol val="none"/>
          </c:marker>
          <c:dLbls>
            <c:dLbl>
              <c:idx val="0"/>
              <c:tx>
                <c:rich>
                  <a:bodyPr/>
                  <a:lstStyle/>
                  <a:p>
                    <a:fld id="{4949391B-8CFA-44E8-B1C4-C465115D3CB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7DB7-4A2D-AD01-E15B9C898C47}"/>
                </c:ext>
              </c:extLst>
            </c:dLbl>
            <c:dLbl>
              <c:idx val="1"/>
              <c:tx>
                <c:rich>
                  <a:bodyPr/>
                  <a:lstStyle/>
                  <a:p>
                    <a:fld id="{F9C691ED-DE1E-435D-86FE-BDDAA106629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7DB7-4A2D-AD01-E15B9C898C47}"/>
                </c:ext>
              </c:extLst>
            </c:dLbl>
            <c:dLbl>
              <c:idx val="2"/>
              <c:tx>
                <c:rich>
                  <a:bodyPr/>
                  <a:lstStyle/>
                  <a:p>
                    <a:fld id="{D4FB30E7-AAE9-44C3-B406-3614E6B36C5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7DB7-4A2D-AD01-E15B9C898C47}"/>
                </c:ext>
              </c:extLst>
            </c:dLbl>
            <c:dLbl>
              <c:idx val="3"/>
              <c:tx>
                <c:rich>
                  <a:bodyPr/>
                  <a:lstStyle/>
                  <a:p>
                    <a:fld id="{061967DC-052D-4912-A99D-F9CB24B517F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7DB7-4A2D-AD01-E15B9C898C47}"/>
                </c:ext>
              </c:extLst>
            </c:dLbl>
            <c:dLbl>
              <c:idx val="4"/>
              <c:tx>
                <c:rich>
                  <a:bodyPr/>
                  <a:lstStyle/>
                  <a:p>
                    <a:fld id="{3512FEB4-4414-433D-885C-8AAC5AE3259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7DB7-4A2D-AD01-E15B9C898C47}"/>
                </c:ext>
              </c:extLst>
            </c:dLbl>
            <c:dLbl>
              <c:idx val="5"/>
              <c:tx>
                <c:rich>
                  <a:bodyPr/>
                  <a:lstStyle/>
                  <a:p>
                    <a:fld id="{7D2DFB5E-E759-4535-B899-4E2BC93B359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7DB7-4A2D-AD01-E15B9C898C47}"/>
                </c:ext>
              </c:extLst>
            </c:dLbl>
            <c:dLbl>
              <c:idx val="6"/>
              <c:tx>
                <c:rich>
                  <a:bodyPr/>
                  <a:lstStyle/>
                  <a:p>
                    <a:fld id="{35FF9D48-86C2-44BF-8738-87D4B5278B7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7DB7-4A2D-AD01-E15B9C898C47}"/>
                </c:ext>
              </c:extLst>
            </c:dLbl>
            <c:dLbl>
              <c:idx val="7"/>
              <c:tx>
                <c:rich>
                  <a:bodyPr/>
                  <a:lstStyle/>
                  <a:p>
                    <a:fld id="{99273563-E0FE-41B0-8124-BF03BA34194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7DB7-4A2D-AD01-E15B9C898C47}"/>
                </c:ext>
              </c:extLst>
            </c:dLbl>
            <c:dLbl>
              <c:idx val="8"/>
              <c:tx>
                <c:rich>
                  <a:bodyPr/>
                  <a:lstStyle/>
                  <a:p>
                    <a:fld id="{375FAD26-B291-4F4A-A6C6-B46C3425D7A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7DB7-4A2D-AD01-E15B9C898C47}"/>
                </c:ext>
              </c:extLst>
            </c:dLbl>
            <c:dLbl>
              <c:idx val="9"/>
              <c:tx>
                <c:rich>
                  <a:bodyPr/>
                  <a:lstStyle/>
                  <a:p>
                    <a:fld id="{2F5035F7-E47B-4D2B-A422-6B7925F77A6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7DB7-4A2D-AD01-E15B9C898C47}"/>
                </c:ext>
              </c:extLst>
            </c:dLbl>
            <c:dLbl>
              <c:idx val="10"/>
              <c:tx>
                <c:rich>
                  <a:bodyPr/>
                  <a:lstStyle/>
                  <a:p>
                    <a:fld id="{72310DC2-16AB-4576-A596-378732277BA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7DB7-4A2D-AD01-E15B9C898C47}"/>
                </c:ext>
              </c:extLst>
            </c:dLbl>
            <c:dLbl>
              <c:idx val="11"/>
              <c:tx>
                <c:rich>
                  <a:bodyPr/>
                  <a:lstStyle/>
                  <a:p>
                    <a:fld id="{B3BDEF62-0185-40CA-8DA3-64E90930161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7DB7-4A2D-AD01-E15B9C898C47}"/>
                </c:ext>
              </c:extLst>
            </c:dLbl>
            <c:dLbl>
              <c:idx val="12"/>
              <c:tx>
                <c:rich>
                  <a:bodyPr/>
                  <a:lstStyle/>
                  <a:p>
                    <a:fld id="{130FC932-260B-495A-AAE2-993399AA21B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7DB7-4A2D-AD01-E15B9C898C47}"/>
                </c:ext>
              </c:extLst>
            </c:dLbl>
            <c:dLbl>
              <c:idx val="13"/>
              <c:tx>
                <c:rich>
                  <a:bodyPr/>
                  <a:lstStyle/>
                  <a:p>
                    <a:fld id="{87EEF54B-6FEB-4EE8-822B-07BD179D111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7DB7-4A2D-AD01-E15B9C898C47}"/>
                </c:ext>
              </c:extLst>
            </c:dLbl>
            <c:dLbl>
              <c:idx val="14"/>
              <c:tx>
                <c:rich>
                  <a:bodyPr/>
                  <a:lstStyle/>
                  <a:p>
                    <a:fld id="{F2A9F842-C653-4577-8568-06D4A4872B9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7DB7-4A2D-AD01-E15B9C898C47}"/>
                </c:ext>
              </c:extLst>
            </c:dLbl>
            <c:dLbl>
              <c:idx val="15"/>
              <c:tx>
                <c:rich>
                  <a:bodyPr/>
                  <a:lstStyle/>
                  <a:p>
                    <a:fld id="{2511F98F-7B7B-4B1A-AEF2-EAA6AA2A587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7DB7-4A2D-AD01-E15B9C898C47}"/>
                </c:ext>
              </c:extLst>
            </c:dLbl>
            <c:dLbl>
              <c:idx val="16"/>
              <c:tx>
                <c:rich>
                  <a:bodyPr/>
                  <a:lstStyle/>
                  <a:p>
                    <a:fld id="{F0A2D3D6-BFD4-4A15-917C-B75600D798F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7DB7-4A2D-AD01-E15B9C898C47}"/>
                </c:ext>
              </c:extLst>
            </c:dLbl>
            <c:dLbl>
              <c:idx val="17"/>
              <c:tx>
                <c:rich>
                  <a:bodyPr/>
                  <a:lstStyle/>
                  <a:p>
                    <a:fld id="{583E888E-8A08-4340-9E87-93532EB0CD9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7DB7-4A2D-AD01-E15B9C898C47}"/>
                </c:ext>
              </c:extLst>
            </c:dLbl>
            <c:dLbl>
              <c:idx val="18"/>
              <c:tx>
                <c:rich>
                  <a:bodyPr/>
                  <a:lstStyle/>
                  <a:p>
                    <a:fld id="{002C96C1-A375-4C98-886F-F72021F49C8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7DB7-4A2D-AD01-E15B9C898C47}"/>
                </c:ext>
              </c:extLst>
            </c:dLbl>
            <c:dLbl>
              <c:idx val="19"/>
              <c:tx>
                <c:rich>
                  <a:bodyPr/>
                  <a:lstStyle/>
                  <a:p>
                    <a:fld id="{96C41D19-3ABC-4848-A651-4D22BEF56F0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7DB7-4A2D-AD01-E15B9C898C47}"/>
                </c:ext>
              </c:extLst>
            </c:dLbl>
            <c:dLbl>
              <c:idx val="20"/>
              <c:tx>
                <c:rich>
                  <a:bodyPr/>
                  <a:lstStyle/>
                  <a:p>
                    <a:fld id="{341903BF-BC9C-411D-BC4C-9D1E5ADD697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7DB7-4A2D-AD01-E15B9C898C47}"/>
                </c:ext>
              </c:extLst>
            </c:dLbl>
            <c:dLbl>
              <c:idx val="21"/>
              <c:tx>
                <c:rich>
                  <a:bodyPr/>
                  <a:lstStyle/>
                  <a:p>
                    <a:fld id="{233E394A-767D-4D95-B8FC-0DC4331AD5B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7DB7-4A2D-AD01-E15B9C898C47}"/>
                </c:ext>
              </c:extLst>
            </c:dLbl>
            <c:dLbl>
              <c:idx val="22"/>
              <c:tx>
                <c:rich>
                  <a:bodyPr/>
                  <a:lstStyle/>
                  <a:p>
                    <a:fld id="{E26346E0-C359-46C0-B416-A19C2809736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7DB7-4A2D-AD01-E15B9C898C47}"/>
                </c:ext>
              </c:extLst>
            </c:dLbl>
            <c:dLbl>
              <c:idx val="23"/>
              <c:tx>
                <c:rich>
                  <a:bodyPr/>
                  <a:lstStyle/>
                  <a:p>
                    <a:fld id="{18300776-06A6-43ED-9B70-D0579D29E49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7DB7-4A2D-AD01-E15B9C898C47}"/>
                </c:ext>
              </c:extLst>
            </c:dLbl>
            <c:dLbl>
              <c:idx val="24"/>
              <c:tx>
                <c:rich>
                  <a:bodyPr/>
                  <a:lstStyle/>
                  <a:p>
                    <a:fld id="{4A8EA71F-8124-46EB-9DF0-18CB4A1A7FD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7DB7-4A2D-AD01-E15B9C898C47}"/>
                </c:ext>
              </c:extLst>
            </c:dLbl>
            <c:dLbl>
              <c:idx val="25"/>
              <c:tx>
                <c:rich>
                  <a:bodyPr/>
                  <a:lstStyle/>
                  <a:p>
                    <a:fld id="{0768287A-162D-4B7E-8CA0-7C54A236A9A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7DB7-4A2D-AD01-E15B9C898C47}"/>
                </c:ext>
              </c:extLst>
            </c:dLbl>
            <c:dLbl>
              <c:idx val="26"/>
              <c:tx>
                <c:rich>
                  <a:bodyPr/>
                  <a:lstStyle/>
                  <a:p>
                    <a:fld id="{59570C64-46B7-49B5-89EB-E4FC133700B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7DB7-4A2D-AD01-E15B9C898C47}"/>
                </c:ext>
              </c:extLst>
            </c:dLbl>
            <c:dLbl>
              <c:idx val="27"/>
              <c:tx>
                <c:rich>
                  <a:bodyPr/>
                  <a:lstStyle/>
                  <a:p>
                    <a:fld id="{05B8D29C-43EF-4C3A-A1D2-043A7C73473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7DB7-4A2D-AD01-E15B9C898C47}"/>
                </c:ext>
              </c:extLst>
            </c:dLbl>
            <c:dLbl>
              <c:idx val="28"/>
              <c:tx>
                <c:rich>
                  <a:bodyPr/>
                  <a:lstStyle/>
                  <a:p>
                    <a:fld id="{14AC6363-55CC-48FB-B737-75BC38E0AB8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7DB7-4A2D-AD01-E15B9C898C47}"/>
                </c:ext>
              </c:extLst>
            </c:dLbl>
            <c:dLbl>
              <c:idx val="29"/>
              <c:tx>
                <c:rich>
                  <a:bodyPr/>
                  <a:lstStyle/>
                  <a:p>
                    <a:fld id="{75E09B46-E49E-4AD7-988E-10A6313FA3D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7DB7-4A2D-AD01-E15B9C898C47}"/>
                </c:ext>
              </c:extLst>
            </c:dLbl>
            <c:dLbl>
              <c:idx val="30"/>
              <c:tx>
                <c:rich>
                  <a:bodyPr/>
                  <a:lstStyle/>
                  <a:p>
                    <a:fld id="{362CFE63-8B61-4EB1-812A-87C1DE13823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7DB7-4A2D-AD01-E15B9C898C47}"/>
                </c:ext>
              </c:extLst>
            </c:dLbl>
            <c:dLbl>
              <c:idx val="31"/>
              <c:tx>
                <c:rich>
                  <a:bodyPr/>
                  <a:lstStyle/>
                  <a:p>
                    <a:fld id="{470D7000-510C-4F11-990F-79F7F26CCFA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7DB7-4A2D-AD01-E15B9C898C47}"/>
                </c:ext>
              </c:extLst>
            </c:dLbl>
            <c:dLbl>
              <c:idx val="32"/>
              <c:tx>
                <c:rich>
                  <a:bodyPr/>
                  <a:lstStyle/>
                  <a:p>
                    <a:fld id="{F9C373ED-8F21-4ACE-A19C-E8B0DC4B482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7DB7-4A2D-AD01-E15B9C898C47}"/>
                </c:ext>
              </c:extLst>
            </c:dLbl>
            <c:dLbl>
              <c:idx val="33"/>
              <c:tx>
                <c:rich>
                  <a:bodyPr/>
                  <a:lstStyle/>
                  <a:p>
                    <a:fld id="{1B02B02D-DE37-4838-A865-E426B382E07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7DB7-4A2D-AD01-E15B9C898C47}"/>
                </c:ext>
              </c:extLst>
            </c:dLbl>
            <c:dLbl>
              <c:idx val="34"/>
              <c:tx>
                <c:rich>
                  <a:bodyPr/>
                  <a:lstStyle/>
                  <a:p>
                    <a:fld id="{C3C9097D-5CF2-40A1-AF6F-2D45F2C0ABC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7DB7-4A2D-AD01-E15B9C898C47}"/>
                </c:ext>
              </c:extLst>
            </c:dLbl>
            <c:dLbl>
              <c:idx val="35"/>
              <c:tx>
                <c:rich>
                  <a:bodyPr/>
                  <a:lstStyle/>
                  <a:p>
                    <a:fld id="{5B3E7D2F-AA16-4D01-920C-C0C5D25706C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7DB7-4A2D-AD01-E15B9C898C47}"/>
                </c:ext>
              </c:extLst>
            </c:dLbl>
            <c:dLbl>
              <c:idx val="36"/>
              <c:tx>
                <c:rich>
                  <a:bodyPr/>
                  <a:lstStyle/>
                  <a:p>
                    <a:fld id="{C1A29AC0-582C-4225-95E6-D856288F539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7DB7-4A2D-AD01-E15B9C898C47}"/>
                </c:ext>
              </c:extLst>
            </c:dLbl>
            <c:dLbl>
              <c:idx val="37"/>
              <c:tx>
                <c:rich>
                  <a:bodyPr/>
                  <a:lstStyle/>
                  <a:p>
                    <a:fld id="{7EFFAA41-3225-41FC-B318-B04C272B741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7DB7-4A2D-AD01-E15B9C898C47}"/>
                </c:ext>
              </c:extLst>
            </c:dLbl>
            <c:dLbl>
              <c:idx val="38"/>
              <c:tx>
                <c:rich>
                  <a:bodyPr/>
                  <a:lstStyle/>
                  <a:p>
                    <a:fld id="{34204D56-615E-4A2C-B11A-734DE8315A6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7DB7-4A2D-AD01-E15B9C898C47}"/>
                </c:ext>
              </c:extLst>
            </c:dLbl>
            <c:dLbl>
              <c:idx val="39"/>
              <c:tx>
                <c:rich>
                  <a:bodyPr/>
                  <a:lstStyle/>
                  <a:p>
                    <a:fld id="{3BDA367F-6861-4417-8B19-1D3E865B133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7DB7-4A2D-AD01-E15B9C898C47}"/>
                </c:ext>
              </c:extLst>
            </c:dLbl>
            <c:dLbl>
              <c:idx val="40"/>
              <c:tx>
                <c:rich>
                  <a:bodyPr/>
                  <a:lstStyle/>
                  <a:p>
                    <a:fld id="{221C8FD1-64FD-4644-BDC5-EE7E18C05B5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7DB7-4A2D-AD01-E15B9C898C47}"/>
                </c:ext>
              </c:extLst>
            </c:dLbl>
            <c:dLbl>
              <c:idx val="41"/>
              <c:tx>
                <c:rich>
                  <a:bodyPr/>
                  <a:lstStyle/>
                  <a:p>
                    <a:fld id="{91730C7F-F398-4664-B1E4-E9BE638D20B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7DB7-4A2D-AD01-E15B9C898C47}"/>
                </c:ext>
              </c:extLst>
            </c:dLbl>
            <c:dLbl>
              <c:idx val="42"/>
              <c:tx>
                <c:rich>
                  <a:bodyPr/>
                  <a:lstStyle/>
                  <a:p>
                    <a:fld id="{A6FADEC1-AEAA-41E3-80CE-EC32D838ACE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7DB7-4A2D-AD01-E15B9C898C47}"/>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graf'!$CB$44:$CB$86</c:f>
              <c:numCache>
                <c:formatCode>General</c:formatCode>
                <c:ptCount val="43"/>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pt idx="32">
                  <c:v>70</c:v>
                </c:pt>
                <c:pt idx="33">
                  <c:v>70</c:v>
                </c:pt>
                <c:pt idx="34">
                  <c:v>70</c:v>
                </c:pt>
                <c:pt idx="35">
                  <c:v>70</c:v>
                </c:pt>
                <c:pt idx="36">
                  <c:v>70</c:v>
                </c:pt>
                <c:pt idx="37">
                  <c:v>70</c:v>
                </c:pt>
                <c:pt idx="38">
                  <c:v>70</c:v>
                </c:pt>
                <c:pt idx="39">
                  <c:v>70</c:v>
                </c:pt>
                <c:pt idx="40">
                  <c:v>70</c:v>
                </c:pt>
                <c:pt idx="41">
                  <c:v>70</c:v>
                </c:pt>
                <c:pt idx="42">
                  <c:v>70</c:v>
                </c:pt>
              </c:numCache>
            </c:numRef>
          </c:val>
          <c:smooth val="0"/>
          <c:extLst>
            <c:ext xmlns:c15="http://schemas.microsoft.com/office/drawing/2012/chart" uri="{02D57815-91ED-43cb-92C2-25804820EDAC}">
              <c15:datalabelsRange>
                <c15:f>'Prerađivačka_FS graf'!$B$44:$B$86</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0-7DB7-4A2D-AD01-E15B9C898C47}"/>
            </c:ext>
          </c:extLst>
        </c:ser>
        <c:ser>
          <c:idx val="0"/>
          <c:order val="2"/>
          <c:tx>
            <c:strRef>
              <c:f>'Prerađivačka_FS graf'!$CC$7</c:f>
              <c:strCache>
                <c:ptCount val="1"/>
                <c:pt idx="0">
                  <c:v>y</c:v>
                </c:pt>
              </c:strCache>
            </c:strRef>
          </c:tx>
          <c:spPr>
            <a:ln w="12700" cap="rnd">
              <a:solidFill>
                <a:srgbClr val="92278F"/>
              </a:solidFill>
              <a:prstDash val="sysDash"/>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graf'!$CC$44:$CC$86</c:f>
              <c:numCache>
                <c:formatCode>0.0</c:formatCode>
                <c:ptCount val="43"/>
                <c:pt idx="0">
                  <c:v>121.2430341529267</c:v>
                </c:pt>
                <c:pt idx="1">
                  <c:v>117.3774714610621</c:v>
                </c:pt>
                <c:pt idx="2">
                  <c:v>125.3338654933991</c:v>
                </c:pt>
                <c:pt idx="3">
                  <c:v>93.473206264687803</c:v>
                </c:pt>
                <c:pt idx="4">
                  <c:v>88.373516125671401</c:v>
                </c:pt>
                <c:pt idx="5">
                  <c:v>91.546812881934301</c:v>
                </c:pt>
                <c:pt idx="6">
                  <c:v>95.9714068488137</c:v>
                </c:pt>
                <c:pt idx="7">
                  <c:v>102.82160169131051</c:v>
                </c:pt>
                <c:pt idx="8">
                  <c:v>96.983949710778205</c:v>
                </c:pt>
                <c:pt idx="9">
                  <c:v>114.0860480841114</c:v>
                </c:pt>
                <c:pt idx="10">
                  <c:v>113.97130133812129</c:v>
                </c:pt>
                <c:pt idx="11">
                  <c:v>122.09773686650431</c:v>
                </c:pt>
                <c:pt idx="12">
                  <c:v>135.8619466108307</c:v>
                </c:pt>
                <c:pt idx="13">
                  <c:v>129.53935064001951</c:v>
                </c:pt>
                <c:pt idx="14">
                  <c:v>131.61282494397119</c:v>
                </c:pt>
                <c:pt idx="15">
                  <c:v>109.93567654458801</c:v>
                </c:pt>
                <c:pt idx="16">
                  <c:v>95.4009758828375</c:v>
                </c:pt>
                <c:pt idx="17">
                  <c:v>88.646603256993004</c:v>
                </c:pt>
                <c:pt idx="18">
                  <c:v>97.511797600003405</c:v>
                </c:pt>
                <c:pt idx="19">
                  <c:v>96.438287610401304</c:v>
                </c:pt>
                <c:pt idx="20">
                  <c:v>90.071347923628906</c:v>
                </c:pt>
                <c:pt idx="21">
                  <c:v>102.110497814261</c:v>
                </c:pt>
                <c:pt idx="22">
                  <c:v>102.1937774759441</c:v>
                </c:pt>
                <c:pt idx="23">
                  <c:v>112.9613577919646</c:v>
                </c:pt>
                <c:pt idx="24">
                  <c:v>110.54314506287911</c:v>
                </c:pt>
                <c:pt idx="25">
                  <c:v>96.183839450160605</c:v>
                </c:pt>
                <c:pt idx="26">
                  <c:v>114.3519663549951</c:v>
                </c:pt>
                <c:pt idx="27">
                  <c:v>101.2878735692038</c:v>
                </c:pt>
                <c:pt idx="28">
                  <c:v>83.473213877854803</c:v>
                </c:pt>
                <c:pt idx="29">
                  <c:v>85.004436557231585</c:v>
                </c:pt>
                <c:pt idx="30">
                  <c:v>92.007104795737121</c:v>
                </c:pt>
                <c:pt idx="31">
                  <c:v>90.053030220675097</c:v>
                </c:pt>
                <c:pt idx="32">
                  <c:v>90.028055340594193</c:v>
                </c:pt>
                <c:pt idx="33">
                  <c:v>100.9517434510925</c:v>
                </c:pt>
                <c:pt idx="34">
                  <c:v>110.3914708249861</c:v>
                </c:pt>
                <c:pt idx="35">
                  <c:v>125.7501433915222</c:v>
                </c:pt>
                <c:pt idx="36">
                  <c:v>124.44408921608949</c:v>
                </c:pt>
                <c:pt idx="37">
                  <c:v>124.6961361256084</c:v>
                </c:pt>
                <c:pt idx="38">
                  <c:v>131.51579956964801</c:v>
                </c:pt>
                <c:pt idx="39">
                  <c:v>116.1174840054303</c:v>
                </c:pt>
                <c:pt idx="40">
                  <c:v>97.9</c:v>
                </c:pt>
                <c:pt idx="41">
                  <c:v>95.8</c:v>
                </c:pt>
                <c:pt idx="42">
                  <c:v>103.6</c:v>
                </c:pt>
              </c:numCache>
            </c:numRef>
          </c:val>
          <c:smooth val="0"/>
          <c:extLst>
            <c:ext xmlns:c16="http://schemas.microsoft.com/office/drawing/2014/chart" uri="{C3380CC4-5D6E-409C-BE32-E72D297353CC}">
              <c16:uniqueId val="{00000031-7DB7-4A2D-AD01-E15B9C898C47}"/>
            </c:ext>
          </c:extLst>
        </c:ser>
        <c:ser>
          <c:idx val="1"/>
          <c:order val="3"/>
          <c:tx>
            <c:strRef>
              <c:f>'Prerađivačka_FS graf'!$CD$7</c:f>
              <c:strCache>
                <c:ptCount val="1"/>
                <c:pt idx="0">
                  <c:v>sa</c:v>
                </c:pt>
              </c:strCache>
            </c:strRef>
          </c:tx>
          <c:spPr>
            <a:ln w="22225" cap="rnd">
              <a:solidFill>
                <a:srgbClr val="25AAE1"/>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graf'!$CD$44:$CD$86</c:f>
              <c:numCache>
                <c:formatCode>0.0</c:formatCode>
                <c:ptCount val="43"/>
                <c:pt idx="0">
                  <c:v>103.40371058581533</c:v>
                </c:pt>
                <c:pt idx="1">
                  <c:v>102.60983087716015</c:v>
                </c:pt>
                <c:pt idx="2">
                  <c:v>106.19228902276312</c:v>
                </c:pt>
                <c:pt idx="3">
                  <c:v>95.592592348577398</c:v>
                </c:pt>
                <c:pt idx="4">
                  <c:v>100.11550830695849</c:v>
                </c:pt>
                <c:pt idx="5">
                  <c:v>105.61690893390944</c:v>
                </c:pt>
                <c:pt idx="6">
                  <c:v>107.46832726590276</c:v>
                </c:pt>
                <c:pt idx="7">
                  <c:v>113.61809017569009</c:v>
                </c:pt>
                <c:pt idx="8">
                  <c:v>112.0913664627098</c:v>
                </c:pt>
                <c:pt idx="9">
                  <c:v>116.22612860946062</c:v>
                </c:pt>
                <c:pt idx="10">
                  <c:v>111.45492784740046</c:v>
                </c:pt>
                <c:pt idx="11">
                  <c:v>106.63921133916996</c:v>
                </c:pt>
                <c:pt idx="12">
                  <c:v>116.38937399474884</c:v>
                </c:pt>
                <c:pt idx="13">
                  <c:v>116.84309338960803</c:v>
                </c:pt>
                <c:pt idx="14">
                  <c:v>111.37234966360282</c:v>
                </c:pt>
                <c:pt idx="15">
                  <c:v>111.85960765835017</c:v>
                </c:pt>
                <c:pt idx="16">
                  <c:v>109.66249433637094</c:v>
                </c:pt>
                <c:pt idx="17">
                  <c:v>103.17852927237601</c:v>
                </c:pt>
                <c:pt idx="18">
                  <c:v>108.75051899145157</c:v>
                </c:pt>
                <c:pt idx="19">
                  <c:v>106.83962686943843</c:v>
                </c:pt>
                <c:pt idx="20">
                  <c:v>103.95535939770272</c:v>
                </c:pt>
                <c:pt idx="21">
                  <c:v>103.63357088964209</c:v>
                </c:pt>
                <c:pt idx="22">
                  <c:v>99.609531518942617</c:v>
                </c:pt>
                <c:pt idx="23">
                  <c:v>98.160221782865335</c:v>
                </c:pt>
                <c:pt idx="24">
                  <c:v>95.035810440396133</c:v>
                </c:pt>
                <c:pt idx="25">
                  <c:v>86.455941959173458</c:v>
                </c:pt>
                <c:pt idx="26">
                  <c:v>97.145003373683949</c:v>
                </c:pt>
                <c:pt idx="27">
                  <c:v>102.67226724587533</c:v>
                </c:pt>
                <c:pt idx="28">
                  <c:v>96.528708098949636</c:v>
                </c:pt>
                <c:pt idx="29">
                  <c:v>99.939183843866303</c:v>
                </c:pt>
                <c:pt idx="30">
                  <c:v>102.27755788619874</c:v>
                </c:pt>
                <c:pt idx="31">
                  <c:v>99.858585543273833</c:v>
                </c:pt>
                <c:pt idx="32">
                  <c:v>103.54286446695312</c:v>
                </c:pt>
                <c:pt idx="33">
                  <c:v>102.17884470570296</c:v>
                </c:pt>
                <c:pt idx="34">
                  <c:v>107.36149736877027</c:v>
                </c:pt>
                <c:pt idx="35">
                  <c:v>109.01492741570715</c:v>
                </c:pt>
                <c:pt idx="36">
                  <c:v>106.96702691050471</c:v>
                </c:pt>
                <c:pt idx="37">
                  <c:v>112.20783621749059</c:v>
                </c:pt>
                <c:pt idx="38">
                  <c:v>112.22781861957722</c:v>
                </c:pt>
                <c:pt idx="39">
                  <c:v>117.34375141917961</c:v>
                </c:pt>
                <c:pt idx="40">
                  <c:v>113.55378613998536</c:v>
                </c:pt>
                <c:pt idx="41">
                  <c:v>113.22990000947127</c:v>
                </c:pt>
                <c:pt idx="42">
                  <c:v>114.69656691614627</c:v>
                </c:pt>
              </c:numCache>
            </c:numRef>
          </c:val>
          <c:smooth val="0"/>
          <c:extLst>
            <c:ext xmlns:c16="http://schemas.microsoft.com/office/drawing/2014/chart" uri="{C3380CC4-5D6E-409C-BE32-E72D297353CC}">
              <c16:uniqueId val="{00000032-7DB7-4A2D-AD01-E15B9C898C47}"/>
            </c:ext>
          </c:extLst>
        </c:ser>
        <c:ser>
          <c:idx val="2"/>
          <c:order val="4"/>
          <c:tx>
            <c:strRef>
              <c:f>'Prerađivačka_FS graf'!$CE$7</c:f>
              <c:strCache>
                <c:ptCount val="1"/>
                <c:pt idx="0">
                  <c:v>t</c:v>
                </c:pt>
              </c:strCache>
            </c:strRef>
          </c:tx>
          <c:spPr>
            <a:ln w="25400" cap="rnd">
              <a:solidFill>
                <a:srgbClr val="FF0000"/>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graf'!$CE$44:$CE$86</c:f>
              <c:numCache>
                <c:formatCode>0.0</c:formatCode>
                <c:ptCount val="43"/>
                <c:pt idx="0">
                  <c:v>104.19023715532263</c:v>
                </c:pt>
                <c:pt idx="1">
                  <c:v>103.6214324171527</c:v>
                </c:pt>
                <c:pt idx="2">
                  <c:v>102.95693889910338</c:v>
                </c:pt>
                <c:pt idx="3">
                  <c:v>102.7483709049403</c:v>
                </c:pt>
                <c:pt idx="4">
                  <c:v>103.58215254810072</c:v>
                </c:pt>
                <c:pt idx="5">
                  <c:v>105.52353592664969</c:v>
                </c:pt>
                <c:pt idx="6">
                  <c:v>108.00930357981454</c:v>
                </c:pt>
                <c:pt idx="7">
                  <c:v>110.43234198750464</c:v>
                </c:pt>
                <c:pt idx="8">
                  <c:v>112.51708072481283</c:v>
                </c:pt>
                <c:pt idx="9">
                  <c:v>113.96770550462541</c:v>
                </c:pt>
                <c:pt idx="10">
                  <c:v>114.69183721150436</c:v>
                </c:pt>
                <c:pt idx="11">
                  <c:v>114.97233174823208</c:v>
                </c:pt>
                <c:pt idx="12">
                  <c:v>114.82759932555899</c:v>
                </c:pt>
                <c:pt idx="13">
                  <c:v>114.17479705011483</c:v>
                </c:pt>
                <c:pt idx="14">
                  <c:v>113.08064302825373</c:v>
                </c:pt>
                <c:pt idx="15">
                  <c:v>111.59710113134072</c:v>
                </c:pt>
                <c:pt idx="16">
                  <c:v>110.02725956059024</c:v>
                </c:pt>
                <c:pt idx="17">
                  <c:v>108.53942801174833</c:v>
                </c:pt>
                <c:pt idx="18">
                  <c:v>107.29698775300946</c:v>
                </c:pt>
                <c:pt idx="19">
                  <c:v>106.02039843675369</c:v>
                </c:pt>
                <c:pt idx="20">
                  <c:v>104.3521407722898</c:v>
                </c:pt>
                <c:pt idx="21">
                  <c:v>102.2616848821562</c:v>
                </c:pt>
                <c:pt idx="22">
                  <c:v>100.07605991044979</c:v>
                </c:pt>
                <c:pt idx="23">
                  <c:v>98.064343908801632</c:v>
                </c:pt>
                <c:pt idx="24">
                  <c:v>96.57109209588468</c:v>
                </c:pt>
                <c:pt idx="25">
                  <c:v>95.923808584920593</c:v>
                </c:pt>
                <c:pt idx="26">
                  <c:v>96.044687427174182</c:v>
                </c:pt>
                <c:pt idx="27">
                  <c:v>96.831218811193139</c:v>
                </c:pt>
                <c:pt idx="28">
                  <c:v>97.948009869532214</c:v>
                </c:pt>
                <c:pt idx="29">
                  <c:v>99.092992800462994</c:v>
                </c:pt>
                <c:pt idx="30">
                  <c:v>100.29416904491508</c:v>
                </c:pt>
                <c:pt idx="31">
                  <c:v>101.51977119184004</c:v>
                </c:pt>
                <c:pt idx="32">
                  <c:v>102.85852479616842</c:v>
                </c:pt>
                <c:pt idx="33">
                  <c:v>104.25344167527192</c:v>
                </c:pt>
                <c:pt idx="34">
                  <c:v>105.82870670357512</c:v>
                </c:pt>
                <c:pt idx="35">
                  <c:v>107.6921076547404</c:v>
                </c:pt>
                <c:pt idx="36">
                  <c:v>109.69334440293827</c:v>
                </c:pt>
                <c:pt idx="37">
                  <c:v>111.50679941044629</c:v>
                </c:pt>
                <c:pt idx="38">
                  <c:v>112.8645363628028</c:v>
                </c:pt>
                <c:pt idx="39">
                  <c:v>113.75867497386821</c:v>
                </c:pt>
                <c:pt idx="40">
                  <c:v>114.25348232178305</c:v>
                </c:pt>
                <c:pt idx="41">
                  <c:v>114.66711566104618</c:v>
                </c:pt>
                <c:pt idx="42">
                  <c:v>115.11945432375786</c:v>
                </c:pt>
              </c:numCache>
            </c:numRef>
          </c:val>
          <c:smooth val="0"/>
          <c:extLst>
            <c:ext xmlns:c16="http://schemas.microsoft.com/office/drawing/2014/chart" uri="{C3380CC4-5D6E-409C-BE32-E72D297353CC}">
              <c16:uniqueId val="{00000033-7DB7-4A2D-AD01-E15B9C898C47}"/>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40"/>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graf'!$BV$7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A88-4CE0-809F-7491D5F304AF}"/>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A88-4CE0-809F-7491D5F304AF}"/>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A88-4CE0-809F-7491D5F304AF}"/>
                </c:ext>
              </c:extLst>
            </c:dLbl>
            <c:dLbl>
              <c:idx val="36"/>
              <c:layout>
                <c:manualLayout>
                  <c:x val="3.1036127851004282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A88-4CE0-809F-7491D5F304AF}"/>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graf'!$BV$44:$BV$86</c:f>
              <c:numCache>
                <c:formatCode>General</c:formatCode>
                <c:ptCount val="43"/>
                <c:pt idx="0">
                  <c:v>40</c:v>
                </c:pt>
                <c:pt idx="12">
                  <c:v>40</c:v>
                </c:pt>
                <c:pt idx="24">
                  <c:v>40</c:v>
                </c:pt>
                <c:pt idx="36">
                  <c:v>40</c:v>
                </c:pt>
              </c:numCache>
            </c:numRef>
          </c:val>
          <c:smooth val="0"/>
          <c:extLst>
            <c:ext xmlns:c16="http://schemas.microsoft.com/office/drawing/2014/chart" uri="{C3380CC4-5D6E-409C-BE32-E72D297353CC}">
              <c16:uniqueId val="{00000004-2A88-4CE0-809F-7491D5F304AF}"/>
            </c:ext>
          </c:extLst>
        </c:ser>
        <c:ser>
          <c:idx val="4"/>
          <c:order val="1"/>
          <c:tx>
            <c:strRef>
              <c:f>'Prerađivačka_FS graf'!$BW$7</c:f>
              <c:strCache>
                <c:ptCount val="1"/>
                <c:pt idx="0">
                  <c:v>Series5</c:v>
                </c:pt>
              </c:strCache>
            </c:strRef>
          </c:tx>
          <c:spPr>
            <a:ln w="25400" cap="rnd">
              <a:noFill/>
              <a:round/>
            </a:ln>
            <a:effectLst/>
          </c:spPr>
          <c:marker>
            <c:symbol val="none"/>
          </c:marker>
          <c:dLbls>
            <c:dLbl>
              <c:idx val="0"/>
              <c:tx>
                <c:rich>
                  <a:bodyPr/>
                  <a:lstStyle/>
                  <a:p>
                    <a:fld id="{0F2B88F6-4438-4C45-9689-CC4218B7041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2A88-4CE0-809F-7491D5F304AF}"/>
                </c:ext>
              </c:extLst>
            </c:dLbl>
            <c:dLbl>
              <c:idx val="1"/>
              <c:tx>
                <c:rich>
                  <a:bodyPr/>
                  <a:lstStyle/>
                  <a:p>
                    <a:fld id="{A9C2CED1-6250-441C-846A-2372D8DC932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2A88-4CE0-809F-7491D5F304AF}"/>
                </c:ext>
              </c:extLst>
            </c:dLbl>
            <c:dLbl>
              <c:idx val="2"/>
              <c:tx>
                <c:rich>
                  <a:bodyPr/>
                  <a:lstStyle/>
                  <a:p>
                    <a:fld id="{CD10C75B-BB86-4E35-9F89-59DE8564E41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2A88-4CE0-809F-7491D5F304AF}"/>
                </c:ext>
              </c:extLst>
            </c:dLbl>
            <c:dLbl>
              <c:idx val="3"/>
              <c:tx>
                <c:rich>
                  <a:bodyPr/>
                  <a:lstStyle/>
                  <a:p>
                    <a:fld id="{A7A6FE24-80E9-433D-ABC7-9240C5E63CE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2A88-4CE0-809F-7491D5F304AF}"/>
                </c:ext>
              </c:extLst>
            </c:dLbl>
            <c:dLbl>
              <c:idx val="4"/>
              <c:tx>
                <c:rich>
                  <a:bodyPr/>
                  <a:lstStyle/>
                  <a:p>
                    <a:fld id="{7B649E53-88E8-4F1D-BB78-781F0351F11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2A88-4CE0-809F-7491D5F304AF}"/>
                </c:ext>
              </c:extLst>
            </c:dLbl>
            <c:dLbl>
              <c:idx val="5"/>
              <c:tx>
                <c:rich>
                  <a:bodyPr/>
                  <a:lstStyle/>
                  <a:p>
                    <a:fld id="{C997F22D-0D4E-4AEB-AC89-ABF8B5F917F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2A88-4CE0-809F-7491D5F304AF}"/>
                </c:ext>
              </c:extLst>
            </c:dLbl>
            <c:dLbl>
              <c:idx val="6"/>
              <c:tx>
                <c:rich>
                  <a:bodyPr/>
                  <a:lstStyle/>
                  <a:p>
                    <a:fld id="{38C8A819-C9C8-4999-9C3E-0B729F72A9F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2A88-4CE0-809F-7491D5F304AF}"/>
                </c:ext>
              </c:extLst>
            </c:dLbl>
            <c:dLbl>
              <c:idx val="7"/>
              <c:tx>
                <c:rich>
                  <a:bodyPr/>
                  <a:lstStyle/>
                  <a:p>
                    <a:fld id="{2E153213-1025-4EE6-BD00-C75FD21396E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2A88-4CE0-809F-7491D5F304AF}"/>
                </c:ext>
              </c:extLst>
            </c:dLbl>
            <c:dLbl>
              <c:idx val="8"/>
              <c:tx>
                <c:rich>
                  <a:bodyPr/>
                  <a:lstStyle/>
                  <a:p>
                    <a:fld id="{7B80F73D-D47B-4E3D-913E-C321448968F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2A88-4CE0-809F-7491D5F304AF}"/>
                </c:ext>
              </c:extLst>
            </c:dLbl>
            <c:dLbl>
              <c:idx val="9"/>
              <c:tx>
                <c:rich>
                  <a:bodyPr/>
                  <a:lstStyle/>
                  <a:p>
                    <a:fld id="{42B71937-7107-424E-8A3E-763363F710C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2A88-4CE0-809F-7491D5F304AF}"/>
                </c:ext>
              </c:extLst>
            </c:dLbl>
            <c:dLbl>
              <c:idx val="10"/>
              <c:tx>
                <c:rich>
                  <a:bodyPr/>
                  <a:lstStyle/>
                  <a:p>
                    <a:fld id="{7F71377A-9291-40CF-870B-B74D538212C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2A88-4CE0-809F-7491D5F304AF}"/>
                </c:ext>
              </c:extLst>
            </c:dLbl>
            <c:dLbl>
              <c:idx val="11"/>
              <c:tx>
                <c:rich>
                  <a:bodyPr/>
                  <a:lstStyle/>
                  <a:p>
                    <a:fld id="{90B67277-9A39-4A39-8B79-D5F237F2800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2A88-4CE0-809F-7491D5F304AF}"/>
                </c:ext>
              </c:extLst>
            </c:dLbl>
            <c:dLbl>
              <c:idx val="12"/>
              <c:tx>
                <c:rich>
                  <a:bodyPr/>
                  <a:lstStyle/>
                  <a:p>
                    <a:fld id="{E20D5CA9-342E-44D4-853D-79F2520D45F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2A88-4CE0-809F-7491D5F304AF}"/>
                </c:ext>
              </c:extLst>
            </c:dLbl>
            <c:dLbl>
              <c:idx val="13"/>
              <c:tx>
                <c:rich>
                  <a:bodyPr/>
                  <a:lstStyle/>
                  <a:p>
                    <a:fld id="{7309A8F4-9204-4CF3-AA7D-C60DD261E48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2A88-4CE0-809F-7491D5F304AF}"/>
                </c:ext>
              </c:extLst>
            </c:dLbl>
            <c:dLbl>
              <c:idx val="14"/>
              <c:tx>
                <c:rich>
                  <a:bodyPr/>
                  <a:lstStyle/>
                  <a:p>
                    <a:fld id="{C1D8B1DC-3C45-4D5C-9B98-4CF9F375005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2A88-4CE0-809F-7491D5F304AF}"/>
                </c:ext>
              </c:extLst>
            </c:dLbl>
            <c:dLbl>
              <c:idx val="15"/>
              <c:tx>
                <c:rich>
                  <a:bodyPr/>
                  <a:lstStyle/>
                  <a:p>
                    <a:fld id="{C8A39A60-45E4-45E2-809E-54706509D1A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2A88-4CE0-809F-7491D5F304AF}"/>
                </c:ext>
              </c:extLst>
            </c:dLbl>
            <c:dLbl>
              <c:idx val="16"/>
              <c:tx>
                <c:rich>
                  <a:bodyPr/>
                  <a:lstStyle/>
                  <a:p>
                    <a:fld id="{6DB756A7-4648-4967-B03A-70827F940C0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2A88-4CE0-809F-7491D5F304AF}"/>
                </c:ext>
              </c:extLst>
            </c:dLbl>
            <c:dLbl>
              <c:idx val="17"/>
              <c:tx>
                <c:rich>
                  <a:bodyPr/>
                  <a:lstStyle/>
                  <a:p>
                    <a:fld id="{452E8FE9-B730-4809-9EF9-5F5FD3B9423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2A88-4CE0-809F-7491D5F304AF}"/>
                </c:ext>
              </c:extLst>
            </c:dLbl>
            <c:dLbl>
              <c:idx val="18"/>
              <c:tx>
                <c:rich>
                  <a:bodyPr/>
                  <a:lstStyle/>
                  <a:p>
                    <a:fld id="{CF33BE51-B9A7-4D0D-B668-4A5BE8F5DBA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2A88-4CE0-809F-7491D5F304AF}"/>
                </c:ext>
              </c:extLst>
            </c:dLbl>
            <c:dLbl>
              <c:idx val="19"/>
              <c:tx>
                <c:rich>
                  <a:bodyPr/>
                  <a:lstStyle/>
                  <a:p>
                    <a:fld id="{B39A8A7B-7DB9-46FC-80EA-10E54CB4AEE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2A88-4CE0-809F-7491D5F304AF}"/>
                </c:ext>
              </c:extLst>
            </c:dLbl>
            <c:dLbl>
              <c:idx val="20"/>
              <c:tx>
                <c:rich>
                  <a:bodyPr/>
                  <a:lstStyle/>
                  <a:p>
                    <a:fld id="{8C5BE354-86BB-4DCE-A3BF-37CBC190EFC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2A88-4CE0-809F-7491D5F304AF}"/>
                </c:ext>
              </c:extLst>
            </c:dLbl>
            <c:dLbl>
              <c:idx val="21"/>
              <c:tx>
                <c:rich>
                  <a:bodyPr/>
                  <a:lstStyle/>
                  <a:p>
                    <a:fld id="{1259F262-FE5C-4C3F-B541-A9AD6F4C5F7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2A88-4CE0-809F-7491D5F304AF}"/>
                </c:ext>
              </c:extLst>
            </c:dLbl>
            <c:dLbl>
              <c:idx val="22"/>
              <c:tx>
                <c:rich>
                  <a:bodyPr/>
                  <a:lstStyle/>
                  <a:p>
                    <a:fld id="{2938D9DF-540E-4775-9D6F-C52A4171CB0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2A88-4CE0-809F-7491D5F304AF}"/>
                </c:ext>
              </c:extLst>
            </c:dLbl>
            <c:dLbl>
              <c:idx val="23"/>
              <c:tx>
                <c:rich>
                  <a:bodyPr/>
                  <a:lstStyle/>
                  <a:p>
                    <a:fld id="{0700EBFE-FC37-4990-88FD-10742B5EDC7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2A88-4CE0-809F-7491D5F304AF}"/>
                </c:ext>
              </c:extLst>
            </c:dLbl>
            <c:dLbl>
              <c:idx val="24"/>
              <c:tx>
                <c:rich>
                  <a:bodyPr/>
                  <a:lstStyle/>
                  <a:p>
                    <a:fld id="{02AE3009-C0FD-42DD-A7B6-1109DD39FC8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2A88-4CE0-809F-7491D5F304AF}"/>
                </c:ext>
              </c:extLst>
            </c:dLbl>
            <c:dLbl>
              <c:idx val="25"/>
              <c:tx>
                <c:rich>
                  <a:bodyPr/>
                  <a:lstStyle/>
                  <a:p>
                    <a:fld id="{E51C1592-ADA3-4BC6-9C25-1E459C7B67B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2A88-4CE0-809F-7491D5F304AF}"/>
                </c:ext>
              </c:extLst>
            </c:dLbl>
            <c:dLbl>
              <c:idx val="26"/>
              <c:tx>
                <c:rich>
                  <a:bodyPr/>
                  <a:lstStyle/>
                  <a:p>
                    <a:fld id="{A0A42B61-DBD8-41FB-BE23-173A89F2592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2A88-4CE0-809F-7491D5F304AF}"/>
                </c:ext>
              </c:extLst>
            </c:dLbl>
            <c:dLbl>
              <c:idx val="27"/>
              <c:tx>
                <c:rich>
                  <a:bodyPr/>
                  <a:lstStyle/>
                  <a:p>
                    <a:fld id="{9901D3B0-45F2-4C91-81A9-3BE3A61DF3A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2A88-4CE0-809F-7491D5F304AF}"/>
                </c:ext>
              </c:extLst>
            </c:dLbl>
            <c:dLbl>
              <c:idx val="28"/>
              <c:tx>
                <c:rich>
                  <a:bodyPr/>
                  <a:lstStyle/>
                  <a:p>
                    <a:fld id="{23465422-7701-4F9A-8039-819B0BB3DAA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2A88-4CE0-809F-7491D5F304AF}"/>
                </c:ext>
              </c:extLst>
            </c:dLbl>
            <c:dLbl>
              <c:idx val="29"/>
              <c:tx>
                <c:rich>
                  <a:bodyPr/>
                  <a:lstStyle/>
                  <a:p>
                    <a:fld id="{C46DB64C-2B3A-4F29-A9EE-7B5390147F2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2A88-4CE0-809F-7491D5F304AF}"/>
                </c:ext>
              </c:extLst>
            </c:dLbl>
            <c:dLbl>
              <c:idx val="30"/>
              <c:tx>
                <c:rich>
                  <a:bodyPr/>
                  <a:lstStyle/>
                  <a:p>
                    <a:fld id="{A956C3B2-6E5B-44E2-B7FF-E1DD87C9D23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2A88-4CE0-809F-7491D5F304AF}"/>
                </c:ext>
              </c:extLst>
            </c:dLbl>
            <c:dLbl>
              <c:idx val="31"/>
              <c:tx>
                <c:rich>
                  <a:bodyPr/>
                  <a:lstStyle/>
                  <a:p>
                    <a:fld id="{27CD6064-33E6-4395-B31D-A7E13DE08D3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2A88-4CE0-809F-7491D5F304AF}"/>
                </c:ext>
              </c:extLst>
            </c:dLbl>
            <c:dLbl>
              <c:idx val="32"/>
              <c:tx>
                <c:rich>
                  <a:bodyPr/>
                  <a:lstStyle/>
                  <a:p>
                    <a:fld id="{C27CF408-842B-4A8B-A090-5590F284698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2A88-4CE0-809F-7491D5F304AF}"/>
                </c:ext>
              </c:extLst>
            </c:dLbl>
            <c:dLbl>
              <c:idx val="33"/>
              <c:tx>
                <c:rich>
                  <a:bodyPr/>
                  <a:lstStyle/>
                  <a:p>
                    <a:fld id="{AD103351-6CCF-449C-B6EC-7D32A489701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2A88-4CE0-809F-7491D5F304AF}"/>
                </c:ext>
              </c:extLst>
            </c:dLbl>
            <c:dLbl>
              <c:idx val="34"/>
              <c:tx>
                <c:rich>
                  <a:bodyPr/>
                  <a:lstStyle/>
                  <a:p>
                    <a:fld id="{40398102-4264-4D7C-B886-C1DFDC6EAA6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2A88-4CE0-809F-7491D5F304AF}"/>
                </c:ext>
              </c:extLst>
            </c:dLbl>
            <c:dLbl>
              <c:idx val="35"/>
              <c:tx>
                <c:rich>
                  <a:bodyPr/>
                  <a:lstStyle/>
                  <a:p>
                    <a:fld id="{C803A633-FE78-4D87-B898-29124D69D3C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2A88-4CE0-809F-7491D5F304AF}"/>
                </c:ext>
              </c:extLst>
            </c:dLbl>
            <c:dLbl>
              <c:idx val="36"/>
              <c:tx>
                <c:rich>
                  <a:bodyPr/>
                  <a:lstStyle/>
                  <a:p>
                    <a:fld id="{889540D9-2333-43A9-840B-26FD0B210F9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2A88-4CE0-809F-7491D5F304AF}"/>
                </c:ext>
              </c:extLst>
            </c:dLbl>
            <c:dLbl>
              <c:idx val="37"/>
              <c:tx>
                <c:rich>
                  <a:bodyPr/>
                  <a:lstStyle/>
                  <a:p>
                    <a:fld id="{C912E5EA-68F4-4AF7-8112-5BCB2204FF7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2A88-4CE0-809F-7491D5F304AF}"/>
                </c:ext>
              </c:extLst>
            </c:dLbl>
            <c:dLbl>
              <c:idx val="38"/>
              <c:tx>
                <c:rich>
                  <a:bodyPr/>
                  <a:lstStyle/>
                  <a:p>
                    <a:fld id="{8D44D4B1-24FC-429A-8F96-F4DA5B2EC9F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2A88-4CE0-809F-7491D5F304AF}"/>
                </c:ext>
              </c:extLst>
            </c:dLbl>
            <c:dLbl>
              <c:idx val="39"/>
              <c:tx>
                <c:rich>
                  <a:bodyPr/>
                  <a:lstStyle/>
                  <a:p>
                    <a:fld id="{53BA5ECC-0087-46D8-AB10-38FAEEE971E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2A88-4CE0-809F-7491D5F304AF}"/>
                </c:ext>
              </c:extLst>
            </c:dLbl>
            <c:dLbl>
              <c:idx val="40"/>
              <c:tx>
                <c:rich>
                  <a:bodyPr/>
                  <a:lstStyle/>
                  <a:p>
                    <a:fld id="{8E396557-E37E-4862-A180-ADFE537F9BC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2A88-4CE0-809F-7491D5F304AF}"/>
                </c:ext>
              </c:extLst>
            </c:dLbl>
            <c:dLbl>
              <c:idx val="41"/>
              <c:tx>
                <c:rich>
                  <a:bodyPr/>
                  <a:lstStyle/>
                  <a:p>
                    <a:fld id="{BFD7099D-E2E9-4A3D-B515-4207ADC9DBD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2A88-4CE0-809F-7491D5F304AF}"/>
                </c:ext>
              </c:extLst>
            </c:dLbl>
            <c:dLbl>
              <c:idx val="42"/>
              <c:tx>
                <c:rich>
                  <a:bodyPr/>
                  <a:lstStyle/>
                  <a:p>
                    <a:fld id="{723063D8-44FB-44AE-9F4B-89FD9C4788D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2A88-4CE0-809F-7491D5F304AF}"/>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graf'!$BW$44:$BW$86</c:f>
              <c:numCache>
                <c:formatCode>General</c:formatCode>
                <c:ptCount val="43"/>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pt idx="40">
                  <c:v>40</c:v>
                </c:pt>
                <c:pt idx="41">
                  <c:v>40</c:v>
                </c:pt>
                <c:pt idx="42">
                  <c:v>40</c:v>
                </c:pt>
              </c:numCache>
            </c:numRef>
          </c:val>
          <c:smooth val="0"/>
          <c:extLst>
            <c:ext xmlns:c15="http://schemas.microsoft.com/office/drawing/2012/chart" uri="{02D57815-91ED-43cb-92C2-25804820EDAC}">
              <c15:datalabelsRange>
                <c15:f>'Prerađivačka_FS graf'!$B$44:$B$86</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0-2A88-4CE0-809F-7491D5F304AF}"/>
            </c:ext>
          </c:extLst>
        </c:ser>
        <c:ser>
          <c:idx val="0"/>
          <c:order val="2"/>
          <c:tx>
            <c:strRef>
              <c:f>'Prerađivačka_FS graf'!$BX$7</c:f>
              <c:strCache>
                <c:ptCount val="1"/>
                <c:pt idx="0">
                  <c:v>y</c:v>
                </c:pt>
              </c:strCache>
            </c:strRef>
          </c:tx>
          <c:spPr>
            <a:ln w="12700" cap="rnd">
              <a:solidFill>
                <a:srgbClr val="92278F"/>
              </a:solidFill>
              <a:prstDash val="sysDash"/>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graf'!$BX$44:$BX$86</c:f>
              <c:numCache>
                <c:formatCode>0.0</c:formatCode>
                <c:ptCount val="43"/>
                <c:pt idx="0">
                  <c:v>64.214657240536397</c:v>
                </c:pt>
                <c:pt idx="1">
                  <c:v>64.278353791003198</c:v>
                </c:pt>
                <c:pt idx="2">
                  <c:v>66.459973816067603</c:v>
                </c:pt>
                <c:pt idx="3">
                  <c:v>62.862087737904098</c:v>
                </c:pt>
                <c:pt idx="4">
                  <c:v>54.1047489984023</c:v>
                </c:pt>
                <c:pt idx="5">
                  <c:v>55.495643468280299</c:v>
                </c:pt>
                <c:pt idx="6">
                  <c:v>61.014953604857801</c:v>
                </c:pt>
                <c:pt idx="7">
                  <c:v>66.846500049310393</c:v>
                </c:pt>
                <c:pt idx="8">
                  <c:v>65.747703497496602</c:v>
                </c:pt>
                <c:pt idx="9">
                  <c:v>69.264222262148493</c:v>
                </c:pt>
                <c:pt idx="10">
                  <c:v>68.970930237618404</c:v>
                </c:pt>
                <c:pt idx="11">
                  <c:v>68.225924470765705</c:v>
                </c:pt>
                <c:pt idx="12">
                  <c:v>67.589580479913195</c:v>
                </c:pt>
                <c:pt idx="13">
                  <c:v>65.413997734465596</c:v>
                </c:pt>
                <c:pt idx="14">
                  <c:v>73.593734459926793</c:v>
                </c:pt>
                <c:pt idx="15">
                  <c:v>67.919249938891099</c:v>
                </c:pt>
                <c:pt idx="16">
                  <c:v>64.694810497433707</c:v>
                </c:pt>
                <c:pt idx="17">
                  <c:v>82.081158348856206</c:v>
                </c:pt>
                <c:pt idx="18">
                  <c:v>80.460916410238994</c:v>
                </c:pt>
                <c:pt idx="19">
                  <c:v>91.8824162909591</c:v>
                </c:pt>
                <c:pt idx="20">
                  <c:v>97.403205638593406</c:v>
                </c:pt>
                <c:pt idx="21">
                  <c:v>95.308647471075204</c:v>
                </c:pt>
                <c:pt idx="22">
                  <c:v>99.574475222447603</c:v>
                </c:pt>
                <c:pt idx="23">
                  <c:v>93.310419086709302</c:v>
                </c:pt>
                <c:pt idx="24">
                  <c:v>89.022633642460704</c:v>
                </c:pt>
                <c:pt idx="25">
                  <c:v>94.142031663294603</c:v>
                </c:pt>
                <c:pt idx="26">
                  <c:v>105.7428176190618</c:v>
                </c:pt>
                <c:pt idx="27">
                  <c:v>101.3808231604975</c:v>
                </c:pt>
                <c:pt idx="28">
                  <c:v>82.763295976075398</c:v>
                </c:pt>
                <c:pt idx="29">
                  <c:v>98.383371824480378</c:v>
                </c:pt>
                <c:pt idx="30">
                  <c:v>99.195979899497488</c:v>
                </c:pt>
                <c:pt idx="31">
                  <c:v>96.572577114566002</c:v>
                </c:pt>
                <c:pt idx="32">
                  <c:v>98.194059455545201</c:v>
                </c:pt>
                <c:pt idx="33">
                  <c:v>113.2020155924599</c:v>
                </c:pt>
                <c:pt idx="34">
                  <c:v>103.4222438359384</c:v>
                </c:pt>
                <c:pt idx="35">
                  <c:v>117.9860617339104</c:v>
                </c:pt>
                <c:pt idx="36">
                  <c:v>103.52916999999999</c:v>
                </c:pt>
                <c:pt idx="37">
                  <c:v>93.161159999999995</c:v>
                </c:pt>
                <c:pt idx="38">
                  <c:v>105.06573</c:v>
                </c:pt>
                <c:pt idx="39">
                  <c:v>101.24303999999999</c:v>
                </c:pt>
                <c:pt idx="40">
                  <c:v>80.099999999999994</c:v>
                </c:pt>
                <c:pt idx="41">
                  <c:v>85.3</c:v>
                </c:pt>
                <c:pt idx="42">
                  <c:v>98.7</c:v>
                </c:pt>
              </c:numCache>
            </c:numRef>
          </c:val>
          <c:smooth val="0"/>
          <c:extLst>
            <c:ext xmlns:c16="http://schemas.microsoft.com/office/drawing/2014/chart" uri="{C3380CC4-5D6E-409C-BE32-E72D297353CC}">
              <c16:uniqueId val="{00000031-2A88-4CE0-809F-7491D5F304AF}"/>
            </c:ext>
          </c:extLst>
        </c:ser>
        <c:ser>
          <c:idx val="1"/>
          <c:order val="3"/>
          <c:tx>
            <c:strRef>
              <c:f>'Prerađivačka_FS graf'!$BY$7</c:f>
              <c:strCache>
                <c:ptCount val="1"/>
                <c:pt idx="0">
                  <c:v>sa</c:v>
                </c:pt>
              </c:strCache>
            </c:strRef>
          </c:tx>
          <c:spPr>
            <a:ln w="22225" cap="rnd">
              <a:solidFill>
                <a:srgbClr val="25AAE1"/>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graf'!$BY$44:$BY$86</c:f>
              <c:numCache>
                <c:formatCode>0.0</c:formatCode>
                <c:ptCount val="43"/>
                <c:pt idx="0">
                  <c:v>65.660963920739263</c:v>
                </c:pt>
                <c:pt idx="1">
                  <c:v>65.686495801175269</c:v>
                </c:pt>
                <c:pt idx="2">
                  <c:v>62.951913191774921</c:v>
                </c:pt>
                <c:pt idx="3">
                  <c:v>63.340790416320765</c:v>
                </c:pt>
                <c:pt idx="4">
                  <c:v>61.536959572035443</c:v>
                </c:pt>
                <c:pt idx="5">
                  <c:v>61.957911042045779</c:v>
                </c:pt>
                <c:pt idx="6">
                  <c:v>62.129050732488025</c:v>
                </c:pt>
                <c:pt idx="7">
                  <c:v>64.343382368741715</c:v>
                </c:pt>
                <c:pt idx="8">
                  <c:v>63.00985987024567</c:v>
                </c:pt>
                <c:pt idx="9">
                  <c:v>64.131411681856378</c:v>
                </c:pt>
                <c:pt idx="10">
                  <c:v>65.755626337132938</c:v>
                </c:pt>
                <c:pt idx="11">
                  <c:v>65.644894923541912</c:v>
                </c:pt>
                <c:pt idx="12">
                  <c:v>68.588327427023131</c:v>
                </c:pt>
                <c:pt idx="13">
                  <c:v>68.815861162181136</c:v>
                </c:pt>
                <c:pt idx="14">
                  <c:v>69.272008981589238</c:v>
                </c:pt>
                <c:pt idx="15">
                  <c:v>67.809810897473653</c:v>
                </c:pt>
                <c:pt idx="16">
                  <c:v>74.536742215285628</c:v>
                </c:pt>
                <c:pt idx="17">
                  <c:v>91.724163956561284</c:v>
                </c:pt>
                <c:pt idx="18">
                  <c:v>81.995638715218192</c:v>
                </c:pt>
                <c:pt idx="19">
                  <c:v>88.87031973977497</c:v>
                </c:pt>
                <c:pt idx="20">
                  <c:v>93.707567181648145</c:v>
                </c:pt>
                <c:pt idx="21">
                  <c:v>88.257880323424388</c:v>
                </c:pt>
                <c:pt idx="22">
                  <c:v>95.028695791526502</c:v>
                </c:pt>
                <c:pt idx="23">
                  <c:v>89.869935160540507</c:v>
                </c:pt>
                <c:pt idx="24">
                  <c:v>89.773060812682985</c:v>
                </c:pt>
                <c:pt idx="25">
                  <c:v>98.648663433427302</c:v>
                </c:pt>
                <c:pt idx="26">
                  <c:v>99.18481228392794</c:v>
                </c:pt>
                <c:pt idx="27">
                  <c:v>100.90235913191422</c:v>
                </c:pt>
                <c:pt idx="28">
                  <c:v>96.035122581249155</c:v>
                </c:pt>
                <c:pt idx="29">
                  <c:v>110.35519242218277</c:v>
                </c:pt>
                <c:pt idx="30">
                  <c:v>100.81696313326717</c:v>
                </c:pt>
                <c:pt idx="31">
                  <c:v>93.798489482078793</c:v>
                </c:pt>
                <c:pt idx="32">
                  <c:v>94.527465979563871</c:v>
                </c:pt>
                <c:pt idx="33">
                  <c:v>104.89195458891383</c:v>
                </c:pt>
                <c:pt idx="34">
                  <c:v>98.576716227489769</c:v>
                </c:pt>
                <c:pt idx="35">
                  <c:v>113.66829369345577</c:v>
                </c:pt>
                <c:pt idx="36">
                  <c:v>104.03817988276839</c:v>
                </c:pt>
                <c:pt idx="37">
                  <c:v>97.491161325170083</c:v>
                </c:pt>
                <c:pt idx="38">
                  <c:v>98.459587479888313</c:v>
                </c:pt>
                <c:pt idx="39">
                  <c:v>100.65798924626905</c:v>
                </c:pt>
                <c:pt idx="40">
                  <c:v>93.366851011330226</c:v>
                </c:pt>
                <c:pt idx="41">
                  <c:v>95.922961378463697</c:v>
                </c:pt>
                <c:pt idx="42">
                  <c:v>100.01024415481152</c:v>
                </c:pt>
              </c:numCache>
            </c:numRef>
          </c:val>
          <c:smooth val="0"/>
          <c:extLst>
            <c:ext xmlns:c16="http://schemas.microsoft.com/office/drawing/2014/chart" uri="{C3380CC4-5D6E-409C-BE32-E72D297353CC}">
              <c16:uniqueId val="{00000032-2A88-4CE0-809F-7491D5F304AF}"/>
            </c:ext>
          </c:extLst>
        </c:ser>
        <c:ser>
          <c:idx val="2"/>
          <c:order val="4"/>
          <c:tx>
            <c:strRef>
              <c:f>'Prerađivačka_FS graf'!$BZ$7</c:f>
              <c:strCache>
                <c:ptCount val="1"/>
                <c:pt idx="0">
                  <c:v>t</c:v>
                </c:pt>
              </c:strCache>
            </c:strRef>
          </c:tx>
          <c:spPr>
            <a:ln w="25400" cap="rnd">
              <a:solidFill>
                <a:srgbClr val="FF0000"/>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graf'!$BZ$44:$BZ$86</c:f>
              <c:numCache>
                <c:formatCode>0.0</c:formatCode>
                <c:ptCount val="43"/>
                <c:pt idx="0">
                  <c:v>64.799580173821056</c:v>
                </c:pt>
                <c:pt idx="1">
                  <c:v>64.538086922002051</c:v>
                </c:pt>
                <c:pt idx="2">
                  <c:v>63.912472933925706</c:v>
                </c:pt>
                <c:pt idx="3">
                  <c:v>63.131624470093314</c:v>
                </c:pt>
                <c:pt idx="4">
                  <c:v>62.486766531249309</c:v>
                </c:pt>
                <c:pt idx="5">
                  <c:v>62.230192371934564</c:v>
                </c:pt>
                <c:pt idx="6">
                  <c:v>62.429606972652813</c:v>
                </c:pt>
                <c:pt idx="7">
                  <c:v>62.916850172640054</c:v>
                </c:pt>
                <c:pt idx="8">
                  <c:v>63.623516804200982</c:v>
                </c:pt>
                <c:pt idx="9">
                  <c:v>64.52733756915886</c:v>
                </c:pt>
                <c:pt idx="10">
                  <c:v>65.499446436473363</c:v>
                </c:pt>
                <c:pt idx="11">
                  <c:v>66.4382709979037</c:v>
                </c:pt>
                <c:pt idx="12">
                  <c:v>67.401466526767678</c:v>
                </c:pt>
                <c:pt idx="13">
                  <c:v>68.429147102082283</c:v>
                </c:pt>
                <c:pt idx="14">
                  <c:v>69.399388209232484</c:v>
                </c:pt>
                <c:pt idx="15">
                  <c:v>70.310763612752496</c:v>
                </c:pt>
                <c:pt idx="16">
                  <c:v>71.074203596288299</c:v>
                </c:pt>
                <c:pt idx="17">
                  <c:v>90.123294886668702</c:v>
                </c:pt>
                <c:pt idx="18">
                  <c:v>90.750385062697831</c:v>
                </c:pt>
                <c:pt idx="19">
                  <c:v>91.028984429543826</c:v>
                </c:pt>
                <c:pt idx="20">
                  <c:v>90.965180854506471</c:v>
                </c:pt>
                <c:pt idx="21">
                  <c:v>90.899700230507122</c:v>
                </c:pt>
                <c:pt idx="22">
                  <c:v>91.355354862141837</c:v>
                </c:pt>
                <c:pt idx="23">
                  <c:v>92.488741180244148</c:v>
                </c:pt>
                <c:pt idx="24">
                  <c:v>94.069078884045879</c:v>
                </c:pt>
                <c:pt idx="25">
                  <c:v>95.876744405744432</c:v>
                </c:pt>
                <c:pt idx="26">
                  <c:v>97.655316194448886</c:v>
                </c:pt>
                <c:pt idx="27">
                  <c:v>99.045376166231236</c:v>
                </c:pt>
                <c:pt idx="28">
                  <c:v>99.977373474417007</c:v>
                </c:pt>
                <c:pt idx="29">
                  <c:v>100.5602198837594</c:v>
                </c:pt>
                <c:pt idx="30">
                  <c:v>100.80301408859204</c:v>
                </c:pt>
                <c:pt idx="31">
                  <c:v>101.17114226126364</c:v>
                </c:pt>
                <c:pt idx="32">
                  <c:v>101.67022001675166</c:v>
                </c:pt>
                <c:pt idx="33">
                  <c:v>101.91764842273936</c:v>
                </c:pt>
                <c:pt idx="34">
                  <c:v>101.90255246210027</c:v>
                </c:pt>
                <c:pt idx="35">
                  <c:v>101.57400325309229</c:v>
                </c:pt>
                <c:pt idx="36">
                  <c:v>100.87882857519489</c:v>
                </c:pt>
                <c:pt idx="37">
                  <c:v>99.823636940602384</c:v>
                </c:pt>
                <c:pt idx="38">
                  <c:v>98.716836114826265</c:v>
                </c:pt>
                <c:pt idx="39">
                  <c:v>97.818958888852421</c:v>
                </c:pt>
                <c:pt idx="40">
                  <c:v>97.339821443442901</c:v>
                </c:pt>
                <c:pt idx="41">
                  <c:v>97.342502414508814</c:v>
                </c:pt>
                <c:pt idx="42">
                  <c:v>97.942988120489176</c:v>
                </c:pt>
              </c:numCache>
            </c:numRef>
          </c:val>
          <c:smooth val="0"/>
          <c:extLst>
            <c:ext xmlns:c16="http://schemas.microsoft.com/office/drawing/2014/chart" uri="{C3380CC4-5D6E-409C-BE32-E72D297353CC}">
              <c16:uniqueId val="{00000033-2A88-4CE0-809F-7491D5F304AF}"/>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2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graf'!$G$7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6.789050592671942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612-465A-B5E3-03CB6CB9C256}"/>
                </c:ext>
              </c:extLst>
            </c:dLbl>
            <c:dLbl>
              <c:idx val="12"/>
              <c:layout>
                <c:manualLayout>
                  <c:x val="6.68223900225571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612-465A-B5E3-03CB6CB9C256}"/>
                </c:ext>
              </c:extLst>
            </c:dLbl>
            <c:dLbl>
              <c:idx val="24"/>
              <c:layout>
                <c:manualLayout>
                  <c:x val="6.760901941316332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612-465A-B5E3-03CB6CB9C256}"/>
                </c:ext>
              </c:extLst>
            </c:dLbl>
            <c:dLbl>
              <c:idx val="36"/>
              <c:layout>
                <c:manualLayout>
                  <c:x val="3.125963472944211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612-465A-B5E3-03CB6CB9C256}"/>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graf'!$G$44:$G$86</c:f>
              <c:numCache>
                <c:formatCode>General</c:formatCode>
                <c:ptCount val="43"/>
                <c:pt idx="0">
                  <c:v>70</c:v>
                </c:pt>
                <c:pt idx="12">
                  <c:v>70</c:v>
                </c:pt>
                <c:pt idx="24">
                  <c:v>70</c:v>
                </c:pt>
                <c:pt idx="36">
                  <c:v>70</c:v>
                </c:pt>
              </c:numCache>
            </c:numRef>
          </c:val>
          <c:smooth val="0"/>
          <c:extLst>
            <c:ext xmlns:c16="http://schemas.microsoft.com/office/drawing/2014/chart" uri="{C3380CC4-5D6E-409C-BE32-E72D297353CC}">
              <c16:uniqueId val="{00000004-5612-465A-B5E3-03CB6CB9C256}"/>
            </c:ext>
          </c:extLst>
        </c:ser>
        <c:ser>
          <c:idx val="4"/>
          <c:order val="1"/>
          <c:tx>
            <c:strRef>
              <c:f>'Prerađivačka_FS graf'!$H$7</c:f>
              <c:strCache>
                <c:ptCount val="1"/>
                <c:pt idx="0">
                  <c:v>Series5</c:v>
                </c:pt>
              </c:strCache>
            </c:strRef>
          </c:tx>
          <c:spPr>
            <a:ln w="25400" cap="rnd">
              <a:noFill/>
              <a:round/>
            </a:ln>
            <a:effectLst/>
          </c:spPr>
          <c:marker>
            <c:symbol val="none"/>
          </c:marker>
          <c:dLbls>
            <c:dLbl>
              <c:idx val="0"/>
              <c:tx>
                <c:rich>
                  <a:bodyPr/>
                  <a:lstStyle/>
                  <a:p>
                    <a:fld id="{8A986FB8-E398-42D8-9C79-DFF7C33071B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5612-465A-B5E3-03CB6CB9C256}"/>
                </c:ext>
              </c:extLst>
            </c:dLbl>
            <c:dLbl>
              <c:idx val="1"/>
              <c:tx>
                <c:rich>
                  <a:bodyPr/>
                  <a:lstStyle/>
                  <a:p>
                    <a:fld id="{08176AB5-A00A-4089-8AD5-825EB6F637F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5612-465A-B5E3-03CB6CB9C256}"/>
                </c:ext>
              </c:extLst>
            </c:dLbl>
            <c:dLbl>
              <c:idx val="2"/>
              <c:tx>
                <c:rich>
                  <a:bodyPr/>
                  <a:lstStyle/>
                  <a:p>
                    <a:fld id="{F0777C46-D173-4B91-A2B0-5BBED49F7F8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5612-465A-B5E3-03CB6CB9C256}"/>
                </c:ext>
              </c:extLst>
            </c:dLbl>
            <c:dLbl>
              <c:idx val="3"/>
              <c:tx>
                <c:rich>
                  <a:bodyPr/>
                  <a:lstStyle/>
                  <a:p>
                    <a:fld id="{F20700DB-7C6F-4CA3-879F-520D6D9C6A6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5612-465A-B5E3-03CB6CB9C256}"/>
                </c:ext>
              </c:extLst>
            </c:dLbl>
            <c:dLbl>
              <c:idx val="4"/>
              <c:tx>
                <c:rich>
                  <a:bodyPr/>
                  <a:lstStyle/>
                  <a:p>
                    <a:fld id="{F392E724-2694-4AEA-8B8F-8CE8B4E52F8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5612-465A-B5E3-03CB6CB9C256}"/>
                </c:ext>
              </c:extLst>
            </c:dLbl>
            <c:dLbl>
              <c:idx val="5"/>
              <c:tx>
                <c:rich>
                  <a:bodyPr/>
                  <a:lstStyle/>
                  <a:p>
                    <a:fld id="{D91A270E-0C2C-492A-9375-04B8AB732D7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5612-465A-B5E3-03CB6CB9C256}"/>
                </c:ext>
              </c:extLst>
            </c:dLbl>
            <c:dLbl>
              <c:idx val="6"/>
              <c:tx>
                <c:rich>
                  <a:bodyPr/>
                  <a:lstStyle/>
                  <a:p>
                    <a:fld id="{DCAEB123-049B-4C05-B15A-3D7DFD71F57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5612-465A-B5E3-03CB6CB9C256}"/>
                </c:ext>
              </c:extLst>
            </c:dLbl>
            <c:dLbl>
              <c:idx val="7"/>
              <c:tx>
                <c:rich>
                  <a:bodyPr/>
                  <a:lstStyle/>
                  <a:p>
                    <a:fld id="{4F1D176C-735A-4CDF-911E-4CBD4C9E7EB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5612-465A-B5E3-03CB6CB9C256}"/>
                </c:ext>
              </c:extLst>
            </c:dLbl>
            <c:dLbl>
              <c:idx val="8"/>
              <c:tx>
                <c:rich>
                  <a:bodyPr/>
                  <a:lstStyle/>
                  <a:p>
                    <a:fld id="{45504AC5-D596-4C77-9CF1-3253D2F56F8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5612-465A-B5E3-03CB6CB9C256}"/>
                </c:ext>
              </c:extLst>
            </c:dLbl>
            <c:dLbl>
              <c:idx val="9"/>
              <c:tx>
                <c:rich>
                  <a:bodyPr/>
                  <a:lstStyle/>
                  <a:p>
                    <a:fld id="{02FF7C42-4701-48EE-B957-5E0AF10EAA6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5612-465A-B5E3-03CB6CB9C256}"/>
                </c:ext>
              </c:extLst>
            </c:dLbl>
            <c:dLbl>
              <c:idx val="10"/>
              <c:tx>
                <c:rich>
                  <a:bodyPr/>
                  <a:lstStyle/>
                  <a:p>
                    <a:fld id="{598BEA25-F70B-4587-A11B-DD293EFBB54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5612-465A-B5E3-03CB6CB9C256}"/>
                </c:ext>
              </c:extLst>
            </c:dLbl>
            <c:dLbl>
              <c:idx val="11"/>
              <c:tx>
                <c:rich>
                  <a:bodyPr/>
                  <a:lstStyle/>
                  <a:p>
                    <a:fld id="{C05E6DC4-2CA5-4AAD-A177-183B9E80C77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5612-465A-B5E3-03CB6CB9C256}"/>
                </c:ext>
              </c:extLst>
            </c:dLbl>
            <c:dLbl>
              <c:idx val="12"/>
              <c:tx>
                <c:rich>
                  <a:bodyPr/>
                  <a:lstStyle/>
                  <a:p>
                    <a:fld id="{DDB51054-C12C-43AB-8E50-29BC85C042D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5612-465A-B5E3-03CB6CB9C256}"/>
                </c:ext>
              </c:extLst>
            </c:dLbl>
            <c:dLbl>
              <c:idx val="13"/>
              <c:tx>
                <c:rich>
                  <a:bodyPr/>
                  <a:lstStyle/>
                  <a:p>
                    <a:fld id="{837904F4-C33D-4F4E-988C-5A4AF4EBEBC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5612-465A-B5E3-03CB6CB9C256}"/>
                </c:ext>
              </c:extLst>
            </c:dLbl>
            <c:dLbl>
              <c:idx val="14"/>
              <c:tx>
                <c:rich>
                  <a:bodyPr/>
                  <a:lstStyle/>
                  <a:p>
                    <a:fld id="{50E6A5F6-7559-4E29-825D-D6DADD32FCE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5612-465A-B5E3-03CB6CB9C256}"/>
                </c:ext>
              </c:extLst>
            </c:dLbl>
            <c:dLbl>
              <c:idx val="15"/>
              <c:tx>
                <c:rich>
                  <a:bodyPr/>
                  <a:lstStyle/>
                  <a:p>
                    <a:fld id="{AC1E00A2-FD1D-480C-88FF-9A74AB68C66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5612-465A-B5E3-03CB6CB9C256}"/>
                </c:ext>
              </c:extLst>
            </c:dLbl>
            <c:dLbl>
              <c:idx val="16"/>
              <c:tx>
                <c:rich>
                  <a:bodyPr/>
                  <a:lstStyle/>
                  <a:p>
                    <a:fld id="{417BCB19-F583-4BAF-9DFE-A770F80BB79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5612-465A-B5E3-03CB6CB9C256}"/>
                </c:ext>
              </c:extLst>
            </c:dLbl>
            <c:dLbl>
              <c:idx val="17"/>
              <c:tx>
                <c:rich>
                  <a:bodyPr/>
                  <a:lstStyle/>
                  <a:p>
                    <a:fld id="{56B849F6-3717-43D1-94C4-299545EE5C2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5612-465A-B5E3-03CB6CB9C256}"/>
                </c:ext>
              </c:extLst>
            </c:dLbl>
            <c:dLbl>
              <c:idx val="18"/>
              <c:tx>
                <c:rich>
                  <a:bodyPr/>
                  <a:lstStyle/>
                  <a:p>
                    <a:fld id="{01010CE8-6EE1-49BC-9679-6A687469D6E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5612-465A-B5E3-03CB6CB9C256}"/>
                </c:ext>
              </c:extLst>
            </c:dLbl>
            <c:dLbl>
              <c:idx val="19"/>
              <c:tx>
                <c:rich>
                  <a:bodyPr/>
                  <a:lstStyle/>
                  <a:p>
                    <a:fld id="{E104368C-D888-4DD8-AA31-32E1EEDAB9B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5612-465A-B5E3-03CB6CB9C256}"/>
                </c:ext>
              </c:extLst>
            </c:dLbl>
            <c:dLbl>
              <c:idx val="20"/>
              <c:tx>
                <c:rich>
                  <a:bodyPr/>
                  <a:lstStyle/>
                  <a:p>
                    <a:fld id="{6D3E0759-29C0-4B49-84A7-E49242920E7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5612-465A-B5E3-03CB6CB9C256}"/>
                </c:ext>
              </c:extLst>
            </c:dLbl>
            <c:dLbl>
              <c:idx val="21"/>
              <c:tx>
                <c:rich>
                  <a:bodyPr/>
                  <a:lstStyle/>
                  <a:p>
                    <a:fld id="{783951AA-F417-47FD-85D5-2ABD021FC19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5612-465A-B5E3-03CB6CB9C256}"/>
                </c:ext>
              </c:extLst>
            </c:dLbl>
            <c:dLbl>
              <c:idx val="22"/>
              <c:tx>
                <c:rich>
                  <a:bodyPr/>
                  <a:lstStyle/>
                  <a:p>
                    <a:fld id="{5A3161F7-8A40-4463-9857-8362F03B9A2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5612-465A-B5E3-03CB6CB9C256}"/>
                </c:ext>
              </c:extLst>
            </c:dLbl>
            <c:dLbl>
              <c:idx val="23"/>
              <c:tx>
                <c:rich>
                  <a:bodyPr/>
                  <a:lstStyle/>
                  <a:p>
                    <a:fld id="{A92B852A-3C61-435D-8905-6C7288DF161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5612-465A-B5E3-03CB6CB9C256}"/>
                </c:ext>
              </c:extLst>
            </c:dLbl>
            <c:dLbl>
              <c:idx val="24"/>
              <c:tx>
                <c:rich>
                  <a:bodyPr/>
                  <a:lstStyle/>
                  <a:p>
                    <a:fld id="{B243D5E2-1FDC-425E-B980-0A854DCD5FA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5612-465A-B5E3-03CB6CB9C256}"/>
                </c:ext>
              </c:extLst>
            </c:dLbl>
            <c:dLbl>
              <c:idx val="25"/>
              <c:tx>
                <c:rich>
                  <a:bodyPr/>
                  <a:lstStyle/>
                  <a:p>
                    <a:fld id="{18A1818D-233D-4E0E-9BEC-C5129D53598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5612-465A-B5E3-03CB6CB9C256}"/>
                </c:ext>
              </c:extLst>
            </c:dLbl>
            <c:dLbl>
              <c:idx val="26"/>
              <c:tx>
                <c:rich>
                  <a:bodyPr/>
                  <a:lstStyle/>
                  <a:p>
                    <a:fld id="{683FE9CF-46E9-40E6-8A12-8ACA5C50A7E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5612-465A-B5E3-03CB6CB9C256}"/>
                </c:ext>
              </c:extLst>
            </c:dLbl>
            <c:dLbl>
              <c:idx val="27"/>
              <c:tx>
                <c:rich>
                  <a:bodyPr/>
                  <a:lstStyle/>
                  <a:p>
                    <a:fld id="{4B091E5D-6316-4F45-B549-FDBC11FBCA7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5612-465A-B5E3-03CB6CB9C256}"/>
                </c:ext>
              </c:extLst>
            </c:dLbl>
            <c:dLbl>
              <c:idx val="28"/>
              <c:tx>
                <c:rich>
                  <a:bodyPr/>
                  <a:lstStyle/>
                  <a:p>
                    <a:fld id="{9D741A32-894E-43B3-884F-C51A4B9D37B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5612-465A-B5E3-03CB6CB9C256}"/>
                </c:ext>
              </c:extLst>
            </c:dLbl>
            <c:dLbl>
              <c:idx val="29"/>
              <c:tx>
                <c:rich>
                  <a:bodyPr/>
                  <a:lstStyle/>
                  <a:p>
                    <a:fld id="{07097785-681D-4541-95AF-3A3ABF94F8E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5612-465A-B5E3-03CB6CB9C256}"/>
                </c:ext>
              </c:extLst>
            </c:dLbl>
            <c:dLbl>
              <c:idx val="30"/>
              <c:tx>
                <c:rich>
                  <a:bodyPr/>
                  <a:lstStyle/>
                  <a:p>
                    <a:fld id="{F083D34C-067A-4F5D-AEAE-EABC3758E1B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5612-465A-B5E3-03CB6CB9C256}"/>
                </c:ext>
              </c:extLst>
            </c:dLbl>
            <c:dLbl>
              <c:idx val="31"/>
              <c:tx>
                <c:rich>
                  <a:bodyPr/>
                  <a:lstStyle/>
                  <a:p>
                    <a:fld id="{39AAD41B-904D-41B3-A0FA-B84106EDF79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5612-465A-B5E3-03CB6CB9C256}"/>
                </c:ext>
              </c:extLst>
            </c:dLbl>
            <c:dLbl>
              <c:idx val="32"/>
              <c:tx>
                <c:rich>
                  <a:bodyPr/>
                  <a:lstStyle/>
                  <a:p>
                    <a:fld id="{9EB8E140-0AD1-4A7E-BBE2-F90FDA63B27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5612-465A-B5E3-03CB6CB9C256}"/>
                </c:ext>
              </c:extLst>
            </c:dLbl>
            <c:dLbl>
              <c:idx val="33"/>
              <c:tx>
                <c:rich>
                  <a:bodyPr/>
                  <a:lstStyle/>
                  <a:p>
                    <a:fld id="{24376FBF-CB7B-4203-A9C3-F432E2764BF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5612-465A-B5E3-03CB6CB9C256}"/>
                </c:ext>
              </c:extLst>
            </c:dLbl>
            <c:dLbl>
              <c:idx val="34"/>
              <c:tx>
                <c:rich>
                  <a:bodyPr/>
                  <a:lstStyle/>
                  <a:p>
                    <a:fld id="{8F379AAA-2117-48B7-929E-DD42EEDD318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5612-465A-B5E3-03CB6CB9C256}"/>
                </c:ext>
              </c:extLst>
            </c:dLbl>
            <c:dLbl>
              <c:idx val="35"/>
              <c:tx>
                <c:rich>
                  <a:bodyPr/>
                  <a:lstStyle/>
                  <a:p>
                    <a:fld id="{A3CC93FD-38AE-430A-ADBE-5DCFAE3CEE6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5612-465A-B5E3-03CB6CB9C256}"/>
                </c:ext>
              </c:extLst>
            </c:dLbl>
            <c:dLbl>
              <c:idx val="36"/>
              <c:tx>
                <c:rich>
                  <a:bodyPr/>
                  <a:lstStyle/>
                  <a:p>
                    <a:fld id="{73D2200D-D0F6-4DB1-A4AF-4DC1B2ACC63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5612-465A-B5E3-03CB6CB9C256}"/>
                </c:ext>
              </c:extLst>
            </c:dLbl>
            <c:dLbl>
              <c:idx val="37"/>
              <c:tx>
                <c:rich>
                  <a:bodyPr/>
                  <a:lstStyle/>
                  <a:p>
                    <a:fld id="{DA310183-FB12-46E9-B2F4-4D8D2F2E848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5612-465A-B5E3-03CB6CB9C256}"/>
                </c:ext>
              </c:extLst>
            </c:dLbl>
            <c:dLbl>
              <c:idx val="38"/>
              <c:tx>
                <c:rich>
                  <a:bodyPr/>
                  <a:lstStyle/>
                  <a:p>
                    <a:fld id="{5A1EC525-A087-440B-B5E8-E0E33627536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5612-465A-B5E3-03CB6CB9C256}"/>
                </c:ext>
              </c:extLst>
            </c:dLbl>
            <c:dLbl>
              <c:idx val="39"/>
              <c:tx>
                <c:rich>
                  <a:bodyPr/>
                  <a:lstStyle/>
                  <a:p>
                    <a:fld id="{D7FFBD20-1DA6-4BB6-A3A4-44C6E6A7194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5612-465A-B5E3-03CB6CB9C256}"/>
                </c:ext>
              </c:extLst>
            </c:dLbl>
            <c:dLbl>
              <c:idx val="40"/>
              <c:tx>
                <c:rich>
                  <a:bodyPr/>
                  <a:lstStyle/>
                  <a:p>
                    <a:fld id="{F3F523B0-D4C4-462B-92AD-B306D814473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5612-465A-B5E3-03CB6CB9C256}"/>
                </c:ext>
              </c:extLst>
            </c:dLbl>
            <c:dLbl>
              <c:idx val="41"/>
              <c:tx>
                <c:rich>
                  <a:bodyPr/>
                  <a:lstStyle/>
                  <a:p>
                    <a:fld id="{8F139DA7-192F-4377-8E3D-3151CAB6E84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5612-465A-B5E3-03CB6CB9C256}"/>
                </c:ext>
              </c:extLst>
            </c:dLbl>
            <c:dLbl>
              <c:idx val="42"/>
              <c:tx>
                <c:rich>
                  <a:bodyPr/>
                  <a:lstStyle/>
                  <a:p>
                    <a:fld id="{7A2CC433-21A1-4E02-88D9-CDE7A7AC42B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5612-465A-B5E3-03CB6CB9C256}"/>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graf'!$H$44:$H$86</c:f>
              <c:numCache>
                <c:formatCode>General</c:formatCode>
                <c:ptCount val="43"/>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pt idx="32">
                  <c:v>70</c:v>
                </c:pt>
                <c:pt idx="33">
                  <c:v>70</c:v>
                </c:pt>
                <c:pt idx="34">
                  <c:v>70</c:v>
                </c:pt>
                <c:pt idx="35">
                  <c:v>70</c:v>
                </c:pt>
                <c:pt idx="36">
                  <c:v>70</c:v>
                </c:pt>
                <c:pt idx="37">
                  <c:v>70</c:v>
                </c:pt>
                <c:pt idx="38">
                  <c:v>70</c:v>
                </c:pt>
                <c:pt idx="39">
                  <c:v>70</c:v>
                </c:pt>
                <c:pt idx="40">
                  <c:v>70</c:v>
                </c:pt>
                <c:pt idx="41">
                  <c:v>70</c:v>
                </c:pt>
                <c:pt idx="42">
                  <c:v>70</c:v>
                </c:pt>
              </c:numCache>
            </c:numRef>
          </c:val>
          <c:smooth val="0"/>
          <c:extLst>
            <c:ext xmlns:c15="http://schemas.microsoft.com/office/drawing/2012/chart" uri="{02D57815-91ED-43cb-92C2-25804820EDAC}">
              <c15:datalabelsRange>
                <c15:f>'Prerađivačka_FS graf'!$B$44:$B$86</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0-5612-465A-B5E3-03CB6CB9C256}"/>
            </c:ext>
          </c:extLst>
        </c:ser>
        <c:ser>
          <c:idx val="0"/>
          <c:order val="2"/>
          <c:tx>
            <c:strRef>
              <c:f>'Prerađivačka_FS graf'!$I$7</c:f>
              <c:strCache>
                <c:ptCount val="1"/>
                <c:pt idx="0">
                  <c:v>y</c:v>
                </c:pt>
              </c:strCache>
            </c:strRef>
          </c:tx>
          <c:spPr>
            <a:ln w="12700" cap="rnd">
              <a:solidFill>
                <a:srgbClr val="7F3F98"/>
              </a:solidFill>
              <a:prstDash val="sysDash"/>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graf'!$I$44:$I$86</c:f>
              <c:numCache>
                <c:formatCode>0.0</c:formatCode>
                <c:ptCount val="43"/>
                <c:pt idx="0">
                  <c:v>82.401259218999996</c:v>
                </c:pt>
                <c:pt idx="1">
                  <c:v>90.159678318999994</c:v>
                </c:pt>
                <c:pt idx="2">
                  <c:v>91.482375055999995</c:v>
                </c:pt>
                <c:pt idx="3">
                  <c:v>70.293886028000003</c:v>
                </c:pt>
                <c:pt idx="4">
                  <c:v>87.412004951</c:v>
                </c:pt>
                <c:pt idx="5">
                  <c:v>97.562657199</c:v>
                </c:pt>
                <c:pt idx="6">
                  <c:v>98.358770335000003</c:v>
                </c:pt>
                <c:pt idx="7">
                  <c:v>93.235697713999997</c:v>
                </c:pt>
                <c:pt idx="8">
                  <c:v>104.30289606300001</c:v>
                </c:pt>
                <c:pt idx="9">
                  <c:v>106.784281921</c:v>
                </c:pt>
                <c:pt idx="10">
                  <c:v>97.783443075999998</c:v>
                </c:pt>
                <c:pt idx="11">
                  <c:v>101.61745983900001</c:v>
                </c:pt>
                <c:pt idx="12">
                  <c:v>82.052907528999995</c:v>
                </c:pt>
                <c:pt idx="13">
                  <c:v>90.945818631999998</c:v>
                </c:pt>
                <c:pt idx="14">
                  <c:v>98.731122353999993</c:v>
                </c:pt>
                <c:pt idx="15">
                  <c:v>99.368973292000007</c:v>
                </c:pt>
                <c:pt idx="16">
                  <c:v>95.315303647999997</c:v>
                </c:pt>
                <c:pt idx="17">
                  <c:v>103.298931923</c:v>
                </c:pt>
                <c:pt idx="18">
                  <c:v>100.01445173899999</c:v>
                </c:pt>
                <c:pt idx="19">
                  <c:v>94.571503909</c:v>
                </c:pt>
                <c:pt idx="20">
                  <c:v>102.89750898200001</c:v>
                </c:pt>
                <c:pt idx="21">
                  <c:v>106.70973511299999</c:v>
                </c:pt>
                <c:pt idx="22">
                  <c:v>105.062688429</c:v>
                </c:pt>
                <c:pt idx="23">
                  <c:v>104.715707443</c:v>
                </c:pt>
                <c:pt idx="24">
                  <c:v>82.174501160000005</c:v>
                </c:pt>
                <c:pt idx="25">
                  <c:v>93.164496009000004</c:v>
                </c:pt>
                <c:pt idx="26">
                  <c:v>108.78172680900001</c:v>
                </c:pt>
                <c:pt idx="27">
                  <c:v>99.488098054000005</c:v>
                </c:pt>
                <c:pt idx="28">
                  <c:v>105.984947748</c:v>
                </c:pt>
                <c:pt idx="29">
                  <c:v>106.4</c:v>
                </c:pt>
                <c:pt idx="30">
                  <c:v>96.336633663000001</c:v>
                </c:pt>
                <c:pt idx="31">
                  <c:v>96.00844635</c:v>
                </c:pt>
                <c:pt idx="32">
                  <c:v>102.44317365000001</c:v>
                </c:pt>
                <c:pt idx="33">
                  <c:v>104.756677571</c:v>
                </c:pt>
                <c:pt idx="34">
                  <c:v>103.572911027</c:v>
                </c:pt>
                <c:pt idx="35">
                  <c:v>100.924586315</c:v>
                </c:pt>
                <c:pt idx="36">
                  <c:v>83.342179999999999</c:v>
                </c:pt>
                <c:pt idx="37">
                  <c:v>90.270060000000001</c:v>
                </c:pt>
                <c:pt idx="38">
                  <c:v>107.06492</c:v>
                </c:pt>
                <c:pt idx="39">
                  <c:v>97.05068</c:v>
                </c:pt>
                <c:pt idx="40">
                  <c:v>105.4</c:v>
                </c:pt>
                <c:pt idx="41">
                  <c:v>106.5</c:v>
                </c:pt>
                <c:pt idx="42">
                  <c:v>97.3</c:v>
                </c:pt>
              </c:numCache>
            </c:numRef>
          </c:val>
          <c:smooth val="0"/>
          <c:extLst>
            <c:ext xmlns:c16="http://schemas.microsoft.com/office/drawing/2014/chart" uri="{C3380CC4-5D6E-409C-BE32-E72D297353CC}">
              <c16:uniqueId val="{00000031-5612-465A-B5E3-03CB6CB9C256}"/>
            </c:ext>
          </c:extLst>
        </c:ser>
        <c:ser>
          <c:idx val="1"/>
          <c:order val="3"/>
          <c:tx>
            <c:strRef>
              <c:f>'Prerađivačka_FS graf'!$J$7</c:f>
              <c:strCache>
                <c:ptCount val="1"/>
                <c:pt idx="0">
                  <c:v>sa</c:v>
                </c:pt>
              </c:strCache>
            </c:strRef>
          </c:tx>
          <c:spPr>
            <a:ln w="22225" cap="rnd">
              <a:solidFill>
                <a:srgbClr val="25AAE1"/>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graf'!$J$44:$J$86</c:f>
              <c:numCache>
                <c:formatCode>0.0</c:formatCode>
                <c:ptCount val="43"/>
                <c:pt idx="0">
                  <c:v>99.055979516999997</c:v>
                </c:pt>
                <c:pt idx="1">
                  <c:v>93.052338630999998</c:v>
                </c:pt>
                <c:pt idx="2">
                  <c:v>91.496553844999994</c:v>
                </c:pt>
                <c:pt idx="3">
                  <c:v>72.102129743000006</c:v>
                </c:pt>
                <c:pt idx="4">
                  <c:v>85.125428481</c:v>
                </c:pt>
                <c:pt idx="5">
                  <c:v>92.653092833000002</c:v>
                </c:pt>
                <c:pt idx="6">
                  <c:v>95.706674042000003</c:v>
                </c:pt>
                <c:pt idx="7">
                  <c:v>98.377153458999999</c:v>
                </c:pt>
                <c:pt idx="8">
                  <c:v>97.843224194000001</c:v>
                </c:pt>
                <c:pt idx="9">
                  <c:v>97.161886792999994</c:v>
                </c:pt>
                <c:pt idx="10">
                  <c:v>94.148607737999995</c:v>
                </c:pt>
                <c:pt idx="11">
                  <c:v>98.307292602999993</c:v>
                </c:pt>
                <c:pt idx="12">
                  <c:v>100.43414073700001</c:v>
                </c:pt>
                <c:pt idx="13">
                  <c:v>100.590527713</c:v>
                </c:pt>
                <c:pt idx="14">
                  <c:v>96.951763120999999</c:v>
                </c:pt>
                <c:pt idx="15">
                  <c:v>99.611801584000006</c:v>
                </c:pt>
                <c:pt idx="16">
                  <c:v>92.246050936000003</c:v>
                </c:pt>
                <c:pt idx="17">
                  <c:v>98.030655941999996</c:v>
                </c:pt>
                <c:pt idx="18">
                  <c:v>99.224829427000003</c:v>
                </c:pt>
                <c:pt idx="19">
                  <c:v>98.410169847999995</c:v>
                </c:pt>
                <c:pt idx="20">
                  <c:v>97.199063418999998</c:v>
                </c:pt>
                <c:pt idx="21">
                  <c:v>99.030107977</c:v>
                </c:pt>
                <c:pt idx="22">
                  <c:v>99.958461607000004</c:v>
                </c:pt>
                <c:pt idx="23">
                  <c:v>101.12809129599999</c:v>
                </c:pt>
                <c:pt idx="24">
                  <c:v>98.619473815000006</c:v>
                </c:pt>
                <c:pt idx="25">
                  <c:v>102.390021765</c:v>
                </c:pt>
                <c:pt idx="26">
                  <c:v>106.14098819100001</c:v>
                </c:pt>
                <c:pt idx="27">
                  <c:v>102.086024585</c:v>
                </c:pt>
                <c:pt idx="28">
                  <c:v>100.894476934</c:v>
                </c:pt>
                <c:pt idx="29">
                  <c:v>100.84001425</c:v>
                </c:pt>
                <c:pt idx="30">
                  <c:v>97.590239628000006</c:v>
                </c:pt>
                <c:pt idx="31">
                  <c:v>98.487437049999997</c:v>
                </c:pt>
                <c:pt idx="32">
                  <c:v>97.454699379000004</c:v>
                </c:pt>
                <c:pt idx="33">
                  <c:v>97.631383784999997</c:v>
                </c:pt>
                <c:pt idx="34">
                  <c:v>98.744502853</c:v>
                </c:pt>
                <c:pt idx="35">
                  <c:v>98.814138838999995</c:v>
                </c:pt>
                <c:pt idx="36">
                  <c:v>98.715357166999993</c:v>
                </c:pt>
                <c:pt idx="37">
                  <c:v>98.992929032999996</c:v>
                </c:pt>
                <c:pt idx="38">
                  <c:v>103.68890397</c:v>
                </c:pt>
                <c:pt idx="39">
                  <c:v>100.580190676</c:v>
                </c:pt>
                <c:pt idx="40">
                  <c:v>100.94862586399999</c:v>
                </c:pt>
                <c:pt idx="41">
                  <c:v>100.54576248399999</c:v>
                </c:pt>
                <c:pt idx="42">
                  <c:v>99.093153505000004</c:v>
                </c:pt>
              </c:numCache>
            </c:numRef>
          </c:val>
          <c:smooth val="0"/>
          <c:extLst>
            <c:ext xmlns:c16="http://schemas.microsoft.com/office/drawing/2014/chart" uri="{C3380CC4-5D6E-409C-BE32-E72D297353CC}">
              <c16:uniqueId val="{00000032-5612-465A-B5E3-03CB6CB9C256}"/>
            </c:ext>
          </c:extLst>
        </c:ser>
        <c:ser>
          <c:idx val="2"/>
          <c:order val="4"/>
          <c:tx>
            <c:strRef>
              <c:f>'Prerađivačka_FS graf'!$K$7</c:f>
              <c:strCache>
                <c:ptCount val="1"/>
                <c:pt idx="0">
                  <c:v>t</c:v>
                </c:pt>
              </c:strCache>
            </c:strRef>
          </c:tx>
          <c:spPr>
            <a:ln w="25400" cap="rnd">
              <a:solidFill>
                <a:srgbClr val="FF0000"/>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graf'!$K$44:$K$86</c:f>
              <c:numCache>
                <c:formatCode>0.0</c:formatCode>
                <c:ptCount val="43"/>
                <c:pt idx="0">
                  <c:v>93.892884710000004</c:v>
                </c:pt>
                <c:pt idx="1">
                  <c:v>93.494163866999997</c:v>
                </c:pt>
                <c:pt idx="2">
                  <c:v>93.242893691999996</c:v>
                </c:pt>
                <c:pt idx="3">
                  <c:v>93.211077689000007</c:v>
                </c:pt>
                <c:pt idx="4">
                  <c:v>93.453765110999996</c:v>
                </c:pt>
                <c:pt idx="5">
                  <c:v>93.965715306000007</c:v>
                </c:pt>
                <c:pt idx="6">
                  <c:v>94.687132337999998</c:v>
                </c:pt>
                <c:pt idx="7">
                  <c:v>95.548997076000006</c:v>
                </c:pt>
                <c:pt idx="8">
                  <c:v>96.430789668000003</c:v>
                </c:pt>
                <c:pt idx="9">
                  <c:v>97.229889216999993</c:v>
                </c:pt>
                <c:pt idx="10">
                  <c:v>97.886100088000006</c:v>
                </c:pt>
                <c:pt idx="11">
                  <c:v>98.367736639</c:v>
                </c:pt>
                <c:pt idx="12">
                  <c:v>98.663909966999995</c:v>
                </c:pt>
                <c:pt idx="13">
                  <c:v>98.793415095</c:v>
                </c:pt>
                <c:pt idx="14">
                  <c:v>98.812447719000005</c:v>
                </c:pt>
                <c:pt idx="15">
                  <c:v>98.755587832000003</c:v>
                </c:pt>
                <c:pt idx="16">
                  <c:v>98.664761479999996</c:v>
                </c:pt>
                <c:pt idx="17">
                  <c:v>98.584829365000004</c:v>
                </c:pt>
                <c:pt idx="18">
                  <c:v>98.556099000000003</c:v>
                </c:pt>
                <c:pt idx="19">
                  <c:v>98.626098307000007</c:v>
                </c:pt>
                <c:pt idx="20">
                  <c:v>98.845170503000006</c:v>
                </c:pt>
                <c:pt idx="21">
                  <c:v>99.221245267</c:v>
                </c:pt>
                <c:pt idx="22">
                  <c:v>99.707175425000003</c:v>
                </c:pt>
                <c:pt idx="23">
                  <c:v>100.202811016</c:v>
                </c:pt>
                <c:pt idx="24">
                  <c:v>100.608146023</c:v>
                </c:pt>
                <c:pt idx="25">
                  <c:v>100.854001684</c:v>
                </c:pt>
                <c:pt idx="26">
                  <c:v>100.90278175100001</c:v>
                </c:pt>
                <c:pt idx="27">
                  <c:v>100.73177023700001</c:v>
                </c:pt>
                <c:pt idx="28">
                  <c:v>100.362274954</c:v>
                </c:pt>
                <c:pt idx="29">
                  <c:v>99.854994026</c:v>
                </c:pt>
                <c:pt idx="30">
                  <c:v>99.300967525999994</c:v>
                </c:pt>
                <c:pt idx="31">
                  <c:v>98.812334739999997</c:v>
                </c:pt>
                <c:pt idx="32">
                  <c:v>98.486626017999995</c:v>
                </c:pt>
                <c:pt idx="33">
                  <c:v>98.366562701000007</c:v>
                </c:pt>
                <c:pt idx="34">
                  <c:v>98.455968666999993</c:v>
                </c:pt>
                <c:pt idx="35">
                  <c:v>98.722292209000003</c:v>
                </c:pt>
                <c:pt idx="36">
                  <c:v>99.103818817000004</c:v>
                </c:pt>
                <c:pt idx="37">
                  <c:v>99.511198593000003</c:v>
                </c:pt>
                <c:pt idx="38">
                  <c:v>99.880902559999996</c:v>
                </c:pt>
                <c:pt idx="39">
                  <c:v>100.17233051300001</c:v>
                </c:pt>
                <c:pt idx="40">
                  <c:v>100.36222370199999</c:v>
                </c:pt>
                <c:pt idx="41">
                  <c:v>100.45799647299999</c:v>
                </c:pt>
                <c:pt idx="42">
                  <c:v>100.49324543900001</c:v>
                </c:pt>
              </c:numCache>
            </c:numRef>
          </c:val>
          <c:smooth val="0"/>
          <c:extLst>
            <c:ext xmlns:c16="http://schemas.microsoft.com/office/drawing/2014/chart" uri="{C3380CC4-5D6E-409C-BE32-E72D297353CC}">
              <c16:uniqueId val="{00000033-5612-465A-B5E3-03CB6CB9C256}"/>
            </c:ext>
          </c:extLst>
        </c:ser>
        <c:dLbls>
          <c:showLegendKey val="0"/>
          <c:showVal val="0"/>
          <c:showCatName val="0"/>
          <c:showSerName val="0"/>
          <c:showPercent val="0"/>
          <c:showBubbleSize val="0"/>
        </c:dLbls>
        <c:marker val="1"/>
        <c:smooth val="0"/>
        <c:axId val="2092180112"/>
        <c:axId val="2092170320"/>
      </c:lineChart>
      <c:dateAx>
        <c:axId val="209218011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0320"/>
        <c:crosses val="autoZero"/>
        <c:auto val="1"/>
        <c:lblOffset val="0"/>
        <c:baseTimeUnit val="months"/>
        <c:majorUnit val="12"/>
        <c:majorTimeUnit val="months"/>
      </c:dateAx>
      <c:valAx>
        <c:axId val="2092170320"/>
        <c:scaling>
          <c:orientation val="minMax"/>
          <c:max val="110"/>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112"/>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graf'!$L$7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6.812147815257056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11D-4E4B-BE7D-F1CDC4AAD036}"/>
                </c:ext>
              </c:extLst>
            </c:dLbl>
            <c:dLbl>
              <c:idx val="12"/>
              <c:layout>
                <c:manualLayout>
                  <c:x val="6.666144105069718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11D-4E4B-BE7D-F1CDC4AAD036}"/>
                </c:ext>
              </c:extLst>
            </c:dLbl>
            <c:dLbl>
              <c:idx val="24"/>
              <c:layout>
                <c:manualLayout>
                  <c:x val="6.31616718487358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11D-4E4B-BE7D-F1CDC4AAD036}"/>
                </c:ext>
              </c:extLst>
            </c:dLbl>
            <c:dLbl>
              <c:idx val="36"/>
              <c:layout>
                <c:manualLayout>
                  <c:x val="-1.2983913812173943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11D-4E4B-BE7D-F1CDC4AAD036}"/>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graf'!$L$44:$L$86</c:f>
              <c:numCache>
                <c:formatCode>General</c:formatCode>
                <c:ptCount val="43"/>
                <c:pt idx="0">
                  <c:v>75</c:v>
                </c:pt>
                <c:pt idx="12">
                  <c:v>75</c:v>
                </c:pt>
                <c:pt idx="24">
                  <c:v>75</c:v>
                </c:pt>
                <c:pt idx="36">
                  <c:v>75</c:v>
                </c:pt>
              </c:numCache>
            </c:numRef>
          </c:val>
          <c:smooth val="0"/>
          <c:extLst>
            <c:ext xmlns:c16="http://schemas.microsoft.com/office/drawing/2014/chart" uri="{C3380CC4-5D6E-409C-BE32-E72D297353CC}">
              <c16:uniqueId val="{00000004-B11D-4E4B-BE7D-F1CDC4AAD036}"/>
            </c:ext>
          </c:extLst>
        </c:ser>
        <c:ser>
          <c:idx val="4"/>
          <c:order val="1"/>
          <c:tx>
            <c:strRef>
              <c:f>'Prerađivačka_FS graf'!$M$7</c:f>
              <c:strCache>
                <c:ptCount val="1"/>
                <c:pt idx="0">
                  <c:v>Series5</c:v>
                </c:pt>
              </c:strCache>
            </c:strRef>
          </c:tx>
          <c:spPr>
            <a:ln w="25400" cap="rnd">
              <a:noFill/>
              <a:round/>
            </a:ln>
            <a:effectLst/>
          </c:spPr>
          <c:marker>
            <c:symbol val="none"/>
          </c:marker>
          <c:dLbls>
            <c:dLbl>
              <c:idx val="0"/>
              <c:tx>
                <c:rich>
                  <a:bodyPr/>
                  <a:lstStyle/>
                  <a:p>
                    <a:fld id="{3EEE4F19-2487-4E2C-BDCE-90A90B2B2B3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B11D-4E4B-BE7D-F1CDC4AAD036}"/>
                </c:ext>
              </c:extLst>
            </c:dLbl>
            <c:dLbl>
              <c:idx val="1"/>
              <c:tx>
                <c:rich>
                  <a:bodyPr/>
                  <a:lstStyle/>
                  <a:p>
                    <a:fld id="{EF95D4B2-2A16-486D-9E04-BBCE9DB31BE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B11D-4E4B-BE7D-F1CDC4AAD036}"/>
                </c:ext>
              </c:extLst>
            </c:dLbl>
            <c:dLbl>
              <c:idx val="2"/>
              <c:tx>
                <c:rich>
                  <a:bodyPr/>
                  <a:lstStyle/>
                  <a:p>
                    <a:fld id="{3DE4B49C-C02D-4A5D-B672-127484F902C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B11D-4E4B-BE7D-F1CDC4AAD036}"/>
                </c:ext>
              </c:extLst>
            </c:dLbl>
            <c:dLbl>
              <c:idx val="3"/>
              <c:tx>
                <c:rich>
                  <a:bodyPr/>
                  <a:lstStyle/>
                  <a:p>
                    <a:fld id="{1F3611AB-AE82-4696-B16A-A30A23DAEB3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B11D-4E4B-BE7D-F1CDC4AAD036}"/>
                </c:ext>
              </c:extLst>
            </c:dLbl>
            <c:dLbl>
              <c:idx val="4"/>
              <c:tx>
                <c:rich>
                  <a:bodyPr/>
                  <a:lstStyle/>
                  <a:p>
                    <a:fld id="{EDFC478A-FD5F-435D-A21B-430413FB660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B11D-4E4B-BE7D-F1CDC4AAD036}"/>
                </c:ext>
              </c:extLst>
            </c:dLbl>
            <c:dLbl>
              <c:idx val="5"/>
              <c:tx>
                <c:rich>
                  <a:bodyPr/>
                  <a:lstStyle/>
                  <a:p>
                    <a:fld id="{2386E5A3-1445-4168-8EC5-BC8FEF82224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B11D-4E4B-BE7D-F1CDC4AAD036}"/>
                </c:ext>
              </c:extLst>
            </c:dLbl>
            <c:dLbl>
              <c:idx val="6"/>
              <c:tx>
                <c:rich>
                  <a:bodyPr/>
                  <a:lstStyle/>
                  <a:p>
                    <a:fld id="{CA5C2367-EEAC-438B-B4D2-EEF533F82C5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B11D-4E4B-BE7D-F1CDC4AAD036}"/>
                </c:ext>
              </c:extLst>
            </c:dLbl>
            <c:dLbl>
              <c:idx val="7"/>
              <c:tx>
                <c:rich>
                  <a:bodyPr/>
                  <a:lstStyle/>
                  <a:p>
                    <a:fld id="{84F794A1-F367-48D8-A332-E947262324D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B11D-4E4B-BE7D-F1CDC4AAD036}"/>
                </c:ext>
              </c:extLst>
            </c:dLbl>
            <c:dLbl>
              <c:idx val="8"/>
              <c:tx>
                <c:rich>
                  <a:bodyPr/>
                  <a:lstStyle/>
                  <a:p>
                    <a:fld id="{685BF5EC-4A45-428F-911E-19B46C1CFFC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B11D-4E4B-BE7D-F1CDC4AAD036}"/>
                </c:ext>
              </c:extLst>
            </c:dLbl>
            <c:dLbl>
              <c:idx val="9"/>
              <c:tx>
                <c:rich>
                  <a:bodyPr/>
                  <a:lstStyle/>
                  <a:p>
                    <a:fld id="{F6492794-BFF1-4F99-9A81-A9E2769ACB0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B11D-4E4B-BE7D-F1CDC4AAD036}"/>
                </c:ext>
              </c:extLst>
            </c:dLbl>
            <c:dLbl>
              <c:idx val="10"/>
              <c:tx>
                <c:rich>
                  <a:bodyPr/>
                  <a:lstStyle/>
                  <a:p>
                    <a:fld id="{378D1551-C9E5-49C1-9793-468EAF45C4E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B11D-4E4B-BE7D-F1CDC4AAD036}"/>
                </c:ext>
              </c:extLst>
            </c:dLbl>
            <c:dLbl>
              <c:idx val="11"/>
              <c:tx>
                <c:rich>
                  <a:bodyPr/>
                  <a:lstStyle/>
                  <a:p>
                    <a:fld id="{4CC31AB0-53E6-4590-A3F8-CEA5734CD7E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B11D-4E4B-BE7D-F1CDC4AAD036}"/>
                </c:ext>
              </c:extLst>
            </c:dLbl>
            <c:dLbl>
              <c:idx val="12"/>
              <c:tx>
                <c:rich>
                  <a:bodyPr/>
                  <a:lstStyle/>
                  <a:p>
                    <a:fld id="{8B08DF44-9EAB-4D59-8023-8B8E83A028C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B11D-4E4B-BE7D-F1CDC4AAD036}"/>
                </c:ext>
              </c:extLst>
            </c:dLbl>
            <c:dLbl>
              <c:idx val="13"/>
              <c:tx>
                <c:rich>
                  <a:bodyPr/>
                  <a:lstStyle/>
                  <a:p>
                    <a:fld id="{A9E6FAB7-8DAA-43A3-BBC5-BEDA41E1387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B11D-4E4B-BE7D-F1CDC4AAD036}"/>
                </c:ext>
              </c:extLst>
            </c:dLbl>
            <c:dLbl>
              <c:idx val="14"/>
              <c:tx>
                <c:rich>
                  <a:bodyPr/>
                  <a:lstStyle/>
                  <a:p>
                    <a:fld id="{C30B7F8D-E24A-42ED-920A-8775580DB38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B11D-4E4B-BE7D-F1CDC4AAD036}"/>
                </c:ext>
              </c:extLst>
            </c:dLbl>
            <c:dLbl>
              <c:idx val="15"/>
              <c:tx>
                <c:rich>
                  <a:bodyPr/>
                  <a:lstStyle/>
                  <a:p>
                    <a:fld id="{D80F5686-044E-4D4C-92BB-B230335ED84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B11D-4E4B-BE7D-F1CDC4AAD036}"/>
                </c:ext>
              </c:extLst>
            </c:dLbl>
            <c:dLbl>
              <c:idx val="16"/>
              <c:tx>
                <c:rich>
                  <a:bodyPr/>
                  <a:lstStyle/>
                  <a:p>
                    <a:fld id="{228DD8EA-214C-4BAC-8532-9567C39D1AB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B11D-4E4B-BE7D-F1CDC4AAD036}"/>
                </c:ext>
              </c:extLst>
            </c:dLbl>
            <c:dLbl>
              <c:idx val="17"/>
              <c:tx>
                <c:rich>
                  <a:bodyPr/>
                  <a:lstStyle/>
                  <a:p>
                    <a:fld id="{11A651CC-030A-4617-95A7-1C11E97D5A4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B11D-4E4B-BE7D-F1CDC4AAD036}"/>
                </c:ext>
              </c:extLst>
            </c:dLbl>
            <c:dLbl>
              <c:idx val="18"/>
              <c:tx>
                <c:rich>
                  <a:bodyPr/>
                  <a:lstStyle/>
                  <a:p>
                    <a:fld id="{797A4C25-6999-47A5-93EB-7CFF0165218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B11D-4E4B-BE7D-F1CDC4AAD036}"/>
                </c:ext>
              </c:extLst>
            </c:dLbl>
            <c:dLbl>
              <c:idx val="19"/>
              <c:tx>
                <c:rich>
                  <a:bodyPr/>
                  <a:lstStyle/>
                  <a:p>
                    <a:fld id="{5762FFDC-CDA0-4ABE-89F4-9728B8B05E2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B11D-4E4B-BE7D-F1CDC4AAD036}"/>
                </c:ext>
              </c:extLst>
            </c:dLbl>
            <c:dLbl>
              <c:idx val="20"/>
              <c:tx>
                <c:rich>
                  <a:bodyPr/>
                  <a:lstStyle/>
                  <a:p>
                    <a:fld id="{1389445E-7E19-45E6-800C-73ED46DBF6B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B11D-4E4B-BE7D-F1CDC4AAD036}"/>
                </c:ext>
              </c:extLst>
            </c:dLbl>
            <c:dLbl>
              <c:idx val="21"/>
              <c:tx>
                <c:rich>
                  <a:bodyPr/>
                  <a:lstStyle/>
                  <a:p>
                    <a:fld id="{8B666EBF-917A-487B-A5FB-EC31E24B4C8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B11D-4E4B-BE7D-F1CDC4AAD036}"/>
                </c:ext>
              </c:extLst>
            </c:dLbl>
            <c:dLbl>
              <c:idx val="22"/>
              <c:tx>
                <c:rich>
                  <a:bodyPr/>
                  <a:lstStyle/>
                  <a:p>
                    <a:fld id="{64B4868F-2109-4509-BFB6-CBD5BBF6C33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B11D-4E4B-BE7D-F1CDC4AAD036}"/>
                </c:ext>
              </c:extLst>
            </c:dLbl>
            <c:dLbl>
              <c:idx val="23"/>
              <c:tx>
                <c:rich>
                  <a:bodyPr/>
                  <a:lstStyle/>
                  <a:p>
                    <a:fld id="{B4A2E35D-891E-46C7-9F56-6FFB83D05C5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B11D-4E4B-BE7D-F1CDC4AAD036}"/>
                </c:ext>
              </c:extLst>
            </c:dLbl>
            <c:dLbl>
              <c:idx val="24"/>
              <c:tx>
                <c:rich>
                  <a:bodyPr/>
                  <a:lstStyle/>
                  <a:p>
                    <a:fld id="{E9A6E017-F489-441B-933F-8626D448996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B11D-4E4B-BE7D-F1CDC4AAD036}"/>
                </c:ext>
              </c:extLst>
            </c:dLbl>
            <c:dLbl>
              <c:idx val="25"/>
              <c:tx>
                <c:rich>
                  <a:bodyPr/>
                  <a:lstStyle/>
                  <a:p>
                    <a:fld id="{0DC6C6BA-E69D-445C-B2EE-1E2F46D3100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B11D-4E4B-BE7D-F1CDC4AAD036}"/>
                </c:ext>
              </c:extLst>
            </c:dLbl>
            <c:dLbl>
              <c:idx val="26"/>
              <c:tx>
                <c:rich>
                  <a:bodyPr/>
                  <a:lstStyle/>
                  <a:p>
                    <a:fld id="{3BCD7860-C0B5-4139-8799-2E49CA5224D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B11D-4E4B-BE7D-F1CDC4AAD036}"/>
                </c:ext>
              </c:extLst>
            </c:dLbl>
            <c:dLbl>
              <c:idx val="27"/>
              <c:tx>
                <c:rich>
                  <a:bodyPr/>
                  <a:lstStyle/>
                  <a:p>
                    <a:fld id="{B1714130-12AD-46AC-8335-5043C5B1F19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B11D-4E4B-BE7D-F1CDC4AAD036}"/>
                </c:ext>
              </c:extLst>
            </c:dLbl>
            <c:dLbl>
              <c:idx val="28"/>
              <c:tx>
                <c:rich>
                  <a:bodyPr/>
                  <a:lstStyle/>
                  <a:p>
                    <a:fld id="{44F9D0AB-8E04-4C93-B427-B113E8778DD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B11D-4E4B-BE7D-F1CDC4AAD036}"/>
                </c:ext>
              </c:extLst>
            </c:dLbl>
            <c:dLbl>
              <c:idx val="29"/>
              <c:tx>
                <c:rich>
                  <a:bodyPr/>
                  <a:lstStyle/>
                  <a:p>
                    <a:fld id="{886A9AC3-D769-4909-85E8-B4326DF8830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B11D-4E4B-BE7D-F1CDC4AAD036}"/>
                </c:ext>
              </c:extLst>
            </c:dLbl>
            <c:dLbl>
              <c:idx val="30"/>
              <c:tx>
                <c:rich>
                  <a:bodyPr/>
                  <a:lstStyle/>
                  <a:p>
                    <a:fld id="{4D420685-C892-40F4-9A28-F736CC399A3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B11D-4E4B-BE7D-F1CDC4AAD036}"/>
                </c:ext>
              </c:extLst>
            </c:dLbl>
            <c:dLbl>
              <c:idx val="31"/>
              <c:tx>
                <c:rich>
                  <a:bodyPr/>
                  <a:lstStyle/>
                  <a:p>
                    <a:fld id="{BF1CCC26-2226-4619-A05B-6793E9332B0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B11D-4E4B-BE7D-F1CDC4AAD036}"/>
                </c:ext>
              </c:extLst>
            </c:dLbl>
            <c:dLbl>
              <c:idx val="32"/>
              <c:tx>
                <c:rich>
                  <a:bodyPr/>
                  <a:lstStyle/>
                  <a:p>
                    <a:fld id="{75DAE326-5B9D-477E-B247-CF0E1832DB5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B11D-4E4B-BE7D-F1CDC4AAD036}"/>
                </c:ext>
              </c:extLst>
            </c:dLbl>
            <c:dLbl>
              <c:idx val="33"/>
              <c:tx>
                <c:rich>
                  <a:bodyPr/>
                  <a:lstStyle/>
                  <a:p>
                    <a:fld id="{7096ED4D-AB35-4A45-8E30-EA37FA2D510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B11D-4E4B-BE7D-F1CDC4AAD036}"/>
                </c:ext>
              </c:extLst>
            </c:dLbl>
            <c:dLbl>
              <c:idx val="34"/>
              <c:tx>
                <c:rich>
                  <a:bodyPr/>
                  <a:lstStyle/>
                  <a:p>
                    <a:fld id="{43663037-683E-4734-A145-CD34B8261BC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B11D-4E4B-BE7D-F1CDC4AAD036}"/>
                </c:ext>
              </c:extLst>
            </c:dLbl>
            <c:dLbl>
              <c:idx val="35"/>
              <c:tx>
                <c:rich>
                  <a:bodyPr/>
                  <a:lstStyle/>
                  <a:p>
                    <a:fld id="{73EA637C-43C5-471A-B3C2-15BD7EC8D04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B11D-4E4B-BE7D-F1CDC4AAD036}"/>
                </c:ext>
              </c:extLst>
            </c:dLbl>
            <c:dLbl>
              <c:idx val="36"/>
              <c:tx>
                <c:rich>
                  <a:bodyPr/>
                  <a:lstStyle/>
                  <a:p>
                    <a:fld id="{F30A699F-FB22-46E5-9ADA-2DEF8673253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B11D-4E4B-BE7D-F1CDC4AAD036}"/>
                </c:ext>
              </c:extLst>
            </c:dLbl>
            <c:dLbl>
              <c:idx val="37"/>
              <c:tx>
                <c:rich>
                  <a:bodyPr/>
                  <a:lstStyle/>
                  <a:p>
                    <a:fld id="{86672378-A384-4AA9-9CDF-2E436B5AD2F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B11D-4E4B-BE7D-F1CDC4AAD036}"/>
                </c:ext>
              </c:extLst>
            </c:dLbl>
            <c:dLbl>
              <c:idx val="38"/>
              <c:tx>
                <c:rich>
                  <a:bodyPr/>
                  <a:lstStyle/>
                  <a:p>
                    <a:fld id="{4439DEAC-8280-4FCF-8D33-94552533DD9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B11D-4E4B-BE7D-F1CDC4AAD036}"/>
                </c:ext>
              </c:extLst>
            </c:dLbl>
            <c:dLbl>
              <c:idx val="39"/>
              <c:tx>
                <c:rich>
                  <a:bodyPr/>
                  <a:lstStyle/>
                  <a:p>
                    <a:fld id="{AF9171E6-5620-43C5-A9FF-44EF071A1A5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B11D-4E4B-BE7D-F1CDC4AAD036}"/>
                </c:ext>
              </c:extLst>
            </c:dLbl>
            <c:dLbl>
              <c:idx val="40"/>
              <c:tx>
                <c:rich>
                  <a:bodyPr/>
                  <a:lstStyle/>
                  <a:p>
                    <a:fld id="{4332D664-C5DF-4956-903C-EACA3283133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B11D-4E4B-BE7D-F1CDC4AAD036}"/>
                </c:ext>
              </c:extLst>
            </c:dLbl>
            <c:dLbl>
              <c:idx val="41"/>
              <c:tx>
                <c:rich>
                  <a:bodyPr/>
                  <a:lstStyle/>
                  <a:p>
                    <a:fld id="{5D60986C-9255-436D-85CE-F833E1195E7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B11D-4E4B-BE7D-F1CDC4AAD036}"/>
                </c:ext>
              </c:extLst>
            </c:dLbl>
            <c:dLbl>
              <c:idx val="42"/>
              <c:tx>
                <c:rich>
                  <a:bodyPr/>
                  <a:lstStyle/>
                  <a:p>
                    <a:fld id="{C5DD1185-3A5E-4411-AAB2-32652A03300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B11D-4E4B-BE7D-F1CDC4AAD036}"/>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graf'!$M$44:$M$86</c:f>
              <c:numCache>
                <c:formatCode>General</c:formatCode>
                <c:ptCount val="43"/>
                <c:pt idx="0">
                  <c:v>75</c:v>
                </c:pt>
                <c:pt idx="1">
                  <c:v>75</c:v>
                </c:pt>
                <c:pt idx="2">
                  <c:v>75</c:v>
                </c:pt>
                <c:pt idx="3">
                  <c:v>75</c:v>
                </c:pt>
                <c:pt idx="4">
                  <c:v>75</c:v>
                </c:pt>
                <c:pt idx="5">
                  <c:v>75</c:v>
                </c:pt>
                <c:pt idx="6">
                  <c:v>75</c:v>
                </c:pt>
                <c:pt idx="7">
                  <c:v>75</c:v>
                </c:pt>
                <c:pt idx="8">
                  <c:v>75</c:v>
                </c:pt>
                <c:pt idx="9">
                  <c:v>75</c:v>
                </c:pt>
                <c:pt idx="10">
                  <c:v>75</c:v>
                </c:pt>
                <c:pt idx="11">
                  <c:v>75</c:v>
                </c:pt>
                <c:pt idx="12">
                  <c:v>75</c:v>
                </c:pt>
                <c:pt idx="13">
                  <c:v>75</c:v>
                </c:pt>
                <c:pt idx="14">
                  <c:v>75</c:v>
                </c:pt>
                <c:pt idx="15">
                  <c:v>75</c:v>
                </c:pt>
                <c:pt idx="16">
                  <c:v>75</c:v>
                </c:pt>
                <c:pt idx="17">
                  <c:v>75</c:v>
                </c:pt>
                <c:pt idx="18">
                  <c:v>75</c:v>
                </c:pt>
                <c:pt idx="19">
                  <c:v>75</c:v>
                </c:pt>
                <c:pt idx="20">
                  <c:v>75</c:v>
                </c:pt>
                <c:pt idx="21">
                  <c:v>75</c:v>
                </c:pt>
                <c:pt idx="22">
                  <c:v>75</c:v>
                </c:pt>
                <c:pt idx="23">
                  <c:v>75</c:v>
                </c:pt>
                <c:pt idx="24">
                  <c:v>75</c:v>
                </c:pt>
                <c:pt idx="25">
                  <c:v>75</c:v>
                </c:pt>
                <c:pt idx="26">
                  <c:v>75</c:v>
                </c:pt>
                <c:pt idx="27">
                  <c:v>75</c:v>
                </c:pt>
                <c:pt idx="28">
                  <c:v>75</c:v>
                </c:pt>
                <c:pt idx="29">
                  <c:v>75</c:v>
                </c:pt>
                <c:pt idx="30">
                  <c:v>75</c:v>
                </c:pt>
                <c:pt idx="31">
                  <c:v>75</c:v>
                </c:pt>
                <c:pt idx="32">
                  <c:v>75</c:v>
                </c:pt>
                <c:pt idx="33">
                  <c:v>75</c:v>
                </c:pt>
                <c:pt idx="34">
                  <c:v>75</c:v>
                </c:pt>
                <c:pt idx="35">
                  <c:v>75</c:v>
                </c:pt>
                <c:pt idx="36">
                  <c:v>75</c:v>
                </c:pt>
                <c:pt idx="37">
                  <c:v>75</c:v>
                </c:pt>
                <c:pt idx="38">
                  <c:v>75</c:v>
                </c:pt>
                <c:pt idx="39">
                  <c:v>75</c:v>
                </c:pt>
                <c:pt idx="40">
                  <c:v>75</c:v>
                </c:pt>
                <c:pt idx="41">
                  <c:v>75</c:v>
                </c:pt>
                <c:pt idx="42">
                  <c:v>75</c:v>
                </c:pt>
              </c:numCache>
            </c:numRef>
          </c:val>
          <c:smooth val="0"/>
          <c:extLst>
            <c:ext xmlns:c15="http://schemas.microsoft.com/office/drawing/2012/chart" uri="{02D57815-91ED-43cb-92C2-25804820EDAC}">
              <c15:datalabelsRange>
                <c15:f>'Prerađivačka_FS graf'!$B$44:$B$86</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0-B11D-4E4B-BE7D-F1CDC4AAD036}"/>
            </c:ext>
          </c:extLst>
        </c:ser>
        <c:ser>
          <c:idx val="0"/>
          <c:order val="2"/>
          <c:tx>
            <c:strRef>
              <c:f>'Prerađivačka_FS graf'!$N$7</c:f>
              <c:strCache>
                <c:ptCount val="1"/>
                <c:pt idx="0">
                  <c:v>y</c:v>
                </c:pt>
              </c:strCache>
            </c:strRef>
          </c:tx>
          <c:spPr>
            <a:ln w="12700" cap="rnd">
              <a:solidFill>
                <a:srgbClr val="92278F"/>
              </a:solidFill>
              <a:prstDash val="sysDash"/>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graf'!$N$44:$N$86</c:f>
              <c:numCache>
                <c:formatCode>0.0</c:formatCode>
                <c:ptCount val="43"/>
                <c:pt idx="0">
                  <c:v>84.455255272853094</c:v>
                </c:pt>
                <c:pt idx="1">
                  <c:v>90.309617354592405</c:v>
                </c:pt>
                <c:pt idx="2">
                  <c:v>98.580661803889598</c:v>
                </c:pt>
                <c:pt idx="3">
                  <c:v>85.950667148452595</c:v>
                </c:pt>
                <c:pt idx="4">
                  <c:v>94.955334042491003</c:v>
                </c:pt>
                <c:pt idx="5">
                  <c:v>98.770767074819602</c:v>
                </c:pt>
                <c:pt idx="6">
                  <c:v>96.751571546707495</c:v>
                </c:pt>
                <c:pt idx="7">
                  <c:v>92.848492269471507</c:v>
                </c:pt>
                <c:pt idx="8">
                  <c:v>113.3719719188927</c:v>
                </c:pt>
                <c:pt idx="9">
                  <c:v>123.06867249587791</c:v>
                </c:pt>
                <c:pt idx="10">
                  <c:v>109.8091459503582</c:v>
                </c:pt>
                <c:pt idx="11">
                  <c:v>103.8515681602849</c:v>
                </c:pt>
                <c:pt idx="12">
                  <c:v>83.337208581970202</c:v>
                </c:pt>
                <c:pt idx="13">
                  <c:v>86.732884523581205</c:v>
                </c:pt>
                <c:pt idx="14">
                  <c:v>103.64558311996311</c:v>
                </c:pt>
                <c:pt idx="15">
                  <c:v>100.4480406594266</c:v>
                </c:pt>
                <c:pt idx="16">
                  <c:v>90.880457760606006</c:v>
                </c:pt>
                <c:pt idx="17">
                  <c:v>98.361372638956794</c:v>
                </c:pt>
                <c:pt idx="18">
                  <c:v>95.667437501813197</c:v>
                </c:pt>
                <c:pt idx="19">
                  <c:v>94.142321741083407</c:v>
                </c:pt>
                <c:pt idx="20">
                  <c:v>106.74962980108489</c:v>
                </c:pt>
                <c:pt idx="21">
                  <c:v>121.2230031058094</c:v>
                </c:pt>
                <c:pt idx="22">
                  <c:v>110.60338317555539</c:v>
                </c:pt>
                <c:pt idx="23">
                  <c:v>107.4818416509635</c:v>
                </c:pt>
                <c:pt idx="24">
                  <c:v>83.876945293478997</c:v>
                </c:pt>
                <c:pt idx="25">
                  <c:v>90.248860510139394</c:v>
                </c:pt>
                <c:pt idx="26">
                  <c:v>106.1160749935005</c:v>
                </c:pt>
                <c:pt idx="27">
                  <c:v>96.083893249882905</c:v>
                </c:pt>
                <c:pt idx="28">
                  <c:v>99.325836179935806</c:v>
                </c:pt>
                <c:pt idx="29">
                  <c:v>102.96296296296296</c:v>
                </c:pt>
                <c:pt idx="30">
                  <c:v>92.185954500494574</c:v>
                </c:pt>
                <c:pt idx="31">
                  <c:v>100.24636607792669</c:v>
                </c:pt>
                <c:pt idx="32">
                  <c:v>97.276081810508799</c:v>
                </c:pt>
                <c:pt idx="33">
                  <c:v>112.2937881114844</c:v>
                </c:pt>
                <c:pt idx="34">
                  <c:v>113.9623611080693</c:v>
                </c:pt>
                <c:pt idx="35">
                  <c:v>105.3882089631899</c:v>
                </c:pt>
                <c:pt idx="36">
                  <c:v>86.929891324638803</c:v>
                </c:pt>
                <c:pt idx="37">
                  <c:v>88.536932164824094</c:v>
                </c:pt>
                <c:pt idx="38">
                  <c:v>103.6854886699423</c:v>
                </c:pt>
                <c:pt idx="39">
                  <c:v>97.016845379717196</c:v>
                </c:pt>
                <c:pt idx="40">
                  <c:v>101.3</c:v>
                </c:pt>
                <c:pt idx="41">
                  <c:v>97.2</c:v>
                </c:pt>
                <c:pt idx="42">
                  <c:v>93.2</c:v>
                </c:pt>
              </c:numCache>
            </c:numRef>
          </c:val>
          <c:smooth val="0"/>
          <c:extLst>
            <c:ext xmlns:c16="http://schemas.microsoft.com/office/drawing/2014/chart" uri="{C3380CC4-5D6E-409C-BE32-E72D297353CC}">
              <c16:uniqueId val="{00000031-B11D-4E4B-BE7D-F1CDC4AAD036}"/>
            </c:ext>
          </c:extLst>
        </c:ser>
        <c:ser>
          <c:idx val="1"/>
          <c:order val="3"/>
          <c:tx>
            <c:strRef>
              <c:f>'Prerađivačka_FS graf'!$O$7</c:f>
              <c:strCache>
                <c:ptCount val="1"/>
                <c:pt idx="0">
                  <c:v>sa</c:v>
                </c:pt>
              </c:strCache>
            </c:strRef>
          </c:tx>
          <c:spPr>
            <a:ln w="22225" cap="rnd">
              <a:solidFill>
                <a:srgbClr val="25AAE1"/>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graf'!$O$44:$O$86</c:f>
              <c:numCache>
                <c:formatCode>0.0</c:formatCode>
                <c:ptCount val="43"/>
                <c:pt idx="0">
                  <c:v>104.09639890557149</c:v>
                </c:pt>
                <c:pt idx="1">
                  <c:v>97.857538789350841</c:v>
                </c:pt>
                <c:pt idx="2">
                  <c:v>98.074014693690089</c:v>
                </c:pt>
                <c:pt idx="3">
                  <c:v>88.570281849759837</c:v>
                </c:pt>
                <c:pt idx="4">
                  <c:v>98.392630523209434</c:v>
                </c:pt>
                <c:pt idx="5">
                  <c:v>98.088905455111501</c:v>
                </c:pt>
                <c:pt idx="6">
                  <c:v>100.17396420602483</c:v>
                </c:pt>
                <c:pt idx="7">
                  <c:v>99.611683899479871</c:v>
                </c:pt>
                <c:pt idx="8">
                  <c:v>102.84797047219067</c:v>
                </c:pt>
                <c:pt idx="9">
                  <c:v>101.1718695841876</c:v>
                </c:pt>
                <c:pt idx="10">
                  <c:v>99.878879761774726</c:v>
                </c:pt>
                <c:pt idx="11">
                  <c:v>98.731924140905889</c:v>
                </c:pt>
                <c:pt idx="12">
                  <c:v>103.27577184124446</c:v>
                </c:pt>
                <c:pt idx="13">
                  <c:v>100.2166866651354</c:v>
                </c:pt>
                <c:pt idx="14">
                  <c:v>100.44810908201367</c:v>
                </c:pt>
                <c:pt idx="15">
                  <c:v>101.05306945523178</c:v>
                </c:pt>
                <c:pt idx="16">
                  <c:v>93.322657292890369</c:v>
                </c:pt>
                <c:pt idx="17">
                  <c:v>98.072317495740094</c:v>
                </c:pt>
                <c:pt idx="18">
                  <c:v>100.76410766452392</c:v>
                </c:pt>
                <c:pt idx="19">
                  <c:v>99.272831670078702</c:v>
                </c:pt>
                <c:pt idx="20">
                  <c:v>98.179656952275153</c:v>
                </c:pt>
                <c:pt idx="21">
                  <c:v>102.22756469791226</c:v>
                </c:pt>
                <c:pt idx="22">
                  <c:v>99.201856751762378</c:v>
                </c:pt>
                <c:pt idx="23">
                  <c:v>102.07794922541628</c:v>
                </c:pt>
                <c:pt idx="24">
                  <c:v>100.32572876117553</c:v>
                </c:pt>
                <c:pt idx="25">
                  <c:v>103.39541586522181</c:v>
                </c:pt>
                <c:pt idx="26">
                  <c:v>102.43125571634154</c:v>
                </c:pt>
                <c:pt idx="27">
                  <c:v>99.623673208931066</c:v>
                </c:pt>
                <c:pt idx="28">
                  <c:v>99.941166902408028</c:v>
                </c:pt>
                <c:pt idx="29">
                  <c:v>103.15610015479749</c:v>
                </c:pt>
                <c:pt idx="30">
                  <c:v>98.925763572519699</c:v>
                </c:pt>
                <c:pt idx="31">
                  <c:v>103.79987718615433</c:v>
                </c:pt>
                <c:pt idx="32">
                  <c:v>90.596755515865794</c:v>
                </c:pt>
                <c:pt idx="33">
                  <c:v>95.125913251590788</c:v>
                </c:pt>
                <c:pt idx="34">
                  <c:v>102.19697204981588</c:v>
                </c:pt>
                <c:pt idx="35">
                  <c:v>101.46237709216877</c:v>
                </c:pt>
                <c:pt idx="36">
                  <c:v>101.61800077815367</c:v>
                </c:pt>
                <c:pt idx="37">
                  <c:v>100.91816768039604</c:v>
                </c:pt>
                <c:pt idx="38">
                  <c:v>99.916145627521942</c:v>
                </c:pt>
                <c:pt idx="39">
                  <c:v>102.33148254699951</c:v>
                </c:pt>
                <c:pt idx="40">
                  <c:v>102.41751060767551</c:v>
                </c:pt>
                <c:pt idx="41">
                  <c:v>97.387829324998719</c:v>
                </c:pt>
                <c:pt idx="42">
                  <c:v>100.26633183714603</c:v>
                </c:pt>
              </c:numCache>
            </c:numRef>
          </c:val>
          <c:smooth val="0"/>
          <c:extLst>
            <c:ext xmlns:c16="http://schemas.microsoft.com/office/drawing/2014/chart" uri="{C3380CC4-5D6E-409C-BE32-E72D297353CC}">
              <c16:uniqueId val="{00000032-B11D-4E4B-BE7D-F1CDC4AAD036}"/>
            </c:ext>
          </c:extLst>
        </c:ser>
        <c:ser>
          <c:idx val="2"/>
          <c:order val="4"/>
          <c:tx>
            <c:strRef>
              <c:f>'Prerađivačka_FS graf'!$P$7</c:f>
              <c:strCache>
                <c:ptCount val="1"/>
                <c:pt idx="0">
                  <c:v>t</c:v>
                </c:pt>
              </c:strCache>
            </c:strRef>
          </c:tx>
          <c:spPr>
            <a:ln w="25400" cap="rnd">
              <a:solidFill>
                <a:srgbClr val="FF0000"/>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graf'!$P$44:$P$86</c:f>
              <c:numCache>
                <c:formatCode>0.0</c:formatCode>
                <c:ptCount val="43"/>
                <c:pt idx="0">
                  <c:v>96.791742795370496</c:v>
                </c:pt>
                <c:pt idx="1">
                  <c:v>97.265211368556322</c:v>
                </c:pt>
                <c:pt idx="2">
                  <c:v>97.57625522946249</c:v>
                </c:pt>
                <c:pt idx="3">
                  <c:v>97.83367839368006</c:v>
                </c:pt>
                <c:pt idx="4">
                  <c:v>98.27304085834578</c:v>
                </c:pt>
                <c:pt idx="5">
                  <c:v>98.964846935257626</c:v>
                </c:pt>
                <c:pt idx="6">
                  <c:v>99.695293954386727</c:v>
                </c:pt>
                <c:pt idx="7">
                  <c:v>100.33201538991247</c:v>
                </c:pt>
                <c:pt idx="8">
                  <c:v>100.75947906351314</c:v>
                </c:pt>
                <c:pt idx="9">
                  <c:v>100.91908343171161</c:v>
                </c:pt>
                <c:pt idx="10">
                  <c:v>100.91088092261936</c:v>
                </c:pt>
                <c:pt idx="11">
                  <c:v>100.88244352173285</c:v>
                </c:pt>
                <c:pt idx="12">
                  <c:v>100.80130121972452</c:v>
                </c:pt>
                <c:pt idx="13">
                  <c:v>100.6826512568508</c:v>
                </c:pt>
                <c:pt idx="14">
                  <c:v>100.51094108072809</c:v>
                </c:pt>
                <c:pt idx="15">
                  <c:v>100.18972848720922</c:v>
                </c:pt>
                <c:pt idx="16">
                  <c:v>99.769715249965984</c:v>
                </c:pt>
                <c:pt idx="17">
                  <c:v>99.414583837470687</c:v>
                </c:pt>
                <c:pt idx="18">
                  <c:v>99.317465876729486</c:v>
                </c:pt>
                <c:pt idx="19">
                  <c:v>99.45065629493277</c:v>
                </c:pt>
                <c:pt idx="20">
                  <c:v>99.709762704839477</c:v>
                </c:pt>
                <c:pt idx="21">
                  <c:v>100.18387294027185</c:v>
                </c:pt>
                <c:pt idx="22">
                  <c:v>100.76550787576794</c:v>
                </c:pt>
                <c:pt idx="23">
                  <c:v>101.22279426914136</c:v>
                </c:pt>
                <c:pt idx="24">
                  <c:v>101.5516243230628</c:v>
                </c:pt>
                <c:pt idx="25">
                  <c:v>101.70806464635619</c:v>
                </c:pt>
                <c:pt idx="26">
                  <c:v>101.62264560697685</c:v>
                </c:pt>
                <c:pt idx="27">
                  <c:v>101.38676857770031</c:v>
                </c:pt>
                <c:pt idx="28">
                  <c:v>100.96373741837775</c:v>
                </c:pt>
                <c:pt idx="29">
                  <c:v>100.34970432902263</c:v>
                </c:pt>
                <c:pt idx="30">
                  <c:v>99.771535816916796</c:v>
                </c:pt>
                <c:pt idx="31">
                  <c:v>99.388386116435711</c:v>
                </c:pt>
                <c:pt idx="32">
                  <c:v>99.359501655748403</c:v>
                </c:pt>
                <c:pt idx="33">
                  <c:v>99.574655546907493</c:v>
                </c:pt>
                <c:pt idx="34">
                  <c:v>99.979825952958791</c:v>
                </c:pt>
                <c:pt idx="35">
                  <c:v>100.5697327945384</c:v>
                </c:pt>
                <c:pt idx="36">
                  <c:v>101.10779399772134</c:v>
                </c:pt>
                <c:pt idx="37">
                  <c:v>101.33261811903482</c:v>
                </c:pt>
                <c:pt idx="38">
                  <c:v>101.36043524560219</c:v>
                </c:pt>
                <c:pt idx="39">
                  <c:v>101.23040358984501</c:v>
                </c:pt>
                <c:pt idx="40">
                  <c:v>100.98575310995086</c:v>
                </c:pt>
                <c:pt idx="41">
                  <c:v>100.71475467479247</c:v>
                </c:pt>
                <c:pt idx="42">
                  <c:v>100.44027387978703</c:v>
                </c:pt>
              </c:numCache>
            </c:numRef>
          </c:val>
          <c:smooth val="0"/>
          <c:extLst>
            <c:ext xmlns:c16="http://schemas.microsoft.com/office/drawing/2014/chart" uri="{C3380CC4-5D6E-409C-BE32-E72D297353CC}">
              <c16:uniqueId val="{00000033-B11D-4E4B-BE7D-F1CDC4AAD036}"/>
            </c:ext>
          </c:extLst>
        </c:ser>
        <c:dLbls>
          <c:showLegendKey val="0"/>
          <c:showVal val="0"/>
          <c:showCatName val="0"/>
          <c:showSerName val="0"/>
          <c:showPercent val="0"/>
          <c:showBubbleSize val="0"/>
        </c:dLbls>
        <c:marker val="1"/>
        <c:smooth val="0"/>
        <c:axId val="2092140400"/>
        <c:axId val="2092173040"/>
      </c:lineChart>
      <c:dateAx>
        <c:axId val="209214040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3040"/>
        <c:crosses val="autoZero"/>
        <c:auto val="1"/>
        <c:lblOffset val="0"/>
        <c:baseTimeUnit val="months"/>
        <c:majorUnit val="12"/>
        <c:majorTimeUnit val="months"/>
      </c:dateAx>
      <c:valAx>
        <c:axId val="2092173040"/>
        <c:scaling>
          <c:orientation val="minMax"/>
          <c:max val="125"/>
          <c:min val="75"/>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40400"/>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graf'!$AV$7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17342077530719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290-4368-888E-7C744612657F}"/>
                </c:ext>
              </c:extLst>
            </c:dLbl>
            <c:dLbl>
              <c:idx val="12"/>
              <c:layout>
                <c:manualLayout>
                  <c:x val="7.530809360820073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290-4368-888E-7C744612657F}"/>
                </c:ext>
              </c:extLst>
            </c:dLbl>
            <c:dLbl>
              <c:idx val="24"/>
              <c:layout>
                <c:manualLayout>
                  <c:x val="7.202501328177392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290-4368-888E-7C744612657F}"/>
                </c:ext>
              </c:extLst>
            </c:dLbl>
            <c:dLbl>
              <c:idx val="36"/>
              <c:layout>
                <c:manualLayout>
                  <c:x val="3.125963472944211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290-4368-888E-7C744612657F}"/>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graf'!$AV$44:$AV$86</c:f>
              <c:numCache>
                <c:formatCode>General</c:formatCode>
                <c:ptCount val="43"/>
                <c:pt idx="0">
                  <c:v>55</c:v>
                </c:pt>
                <c:pt idx="12">
                  <c:v>55</c:v>
                </c:pt>
                <c:pt idx="24">
                  <c:v>55</c:v>
                </c:pt>
                <c:pt idx="36">
                  <c:v>55</c:v>
                </c:pt>
              </c:numCache>
            </c:numRef>
          </c:val>
          <c:smooth val="0"/>
          <c:extLst>
            <c:ext xmlns:c16="http://schemas.microsoft.com/office/drawing/2014/chart" uri="{C3380CC4-5D6E-409C-BE32-E72D297353CC}">
              <c16:uniqueId val="{00000004-3290-4368-888E-7C744612657F}"/>
            </c:ext>
          </c:extLst>
        </c:ser>
        <c:ser>
          <c:idx val="4"/>
          <c:order val="1"/>
          <c:tx>
            <c:strRef>
              <c:f>'Prerađivačka_FS graf'!$AW$7</c:f>
              <c:strCache>
                <c:ptCount val="1"/>
                <c:pt idx="0">
                  <c:v>Series5</c:v>
                </c:pt>
              </c:strCache>
            </c:strRef>
          </c:tx>
          <c:spPr>
            <a:ln w="25400" cap="rnd">
              <a:noFill/>
              <a:round/>
            </a:ln>
            <a:effectLst/>
          </c:spPr>
          <c:marker>
            <c:symbol val="none"/>
          </c:marker>
          <c:dLbls>
            <c:dLbl>
              <c:idx val="0"/>
              <c:tx>
                <c:rich>
                  <a:bodyPr/>
                  <a:lstStyle/>
                  <a:p>
                    <a:fld id="{0844B704-C76D-4E5B-BC78-180E24E4B1E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3290-4368-888E-7C744612657F}"/>
                </c:ext>
              </c:extLst>
            </c:dLbl>
            <c:dLbl>
              <c:idx val="1"/>
              <c:tx>
                <c:rich>
                  <a:bodyPr/>
                  <a:lstStyle/>
                  <a:p>
                    <a:fld id="{3108F279-4F74-4A42-B84F-B5426A5F9BE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3290-4368-888E-7C744612657F}"/>
                </c:ext>
              </c:extLst>
            </c:dLbl>
            <c:dLbl>
              <c:idx val="2"/>
              <c:tx>
                <c:rich>
                  <a:bodyPr/>
                  <a:lstStyle/>
                  <a:p>
                    <a:fld id="{3ABD4663-E9B5-47BC-842A-BAC04CE0B3F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3290-4368-888E-7C744612657F}"/>
                </c:ext>
              </c:extLst>
            </c:dLbl>
            <c:dLbl>
              <c:idx val="3"/>
              <c:tx>
                <c:rich>
                  <a:bodyPr/>
                  <a:lstStyle/>
                  <a:p>
                    <a:fld id="{4EA5BDD2-2EFF-4C24-B60F-E81B900C2F3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3290-4368-888E-7C744612657F}"/>
                </c:ext>
              </c:extLst>
            </c:dLbl>
            <c:dLbl>
              <c:idx val="4"/>
              <c:tx>
                <c:rich>
                  <a:bodyPr/>
                  <a:lstStyle/>
                  <a:p>
                    <a:fld id="{E765255D-8C65-4C7F-8763-4E18071FB67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3290-4368-888E-7C744612657F}"/>
                </c:ext>
              </c:extLst>
            </c:dLbl>
            <c:dLbl>
              <c:idx val="5"/>
              <c:tx>
                <c:rich>
                  <a:bodyPr/>
                  <a:lstStyle/>
                  <a:p>
                    <a:fld id="{A5E1BE59-B983-4267-86FC-801E7ACF434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3290-4368-888E-7C744612657F}"/>
                </c:ext>
              </c:extLst>
            </c:dLbl>
            <c:dLbl>
              <c:idx val="6"/>
              <c:tx>
                <c:rich>
                  <a:bodyPr/>
                  <a:lstStyle/>
                  <a:p>
                    <a:fld id="{AA64E0E4-3258-4445-96FF-FD84C57C17D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3290-4368-888E-7C744612657F}"/>
                </c:ext>
              </c:extLst>
            </c:dLbl>
            <c:dLbl>
              <c:idx val="7"/>
              <c:tx>
                <c:rich>
                  <a:bodyPr/>
                  <a:lstStyle/>
                  <a:p>
                    <a:fld id="{1617E3AD-8688-4578-9307-BBBD14A4946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3290-4368-888E-7C744612657F}"/>
                </c:ext>
              </c:extLst>
            </c:dLbl>
            <c:dLbl>
              <c:idx val="8"/>
              <c:tx>
                <c:rich>
                  <a:bodyPr/>
                  <a:lstStyle/>
                  <a:p>
                    <a:fld id="{189A8769-FC07-48EE-B420-EFB951D6061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3290-4368-888E-7C744612657F}"/>
                </c:ext>
              </c:extLst>
            </c:dLbl>
            <c:dLbl>
              <c:idx val="9"/>
              <c:tx>
                <c:rich>
                  <a:bodyPr/>
                  <a:lstStyle/>
                  <a:p>
                    <a:fld id="{8C2718DC-5129-4278-904B-8AE16191F00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3290-4368-888E-7C744612657F}"/>
                </c:ext>
              </c:extLst>
            </c:dLbl>
            <c:dLbl>
              <c:idx val="10"/>
              <c:tx>
                <c:rich>
                  <a:bodyPr/>
                  <a:lstStyle/>
                  <a:p>
                    <a:fld id="{1EA60719-6AB1-460C-879C-167A0984E16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3290-4368-888E-7C744612657F}"/>
                </c:ext>
              </c:extLst>
            </c:dLbl>
            <c:dLbl>
              <c:idx val="11"/>
              <c:tx>
                <c:rich>
                  <a:bodyPr/>
                  <a:lstStyle/>
                  <a:p>
                    <a:fld id="{5BCD4788-F624-4163-B516-4BFA3534717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3290-4368-888E-7C744612657F}"/>
                </c:ext>
              </c:extLst>
            </c:dLbl>
            <c:dLbl>
              <c:idx val="12"/>
              <c:tx>
                <c:rich>
                  <a:bodyPr/>
                  <a:lstStyle/>
                  <a:p>
                    <a:fld id="{AC567EE8-256E-4497-AF78-CCFCA2E6272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3290-4368-888E-7C744612657F}"/>
                </c:ext>
              </c:extLst>
            </c:dLbl>
            <c:dLbl>
              <c:idx val="13"/>
              <c:tx>
                <c:rich>
                  <a:bodyPr/>
                  <a:lstStyle/>
                  <a:p>
                    <a:fld id="{EFA539DD-677F-4757-ACFC-BA71ED99D90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3290-4368-888E-7C744612657F}"/>
                </c:ext>
              </c:extLst>
            </c:dLbl>
            <c:dLbl>
              <c:idx val="14"/>
              <c:tx>
                <c:rich>
                  <a:bodyPr/>
                  <a:lstStyle/>
                  <a:p>
                    <a:fld id="{F33DF8CC-F831-4893-A4A0-826CBF4FD61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3290-4368-888E-7C744612657F}"/>
                </c:ext>
              </c:extLst>
            </c:dLbl>
            <c:dLbl>
              <c:idx val="15"/>
              <c:tx>
                <c:rich>
                  <a:bodyPr/>
                  <a:lstStyle/>
                  <a:p>
                    <a:fld id="{3518DE2A-5C08-4E56-959A-E404680FBCD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3290-4368-888E-7C744612657F}"/>
                </c:ext>
              </c:extLst>
            </c:dLbl>
            <c:dLbl>
              <c:idx val="16"/>
              <c:tx>
                <c:rich>
                  <a:bodyPr/>
                  <a:lstStyle/>
                  <a:p>
                    <a:fld id="{A7EE287E-2EFF-4D72-986A-DE563CA5E89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3290-4368-888E-7C744612657F}"/>
                </c:ext>
              </c:extLst>
            </c:dLbl>
            <c:dLbl>
              <c:idx val="17"/>
              <c:tx>
                <c:rich>
                  <a:bodyPr/>
                  <a:lstStyle/>
                  <a:p>
                    <a:fld id="{53770BC3-D995-4C4F-B133-95B3DEADF9A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3290-4368-888E-7C744612657F}"/>
                </c:ext>
              </c:extLst>
            </c:dLbl>
            <c:dLbl>
              <c:idx val="18"/>
              <c:tx>
                <c:rich>
                  <a:bodyPr/>
                  <a:lstStyle/>
                  <a:p>
                    <a:fld id="{096798D5-8042-4880-8D99-B123B17C7A4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3290-4368-888E-7C744612657F}"/>
                </c:ext>
              </c:extLst>
            </c:dLbl>
            <c:dLbl>
              <c:idx val="19"/>
              <c:tx>
                <c:rich>
                  <a:bodyPr/>
                  <a:lstStyle/>
                  <a:p>
                    <a:fld id="{038EE068-3DB2-4C18-B32E-BEC336DD5C3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3290-4368-888E-7C744612657F}"/>
                </c:ext>
              </c:extLst>
            </c:dLbl>
            <c:dLbl>
              <c:idx val="20"/>
              <c:tx>
                <c:rich>
                  <a:bodyPr/>
                  <a:lstStyle/>
                  <a:p>
                    <a:fld id="{CDC80DBA-3B9C-42BE-99C3-229B924476D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3290-4368-888E-7C744612657F}"/>
                </c:ext>
              </c:extLst>
            </c:dLbl>
            <c:dLbl>
              <c:idx val="21"/>
              <c:tx>
                <c:rich>
                  <a:bodyPr/>
                  <a:lstStyle/>
                  <a:p>
                    <a:fld id="{74A49D0F-5F52-4959-AE4B-95CFEEFAA52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3290-4368-888E-7C744612657F}"/>
                </c:ext>
              </c:extLst>
            </c:dLbl>
            <c:dLbl>
              <c:idx val="22"/>
              <c:tx>
                <c:rich>
                  <a:bodyPr/>
                  <a:lstStyle/>
                  <a:p>
                    <a:fld id="{3C12494A-59BA-4AF4-9A16-6BAAAE28F53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3290-4368-888E-7C744612657F}"/>
                </c:ext>
              </c:extLst>
            </c:dLbl>
            <c:dLbl>
              <c:idx val="23"/>
              <c:tx>
                <c:rich>
                  <a:bodyPr/>
                  <a:lstStyle/>
                  <a:p>
                    <a:fld id="{8D972214-F2A1-4797-B61A-FF9F241C06D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3290-4368-888E-7C744612657F}"/>
                </c:ext>
              </c:extLst>
            </c:dLbl>
            <c:dLbl>
              <c:idx val="24"/>
              <c:tx>
                <c:rich>
                  <a:bodyPr/>
                  <a:lstStyle/>
                  <a:p>
                    <a:fld id="{1E7D61CB-04AE-4305-9065-3EC26B16D84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3290-4368-888E-7C744612657F}"/>
                </c:ext>
              </c:extLst>
            </c:dLbl>
            <c:dLbl>
              <c:idx val="25"/>
              <c:tx>
                <c:rich>
                  <a:bodyPr/>
                  <a:lstStyle/>
                  <a:p>
                    <a:fld id="{45186894-F566-4461-8858-350E7900988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3290-4368-888E-7C744612657F}"/>
                </c:ext>
              </c:extLst>
            </c:dLbl>
            <c:dLbl>
              <c:idx val="26"/>
              <c:tx>
                <c:rich>
                  <a:bodyPr/>
                  <a:lstStyle/>
                  <a:p>
                    <a:fld id="{1E254BD3-96D2-4B4F-ABF9-0F927F042F2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3290-4368-888E-7C744612657F}"/>
                </c:ext>
              </c:extLst>
            </c:dLbl>
            <c:dLbl>
              <c:idx val="27"/>
              <c:tx>
                <c:rich>
                  <a:bodyPr/>
                  <a:lstStyle/>
                  <a:p>
                    <a:fld id="{99BCBD29-904C-4A8C-9FF6-D7DC8519BED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3290-4368-888E-7C744612657F}"/>
                </c:ext>
              </c:extLst>
            </c:dLbl>
            <c:dLbl>
              <c:idx val="28"/>
              <c:tx>
                <c:rich>
                  <a:bodyPr/>
                  <a:lstStyle/>
                  <a:p>
                    <a:fld id="{F62E77C1-BA96-4863-8D11-05C82C3AE46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3290-4368-888E-7C744612657F}"/>
                </c:ext>
              </c:extLst>
            </c:dLbl>
            <c:dLbl>
              <c:idx val="29"/>
              <c:tx>
                <c:rich>
                  <a:bodyPr/>
                  <a:lstStyle/>
                  <a:p>
                    <a:fld id="{96BA4DB6-4B94-47D4-95A2-31235BD006B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3290-4368-888E-7C744612657F}"/>
                </c:ext>
              </c:extLst>
            </c:dLbl>
            <c:dLbl>
              <c:idx val="30"/>
              <c:tx>
                <c:rich>
                  <a:bodyPr/>
                  <a:lstStyle/>
                  <a:p>
                    <a:fld id="{9E573236-4458-4031-8D32-AFAF918A36A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3290-4368-888E-7C744612657F}"/>
                </c:ext>
              </c:extLst>
            </c:dLbl>
            <c:dLbl>
              <c:idx val="31"/>
              <c:tx>
                <c:rich>
                  <a:bodyPr/>
                  <a:lstStyle/>
                  <a:p>
                    <a:fld id="{34500378-8EBD-4456-B020-CEB62817A6A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3290-4368-888E-7C744612657F}"/>
                </c:ext>
              </c:extLst>
            </c:dLbl>
            <c:dLbl>
              <c:idx val="32"/>
              <c:tx>
                <c:rich>
                  <a:bodyPr/>
                  <a:lstStyle/>
                  <a:p>
                    <a:fld id="{CE911502-D557-479B-85F9-7428F695B7F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3290-4368-888E-7C744612657F}"/>
                </c:ext>
              </c:extLst>
            </c:dLbl>
            <c:dLbl>
              <c:idx val="33"/>
              <c:tx>
                <c:rich>
                  <a:bodyPr/>
                  <a:lstStyle/>
                  <a:p>
                    <a:fld id="{E9F6F556-ED31-44A2-A3C3-77D906B6778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3290-4368-888E-7C744612657F}"/>
                </c:ext>
              </c:extLst>
            </c:dLbl>
            <c:dLbl>
              <c:idx val="34"/>
              <c:tx>
                <c:rich>
                  <a:bodyPr/>
                  <a:lstStyle/>
                  <a:p>
                    <a:fld id="{7397B73B-C385-48B2-B9DC-C413D405D6D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3290-4368-888E-7C744612657F}"/>
                </c:ext>
              </c:extLst>
            </c:dLbl>
            <c:dLbl>
              <c:idx val="35"/>
              <c:tx>
                <c:rich>
                  <a:bodyPr/>
                  <a:lstStyle/>
                  <a:p>
                    <a:fld id="{441ED5F5-5EE0-4E1C-8430-78C2513CAC5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3290-4368-888E-7C744612657F}"/>
                </c:ext>
              </c:extLst>
            </c:dLbl>
            <c:dLbl>
              <c:idx val="36"/>
              <c:tx>
                <c:rich>
                  <a:bodyPr/>
                  <a:lstStyle/>
                  <a:p>
                    <a:fld id="{C37D4DF7-7CEB-46F3-AAEE-1CF4F70070E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3290-4368-888E-7C744612657F}"/>
                </c:ext>
              </c:extLst>
            </c:dLbl>
            <c:dLbl>
              <c:idx val="37"/>
              <c:tx>
                <c:rich>
                  <a:bodyPr/>
                  <a:lstStyle/>
                  <a:p>
                    <a:fld id="{13331F41-011F-41A5-A45B-69951230766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3290-4368-888E-7C744612657F}"/>
                </c:ext>
              </c:extLst>
            </c:dLbl>
            <c:dLbl>
              <c:idx val="38"/>
              <c:tx>
                <c:rich>
                  <a:bodyPr/>
                  <a:lstStyle/>
                  <a:p>
                    <a:fld id="{FAAEB6BD-3CED-4B2F-96C3-6B8BCF4A42D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3290-4368-888E-7C744612657F}"/>
                </c:ext>
              </c:extLst>
            </c:dLbl>
            <c:dLbl>
              <c:idx val="39"/>
              <c:tx>
                <c:rich>
                  <a:bodyPr/>
                  <a:lstStyle/>
                  <a:p>
                    <a:fld id="{6CE71254-5196-4756-9D6F-7379F88E7F6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3290-4368-888E-7C744612657F}"/>
                </c:ext>
              </c:extLst>
            </c:dLbl>
            <c:dLbl>
              <c:idx val="40"/>
              <c:tx>
                <c:rich>
                  <a:bodyPr/>
                  <a:lstStyle/>
                  <a:p>
                    <a:fld id="{D3F727D6-78D9-42FA-9680-0212AD26F2C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3290-4368-888E-7C744612657F}"/>
                </c:ext>
              </c:extLst>
            </c:dLbl>
            <c:dLbl>
              <c:idx val="41"/>
              <c:tx>
                <c:rich>
                  <a:bodyPr/>
                  <a:lstStyle/>
                  <a:p>
                    <a:fld id="{9A16C364-9F82-466B-BFCE-BC0C22CE115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3290-4368-888E-7C744612657F}"/>
                </c:ext>
              </c:extLst>
            </c:dLbl>
            <c:dLbl>
              <c:idx val="42"/>
              <c:tx>
                <c:rich>
                  <a:bodyPr/>
                  <a:lstStyle/>
                  <a:p>
                    <a:fld id="{F07A9FB5-B12E-44F4-AA86-5151EC1504D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3290-4368-888E-7C744612657F}"/>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graf'!$AW$44:$AW$86</c:f>
              <c:numCache>
                <c:formatCode>General</c:formatCode>
                <c:ptCount val="43"/>
                <c:pt idx="0">
                  <c:v>55</c:v>
                </c:pt>
                <c:pt idx="1">
                  <c:v>55</c:v>
                </c:pt>
                <c:pt idx="2">
                  <c:v>55</c:v>
                </c:pt>
                <c:pt idx="3">
                  <c:v>55</c:v>
                </c:pt>
                <c:pt idx="4">
                  <c:v>55</c:v>
                </c:pt>
                <c:pt idx="5">
                  <c:v>55</c:v>
                </c:pt>
                <c:pt idx="6">
                  <c:v>55</c:v>
                </c:pt>
                <c:pt idx="7">
                  <c:v>55</c:v>
                </c:pt>
                <c:pt idx="8">
                  <c:v>55</c:v>
                </c:pt>
                <c:pt idx="9">
                  <c:v>55</c:v>
                </c:pt>
                <c:pt idx="10">
                  <c:v>55</c:v>
                </c:pt>
                <c:pt idx="11">
                  <c:v>55</c:v>
                </c:pt>
                <c:pt idx="12">
                  <c:v>55</c:v>
                </c:pt>
                <c:pt idx="13">
                  <c:v>55</c:v>
                </c:pt>
                <c:pt idx="14">
                  <c:v>55</c:v>
                </c:pt>
                <c:pt idx="15">
                  <c:v>55</c:v>
                </c:pt>
                <c:pt idx="16">
                  <c:v>55</c:v>
                </c:pt>
                <c:pt idx="17">
                  <c:v>55</c:v>
                </c:pt>
                <c:pt idx="18">
                  <c:v>55</c:v>
                </c:pt>
                <c:pt idx="19">
                  <c:v>55</c:v>
                </c:pt>
                <c:pt idx="20">
                  <c:v>55</c:v>
                </c:pt>
                <c:pt idx="21">
                  <c:v>55</c:v>
                </c:pt>
                <c:pt idx="22">
                  <c:v>55</c:v>
                </c:pt>
                <c:pt idx="23">
                  <c:v>55</c:v>
                </c:pt>
                <c:pt idx="24">
                  <c:v>55</c:v>
                </c:pt>
                <c:pt idx="25">
                  <c:v>55</c:v>
                </c:pt>
                <c:pt idx="26">
                  <c:v>55</c:v>
                </c:pt>
                <c:pt idx="27">
                  <c:v>55</c:v>
                </c:pt>
                <c:pt idx="28">
                  <c:v>55</c:v>
                </c:pt>
                <c:pt idx="29">
                  <c:v>55</c:v>
                </c:pt>
                <c:pt idx="30">
                  <c:v>55</c:v>
                </c:pt>
                <c:pt idx="31">
                  <c:v>55</c:v>
                </c:pt>
                <c:pt idx="32">
                  <c:v>55</c:v>
                </c:pt>
                <c:pt idx="33">
                  <c:v>55</c:v>
                </c:pt>
                <c:pt idx="34">
                  <c:v>55</c:v>
                </c:pt>
                <c:pt idx="35">
                  <c:v>55</c:v>
                </c:pt>
                <c:pt idx="36">
                  <c:v>55</c:v>
                </c:pt>
                <c:pt idx="37">
                  <c:v>55</c:v>
                </c:pt>
                <c:pt idx="38">
                  <c:v>55</c:v>
                </c:pt>
                <c:pt idx="39">
                  <c:v>55</c:v>
                </c:pt>
                <c:pt idx="40">
                  <c:v>55</c:v>
                </c:pt>
                <c:pt idx="41">
                  <c:v>55</c:v>
                </c:pt>
                <c:pt idx="42">
                  <c:v>55</c:v>
                </c:pt>
              </c:numCache>
            </c:numRef>
          </c:val>
          <c:smooth val="0"/>
          <c:extLst>
            <c:ext xmlns:c15="http://schemas.microsoft.com/office/drawing/2012/chart" uri="{02D57815-91ED-43cb-92C2-25804820EDAC}">
              <c15:datalabelsRange>
                <c15:f>'Prerađivačka_FS graf'!$B$44:$B$86</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0-3290-4368-888E-7C744612657F}"/>
            </c:ext>
          </c:extLst>
        </c:ser>
        <c:ser>
          <c:idx val="0"/>
          <c:order val="2"/>
          <c:tx>
            <c:strRef>
              <c:f>'Prerađivačka_FS graf'!$AX$7</c:f>
              <c:strCache>
                <c:ptCount val="1"/>
                <c:pt idx="0">
                  <c:v>y</c:v>
                </c:pt>
              </c:strCache>
            </c:strRef>
          </c:tx>
          <c:spPr>
            <a:ln w="12700" cap="rnd">
              <a:solidFill>
                <a:srgbClr val="92278F"/>
              </a:solidFill>
              <a:prstDash val="sysDash"/>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graf'!$AX$44:$AX$86</c:f>
              <c:numCache>
                <c:formatCode>0.0</c:formatCode>
                <c:ptCount val="43"/>
                <c:pt idx="0">
                  <c:v>78.714883416000006</c:v>
                </c:pt>
                <c:pt idx="1">
                  <c:v>94.023788702999994</c:v>
                </c:pt>
                <c:pt idx="2">
                  <c:v>79.862953798000007</c:v>
                </c:pt>
                <c:pt idx="3">
                  <c:v>67.461512667999997</c:v>
                </c:pt>
                <c:pt idx="4">
                  <c:v>81.834207492000004</c:v>
                </c:pt>
                <c:pt idx="5">
                  <c:v>101.285239887</c:v>
                </c:pt>
                <c:pt idx="6">
                  <c:v>97.493208050000007</c:v>
                </c:pt>
                <c:pt idx="7">
                  <c:v>104.40625171400001</c:v>
                </c:pt>
                <c:pt idx="8">
                  <c:v>101.624267879</c:v>
                </c:pt>
                <c:pt idx="9">
                  <c:v>106.08467741699999</c:v>
                </c:pt>
                <c:pt idx="10">
                  <c:v>96.842364423000006</c:v>
                </c:pt>
                <c:pt idx="11">
                  <c:v>129.628861191</c:v>
                </c:pt>
                <c:pt idx="12">
                  <c:v>70.653074880999995</c:v>
                </c:pt>
                <c:pt idx="13">
                  <c:v>91.463195029999994</c:v>
                </c:pt>
                <c:pt idx="14">
                  <c:v>106.51979314499999</c:v>
                </c:pt>
                <c:pt idx="15">
                  <c:v>97.632576006999997</c:v>
                </c:pt>
                <c:pt idx="16">
                  <c:v>99.308440028000007</c:v>
                </c:pt>
                <c:pt idx="17">
                  <c:v>99.228734771999996</c:v>
                </c:pt>
                <c:pt idx="18">
                  <c:v>97.472495572</c:v>
                </c:pt>
                <c:pt idx="19">
                  <c:v>95.688697533999999</c:v>
                </c:pt>
                <c:pt idx="20">
                  <c:v>100.373002215</c:v>
                </c:pt>
                <c:pt idx="21">
                  <c:v>106.919207511</c:v>
                </c:pt>
                <c:pt idx="22">
                  <c:v>108.45639928600001</c:v>
                </c:pt>
                <c:pt idx="23">
                  <c:v>106.22385895399999</c:v>
                </c:pt>
                <c:pt idx="24">
                  <c:v>76.156605350999996</c:v>
                </c:pt>
                <c:pt idx="25">
                  <c:v>96.896562111999998</c:v>
                </c:pt>
                <c:pt idx="26">
                  <c:v>115.781241679</c:v>
                </c:pt>
                <c:pt idx="27">
                  <c:v>97.705914090999997</c:v>
                </c:pt>
                <c:pt idx="28">
                  <c:v>111.263469466</c:v>
                </c:pt>
                <c:pt idx="29">
                  <c:v>107.415254237</c:v>
                </c:pt>
                <c:pt idx="30">
                  <c:v>87.038789026000003</c:v>
                </c:pt>
                <c:pt idx="31">
                  <c:v>94.891347937000006</c:v>
                </c:pt>
                <c:pt idx="32">
                  <c:v>101.364432474</c:v>
                </c:pt>
                <c:pt idx="33">
                  <c:v>102.958700193</c:v>
                </c:pt>
                <c:pt idx="34">
                  <c:v>101.543798176</c:v>
                </c:pt>
                <c:pt idx="35">
                  <c:v>107.048120818</c:v>
                </c:pt>
                <c:pt idx="36">
                  <c:v>72.310000592999998</c:v>
                </c:pt>
                <c:pt idx="37">
                  <c:v>79.100665470999999</c:v>
                </c:pt>
                <c:pt idx="38">
                  <c:v>102.107350565</c:v>
                </c:pt>
                <c:pt idx="39">
                  <c:v>86.871235867999999</c:v>
                </c:pt>
                <c:pt idx="40">
                  <c:v>95.5</c:v>
                </c:pt>
                <c:pt idx="41">
                  <c:v>103</c:v>
                </c:pt>
                <c:pt idx="42">
                  <c:v>92</c:v>
                </c:pt>
              </c:numCache>
            </c:numRef>
          </c:val>
          <c:smooth val="0"/>
          <c:extLst>
            <c:ext xmlns:c16="http://schemas.microsoft.com/office/drawing/2014/chart" uri="{C3380CC4-5D6E-409C-BE32-E72D297353CC}">
              <c16:uniqueId val="{00000031-3290-4368-888E-7C744612657F}"/>
            </c:ext>
          </c:extLst>
        </c:ser>
        <c:ser>
          <c:idx val="1"/>
          <c:order val="3"/>
          <c:tx>
            <c:strRef>
              <c:f>'Prerađivačka_FS graf'!$AY$7</c:f>
              <c:strCache>
                <c:ptCount val="1"/>
                <c:pt idx="0">
                  <c:v>sa</c:v>
                </c:pt>
              </c:strCache>
            </c:strRef>
          </c:tx>
          <c:spPr>
            <a:ln w="22225" cap="rnd">
              <a:solidFill>
                <a:srgbClr val="25AAE1"/>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graf'!$AY$44:$AY$86</c:f>
              <c:numCache>
                <c:formatCode>0.0</c:formatCode>
                <c:ptCount val="43"/>
                <c:pt idx="0">
                  <c:v>99.882978335999994</c:v>
                </c:pt>
                <c:pt idx="1">
                  <c:v>95.549299899999994</c:v>
                </c:pt>
                <c:pt idx="2">
                  <c:v>73.384120046000007</c:v>
                </c:pt>
                <c:pt idx="3">
                  <c:v>70.148117425999999</c:v>
                </c:pt>
                <c:pt idx="4">
                  <c:v>81.814202636000005</c:v>
                </c:pt>
                <c:pt idx="5">
                  <c:v>95.207934793999996</c:v>
                </c:pt>
                <c:pt idx="6">
                  <c:v>97.261460493000001</c:v>
                </c:pt>
                <c:pt idx="7">
                  <c:v>111.06713100499999</c:v>
                </c:pt>
                <c:pt idx="8">
                  <c:v>96.846026821999999</c:v>
                </c:pt>
                <c:pt idx="9">
                  <c:v>98.762250695999995</c:v>
                </c:pt>
                <c:pt idx="10">
                  <c:v>92.105794532000004</c:v>
                </c:pt>
                <c:pt idx="11">
                  <c:v>120.162756442</c:v>
                </c:pt>
                <c:pt idx="12">
                  <c:v>92.588089366000005</c:v>
                </c:pt>
                <c:pt idx="13">
                  <c:v>99.242690420000002</c:v>
                </c:pt>
                <c:pt idx="14">
                  <c:v>96.381523182999999</c:v>
                </c:pt>
                <c:pt idx="15">
                  <c:v>99.292928031000002</c:v>
                </c:pt>
                <c:pt idx="16">
                  <c:v>98.559424483000001</c:v>
                </c:pt>
                <c:pt idx="17">
                  <c:v>92.999085038000004</c:v>
                </c:pt>
                <c:pt idx="18">
                  <c:v>100.038163955</c:v>
                </c:pt>
                <c:pt idx="19">
                  <c:v>99.287059869000004</c:v>
                </c:pt>
                <c:pt idx="20">
                  <c:v>95.982739627000001</c:v>
                </c:pt>
                <c:pt idx="21">
                  <c:v>100.44825300700001</c:v>
                </c:pt>
                <c:pt idx="22">
                  <c:v>101.44291348</c:v>
                </c:pt>
                <c:pt idx="23">
                  <c:v>97.457539315999995</c:v>
                </c:pt>
                <c:pt idx="24">
                  <c:v>98.653683826999995</c:v>
                </c:pt>
                <c:pt idx="25">
                  <c:v>105.932909729</c:v>
                </c:pt>
                <c:pt idx="26">
                  <c:v>105.039875301</c:v>
                </c:pt>
                <c:pt idx="27">
                  <c:v>102.806590962</c:v>
                </c:pt>
                <c:pt idx="28">
                  <c:v>107.489131184</c:v>
                </c:pt>
                <c:pt idx="29">
                  <c:v>100.786853083</c:v>
                </c:pt>
                <c:pt idx="30">
                  <c:v>91.740978518000006</c:v>
                </c:pt>
                <c:pt idx="31">
                  <c:v>96.259502906999998</c:v>
                </c:pt>
                <c:pt idx="32">
                  <c:v>97.157139185000005</c:v>
                </c:pt>
                <c:pt idx="33">
                  <c:v>96.211615362000003</c:v>
                </c:pt>
                <c:pt idx="34">
                  <c:v>95.098282432000005</c:v>
                </c:pt>
                <c:pt idx="35">
                  <c:v>99.523760467000002</c:v>
                </c:pt>
                <c:pt idx="36">
                  <c:v>92.96077004</c:v>
                </c:pt>
                <c:pt idx="37">
                  <c:v>86.602560279000002</c:v>
                </c:pt>
                <c:pt idx="38">
                  <c:v>92.863875492999995</c:v>
                </c:pt>
                <c:pt idx="39">
                  <c:v>93.159611412999993</c:v>
                </c:pt>
                <c:pt idx="40">
                  <c:v>92.160621007000003</c:v>
                </c:pt>
                <c:pt idx="41">
                  <c:v>96.636859200000004</c:v>
                </c:pt>
                <c:pt idx="42">
                  <c:v>97.739561386999995</c:v>
                </c:pt>
              </c:numCache>
            </c:numRef>
          </c:val>
          <c:smooth val="0"/>
          <c:extLst>
            <c:ext xmlns:c16="http://schemas.microsoft.com/office/drawing/2014/chart" uri="{C3380CC4-5D6E-409C-BE32-E72D297353CC}">
              <c16:uniqueId val="{00000032-3290-4368-888E-7C744612657F}"/>
            </c:ext>
          </c:extLst>
        </c:ser>
        <c:ser>
          <c:idx val="2"/>
          <c:order val="4"/>
          <c:tx>
            <c:strRef>
              <c:f>'Prerađivačka_FS graf'!$AZ$7</c:f>
              <c:strCache>
                <c:ptCount val="1"/>
                <c:pt idx="0">
                  <c:v>t</c:v>
                </c:pt>
              </c:strCache>
            </c:strRef>
          </c:tx>
          <c:spPr>
            <a:ln w="25400" cap="rnd">
              <a:solidFill>
                <a:srgbClr val="FF0000"/>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graf'!$AZ$44:$AZ$86</c:f>
              <c:numCache>
                <c:formatCode>0.0</c:formatCode>
                <c:ptCount val="43"/>
                <c:pt idx="0">
                  <c:v>91.116735864999995</c:v>
                </c:pt>
                <c:pt idx="1">
                  <c:v>89.455758407000005</c:v>
                </c:pt>
                <c:pt idx="2">
                  <c:v>87.967658271999994</c:v>
                </c:pt>
                <c:pt idx="3">
                  <c:v>87.639300367000004</c:v>
                </c:pt>
                <c:pt idx="4">
                  <c:v>88.915055139000003</c:v>
                </c:pt>
                <c:pt idx="5">
                  <c:v>91.332588021999996</c:v>
                </c:pt>
                <c:pt idx="6">
                  <c:v>94.074927388999996</c:v>
                </c:pt>
                <c:pt idx="7">
                  <c:v>96.253637522999995</c:v>
                </c:pt>
                <c:pt idx="8">
                  <c:v>97.185687728000005</c:v>
                </c:pt>
                <c:pt idx="9">
                  <c:v>96.960573538999995</c:v>
                </c:pt>
                <c:pt idx="10">
                  <c:v>96.298143863999996</c:v>
                </c:pt>
                <c:pt idx="11">
                  <c:v>96.009840392000001</c:v>
                </c:pt>
                <c:pt idx="12">
                  <c:v>96.282742807999995</c:v>
                </c:pt>
                <c:pt idx="13">
                  <c:v>96.710586273000004</c:v>
                </c:pt>
                <c:pt idx="14">
                  <c:v>97.175833917000006</c:v>
                </c:pt>
                <c:pt idx="15">
                  <c:v>97.478486840000002</c:v>
                </c:pt>
                <c:pt idx="16">
                  <c:v>97.532513253999994</c:v>
                </c:pt>
                <c:pt idx="17">
                  <c:v>97.549300497000004</c:v>
                </c:pt>
                <c:pt idx="18">
                  <c:v>97.792179121999993</c:v>
                </c:pt>
                <c:pt idx="19">
                  <c:v>98.048753559000005</c:v>
                </c:pt>
                <c:pt idx="20">
                  <c:v>98.399014015000006</c:v>
                </c:pt>
                <c:pt idx="21">
                  <c:v>98.849536013000005</c:v>
                </c:pt>
                <c:pt idx="22">
                  <c:v>99.448854319999995</c:v>
                </c:pt>
                <c:pt idx="23">
                  <c:v>100.32814949999999</c:v>
                </c:pt>
                <c:pt idx="24">
                  <c:v>101.72479525</c:v>
                </c:pt>
                <c:pt idx="25">
                  <c:v>103.26203291900001</c:v>
                </c:pt>
                <c:pt idx="26">
                  <c:v>104.097736849</c:v>
                </c:pt>
                <c:pt idx="27">
                  <c:v>103.838049028</c:v>
                </c:pt>
                <c:pt idx="28">
                  <c:v>102.512328551</c:v>
                </c:pt>
                <c:pt idx="29">
                  <c:v>100.30883087399999</c:v>
                </c:pt>
                <c:pt idx="30">
                  <c:v>98.066587093999999</c:v>
                </c:pt>
                <c:pt idx="31">
                  <c:v>96.696014243999997</c:v>
                </c:pt>
                <c:pt idx="32">
                  <c:v>96.152270525000006</c:v>
                </c:pt>
                <c:pt idx="33">
                  <c:v>95.889678614999994</c:v>
                </c:pt>
                <c:pt idx="34">
                  <c:v>95.506109058000007</c:v>
                </c:pt>
                <c:pt idx="35">
                  <c:v>94.632716024000004</c:v>
                </c:pt>
                <c:pt idx="36">
                  <c:v>93.263906293000005</c:v>
                </c:pt>
                <c:pt idx="37">
                  <c:v>92.089394358999996</c:v>
                </c:pt>
                <c:pt idx="38">
                  <c:v>91.760253289999994</c:v>
                </c:pt>
                <c:pt idx="39">
                  <c:v>92.403683182999998</c:v>
                </c:pt>
                <c:pt idx="40">
                  <c:v>93.811667420999996</c:v>
                </c:pt>
                <c:pt idx="41">
                  <c:v>95.514881927000005</c:v>
                </c:pt>
                <c:pt idx="42">
                  <c:v>96.861016305000007</c:v>
                </c:pt>
              </c:numCache>
            </c:numRef>
          </c:val>
          <c:smooth val="0"/>
          <c:extLst>
            <c:ext xmlns:c16="http://schemas.microsoft.com/office/drawing/2014/chart" uri="{C3380CC4-5D6E-409C-BE32-E72D297353CC}">
              <c16:uniqueId val="{00000033-3290-4368-888E-7C744612657F}"/>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35"/>
          <c:min val="55"/>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graf'!$AK$7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6.335153589562704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9C8-4966-BB77-E5FA7AB915B1}"/>
                </c:ext>
              </c:extLst>
            </c:dLbl>
            <c:dLbl>
              <c:idx val="12"/>
              <c:layout>
                <c:manualLayout>
                  <c:x val="7.529659725306779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9C8-4966-BB77-E5FA7AB915B1}"/>
                </c:ext>
              </c:extLst>
            </c:dLbl>
            <c:dLbl>
              <c:idx val="24"/>
              <c:layout>
                <c:manualLayout>
                  <c:x val="7.644309739677214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9C8-4966-BB77-E5FA7AB915B1}"/>
                </c:ext>
              </c:extLst>
            </c:dLbl>
            <c:dLbl>
              <c:idx val="36"/>
              <c:layout>
                <c:manualLayout>
                  <c:x val="3.125963472944211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9C8-4966-BB77-E5FA7AB915B1}"/>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graf'!$AK$44:$AK$86</c:f>
              <c:numCache>
                <c:formatCode>General</c:formatCode>
                <c:ptCount val="43"/>
                <c:pt idx="0">
                  <c:v>60</c:v>
                </c:pt>
                <c:pt idx="12">
                  <c:v>60</c:v>
                </c:pt>
                <c:pt idx="24">
                  <c:v>60</c:v>
                </c:pt>
                <c:pt idx="36">
                  <c:v>60</c:v>
                </c:pt>
              </c:numCache>
            </c:numRef>
          </c:val>
          <c:smooth val="0"/>
          <c:extLst>
            <c:ext xmlns:c16="http://schemas.microsoft.com/office/drawing/2014/chart" uri="{C3380CC4-5D6E-409C-BE32-E72D297353CC}">
              <c16:uniqueId val="{00000004-69C8-4966-BB77-E5FA7AB915B1}"/>
            </c:ext>
          </c:extLst>
        </c:ser>
        <c:ser>
          <c:idx val="4"/>
          <c:order val="1"/>
          <c:tx>
            <c:strRef>
              <c:f>'Prerađivačka_FS graf'!$AL$7</c:f>
              <c:strCache>
                <c:ptCount val="1"/>
                <c:pt idx="0">
                  <c:v>Series5</c:v>
                </c:pt>
              </c:strCache>
            </c:strRef>
          </c:tx>
          <c:spPr>
            <a:ln w="25400" cap="rnd">
              <a:noFill/>
              <a:round/>
            </a:ln>
            <a:effectLst/>
          </c:spPr>
          <c:marker>
            <c:symbol val="none"/>
          </c:marker>
          <c:dLbls>
            <c:dLbl>
              <c:idx val="0"/>
              <c:tx>
                <c:rich>
                  <a:bodyPr/>
                  <a:lstStyle/>
                  <a:p>
                    <a:fld id="{8D4B078E-D05D-48FF-970E-33C4985FFBB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69C8-4966-BB77-E5FA7AB915B1}"/>
                </c:ext>
              </c:extLst>
            </c:dLbl>
            <c:dLbl>
              <c:idx val="1"/>
              <c:tx>
                <c:rich>
                  <a:bodyPr/>
                  <a:lstStyle/>
                  <a:p>
                    <a:fld id="{8CB2B27B-3560-4018-A6D9-F326BCB2833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69C8-4966-BB77-E5FA7AB915B1}"/>
                </c:ext>
              </c:extLst>
            </c:dLbl>
            <c:dLbl>
              <c:idx val="2"/>
              <c:tx>
                <c:rich>
                  <a:bodyPr/>
                  <a:lstStyle/>
                  <a:p>
                    <a:fld id="{9A1757C7-DE32-43E9-A49C-0BDE0C2972A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69C8-4966-BB77-E5FA7AB915B1}"/>
                </c:ext>
              </c:extLst>
            </c:dLbl>
            <c:dLbl>
              <c:idx val="3"/>
              <c:tx>
                <c:rich>
                  <a:bodyPr/>
                  <a:lstStyle/>
                  <a:p>
                    <a:fld id="{FF0DB452-384D-46AE-92F8-2A3E3803AAF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69C8-4966-BB77-E5FA7AB915B1}"/>
                </c:ext>
              </c:extLst>
            </c:dLbl>
            <c:dLbl>
              <c:idx val="4"/>
              <c:tx>
                <c:rich>
                  <a:bodyPr/>
                  <a:lstStyle/>
                  <a:p>
                    <a:fld id="{5B59B2C5-0638-4FC0-8A12-0C09A299F5A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69C8-4966-BB77-E5FA7AB915B1}"/>
                </c:ext>
              </c:extLst>
            </c:dLbl>
            <c:dLbl>
              <c:idx val="5"/>
              <c:tx>
                <c:rich>
                  <a:bodyPr/>
                  <a:lstStyle/>
                  <a:p>
                    <a:fld id="{46B97DEF-EF1A-4EBB-BA28-10661862E1A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69C8-4966-BB77-E5FA7AB915B1}"/>
                </c:ext>
              </c:extLst>
            </c:dLbl>
            <c:dLbl>
              <c:idx val="6"/>
              <c:tx>
                <c:rich>
                  <a:bodyPr/>
                  <a:lstStyle/>
                  <a:p>
                    <a:fld id="{271FE311-1ACB-4ADA-AC58-54B4BC2D453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69C8-4966-BB77-E5FA7AB915B1}"/>
                </c:ext>
              </c:extLst>
            </c:dLbl>
            <c:dLbl>
              <c:idx val="7"/>
              <c:tx>
                <c:rich>
                  <a:bodyPr/>
                  <a:lstStyle/>
                  <a:p>
                    <a:fld id="{916B6C57-CA55-43F5-8804-EEC1227C9A5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69C8-4966-BB77-E5FA7AB915B1}"/>
                </c:ext>
              </c:extLst>
            </c:dLbl>
            <c:dLbl>
              <c:idx val="8"/>
              <c:tx>
                <c:rich>
                  <a:bodyPr/>
                  <a:lstStyle/>
                  <a:p>
                    <a:fld id="{93DA0FBC-289A-4FA8-8ADB-A0B06745BDD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69C8-4966-BB77-E5FA7AB915B1}"/>
                </c:ext>
              </c:extLst>
            </c:dLbl>
            <c:dLbl>
              <c:idx val="9"/>
              <c:tx>
                <c:rich>
                  <a:bodyPr/>
                  <a:lstStyle/>
                  <a:p>
                    <a:fld id="{133AC76B-4606-438A-92AA-C24A6EA12FB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69C8-4966-BB77-E5FA7AB915B1}"/>
                </c:ext>
              </c:extLst>
            </c:dLbl>
            <c:dLbl>
              <c:idx val="10"/>
              <c:tx>
                <c:rich>
                  <a:bodyPr/>
                  <a:lstStyle/>
                  <a:p>
                    <a:fld id="{A34C093F-52C6-428B-92D2-DC2ED8FC4F1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69C8-4966-BB77-E5FA7AB915B1}"/>
                </c:ext>
              </c:extLst>
            </c:dLbl>
            <c:dLbl>
              <c:idx val="11"/>
              <c:tx>
                <c:rich>
                  <a:bodyPr/>
                  <a:lstStyle/>
                  <a:p>
                    <a:fld id="{60E206EF-19B2-458D-BEF7-2DBDA335A75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69C8-4966-BB77-E5FA7AB915B1}"/>
                </c:ext>
              </c:extLst>
            </c:dLbl>
            <c:dLbl>
              <c:idx val="12"/>
              <c:tx>
                <c:rich>
                  <a:bodyPr/>
                  <a:lstStyle/>
                  <a:p>
                    <a:fld id="{ED1A6A7A-AA97-48B2-A4D4-36061E951AB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69C8-4966-BB77-E5FA7AB915B1}"/>
                </c:ext>
              </c:extLst>
            </c:dLbl>
            <c:dLbl>
              <c:idx val="13"/>
              <c:tx>
                <c:rich>
                  <a:bodyPr/>
                  <a:lstStyle/>
                  <a:p>
                    <a:fld id="{C0FB426C-AA87-456F-85BA-D3E46872D75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69C8-4966-BB77-E5FA7AB915B1}"/>
                </c:ext>
              </c:extLst>
            </c:dLbl>
            <c:dLbl>
              <c:idx val="14"/>
              <c:tx>
                <c:rich>
                  <a:bodyPr/>
                  <a:lstStyle/>
                  <a:p>
                    <a:fld id="{F2E1736D-F9B3-41C1-8373-B408105FD29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69C8-4966-BB77-E5FA7AB915B1}"/>
                </c:ext>
              </c:extLst>
            </c:dLbl>
            <c:dLbl>
              <c:idx val="15"/>
              <c:tx>
                <c:rich>
                  <a:bodyPr/>
                  <a:lstStyle/>
                  <a:p>
                    <a:fld id="{1C45D18D-F93F-4E11-A1BF-5B3572AD366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69C8-4966-BB77-E5FA7AB915B1}"/>
                </c:ext>
              </c:extLst>
            </c:dLbl>
            <c:dLbl>
              <c:idx val="16"/>
              <c:tx>
                <c:rich>
                  <a:bodyPr/>
                  <a:lstStyle/>
                  <a:p>
                    <a:fld id="{6CE1A60E-178C-4B83-A52D-1431A5EF4E6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69C8-4966-BB77-E5FA7AB915B1}"/>
                </c:ext>
              </c:extLst>
            </c:dLbl>
            <c:dLbl>
              <c:idx val="17"/>
              <c:tx>
                <c:rich>
                  <a:bodyPr/>
                  <a:lstStyle/>
                  <a:p>
                    <a:fld id="{1FA33D3F-3D7E-4E52-B535-3F51C37607D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69C8-4966-BB77-E5FA7AB915B1}"/>
                </c:ext>
              </c:extLst>
            </c:dLbl>
            <c:dLbl>
              <c:idx val="18"/>
              <c:tx>
                <c:rich>
                  <a:bodyPr/>
                  <a:lstStyle/>
                  <a:p>
                    <a:fld id="{8D6BEF94-38ED-48D6-8459-D4987A58701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69C8-4966-BB77-E5FA7AB915B1}"/>
                </c:ext>
              </c:extLst>
            </c:dLbl>
            <c:dLbl>
              <c:idx val="19"/>
              <c:tx>
                <c:rich>
                  <a:bodyPr/>
                  <a:lstStyle/>
                  <a:p>
                    <a:fld id="{8FCCC5BD-08DC-44AA-96C8-585C16827F4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69C8-4966-BB77-E5FA7AB915B1}"/>
                </c:ext>
              </c:extLst>
            </c:dLbl>
            <c:dLbl>
              <c:idx val="20"/>
              <c:tx>
                <c:rich>
                  <a:bodyPr/>
                  <a:lstStyle/>
                  <a:p>
                    <a:fld id="{57C3C5D7-A9FC-4E55-92B2-79B08A83199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69C8-4966-BB77-E5FA7AB915B1}"/>
                </c:ext>
              </c:extLst>
            </c:dLbl>
            <c:dLbl>
              <c:idx val="21"/>
              <c:tx>
                <c:rich>
                  <a:bodyPr/>
                  <a:lstStyle/>
                  <a:p>
                    <a:fld id="{B9E1EC01-1CB3-4383-A4A4-F3D3202B399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69C8-4966-BB77-E5FA7AB915B1}"/>
                </c:ext>
              </c:extLst>
            </c:dLbl>
            <c:dLbl>
              <c:idx val="22"/>
              <c:tx>
                <c:rich>
                  <a:bodyPr/>
                  <a:lstStyle/>
                  <a:p>
                    <a:fld id="{FEE24CC6-D5CD-46D9-9988-4600B3F86D9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69C8-4966-BB77-E5FA7AB915B1}"/>
                </c:ext>
              </c:extLst>
            </c:dLbl>
            <c:dLbl>
              <c:idx val="23"/>
              <c:tx>
                <c:rich>
                  <a:bodyPr/>
                  <a:lstStyle/>
                  <a:p>
                    <a:fld id="{C13B62DA-CDD6-4B97-9FBA-C774D168DC9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69C8-4966-BB77-E5FA7AB915B1}"/>
                </c:ext>
              </c:extLst>
            </c:dLbl>
            <c:dLbl>
              <c:idx val="24"/>
              <c:tx>
                <c:rich>
                  <a:bodyPr/>
                  <a:lstStyle/>
                  <a:p>
                    <a:fld id="{3FACD078-51BC-4D76-9254-75CDE5C0E67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69C8-4966-BB77-E5FA7AB915B1}"/>
                </c:ext>
              </c:extLst>
            </c:dLbl>
            <c:dLbl>
              <c:idx val="25"/>
              <c:tx>
                <c:rich>
                  <a:bodyPr/>
                  <a:lstStyle/>
                  <a:p>
                    <a:fld id="{242756F2-F3CD-4EF8-A06C-C3A75DC8132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69C8-4966-BB77-E5FA7AB915B1}"/>
                </c:ext>
              </c:extLst>
            </c:dLbl>
            <c:dLbl>
              <c:idx val="26"/>
              <c:tx>
                <c:rich>
                  <a:bodyPr/>
                  <a:lstStyle/>
                  <a:p>
                    <a:fld id="{2A1BC3E2-EB87-4FD7-901C-92D059AB0D4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69C8-4966-BB77-E5FA7AB915B1}"/>
                </c:ext>
              </c:extLst>
            </c:dLbl>
            <c:dLbl>
              <c:idx val="27"/>
              <c:tx>
                <c:rich>
                  <a:bodyPr/>
                  <a:lstStyle/>
                  <a:p>
                    <a:fld id="{A7EC6229-4D3E-4445-AD31-E79F4CB95C0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69C8-4966-BB77-E5FA7AB915B1}"/>
                </c:ext>
              </c:extLst>
            </c:dLbl>
            <c:dLbl>
              <c:idx val="28"/>
              <c:tx>
                <c:rich>
                  <a:bodyPr/>
                  <a:lstStyle/>
                  <a:p>
                    <a:fld id="{23163ED2-C291-4B61-B285-69D0C4A75CA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69C8-4966-BB77-E5FA7AB915B1}"/>
                </c:ext>
              </c:extLst>
            </c:dLbl>
            <c:dLbl>
              <c:idx val="29"/>
              <c:tx>
                <c:rich>
                  <a:bodyPr/>
                  <a:lstStyle/>
                  <a:p>
                    <a:fld id="{43A361CE-AC1E-4613-B0F4-662F3BA7BBC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69C8-4966-BB77-E5FA7AB915B1}"/>
                </c:ext>
              </c:extLst>
            </c:dLbl>
            <c:dLbl>
              <c:idx val="30"/>
              <c:tx>
                <c:rich>
                  <a:bodyPr/>
                  <a:lstStyle/>
                  <a:p>
                    <a:fld id="{6DB80460-AFAA-46B7-B11A-BFB128039A7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69C8-4966-BB77-E5FA7AB915B1}"/>
                </c:ext>
              </c:extLst>
            </c:dLbl>
            <c:dLbl>
              <c:idx val="31"/>
              <c:tx>
                <c:rich>
                  <a:bodyPr/>
                  <a:lstStyle/>
                  <a:p>
                    <a:fld id="{01CA3F15-EB77-4433-B2A1-33374DC1480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69C8-4966-BB77-E5FA7AB915B1}"/>
                </c:ext>
              </c:extLst>
            </c:dLbl>
            <c:dLbl>
              <c:idx val="32"/>
              <c:tx>
                <c:rich>
                  <a:bodyPr/>
                  <a:lstStyle/>
                  <a:p>
                    <a:fld id="{F73511FC-54FB-4112-8215-A6DC0CDED47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69C8-4966-BB77-E5FA7AB915B1}"/>
                </c:ext>
              </c:extLst>
            </c:dLbl>
            <c:dLbl>
              <c:idx val="33"/>
              <c:tx>
                <c:rich>
                  <a:bodyPr/>
                  <a:lstStyle/>
                  <a:p>
                    <a:fld id="{4D109473-0EB4-430A-B93A-4A0D6D97339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69C8-4966-BB77-E5FA7AB915B1}"/>
                </c:ext>
              </c:extLst>
            </c:dLbl>
            <c:dLbl>
              <c:idx val="34"/>
              <c:tx>
                <c:rich>
                  <a:bodyPr/>
                  <a:lstStyle/>
                  <a:p>
                    <a:fld id="{E5F1E323-E213-4969-9118-D7D26AAA872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69C8-4966-BB77-E5FA7AB915B1}"/>
                </c:ext>
              </c:extLst>
            </c:dLbl>
            <c:dLbl>
              <c:idx val="35"/>
              <c:tx>
                <c:rich>
                  <a:bodyPr/>
                  <a:lstStyle/>
                  <a:p>
                    <a:fld id="{04ECAC62-E046-47B7-B1C2-6E4AB1F95B4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69C8-4966-BB77-E5FA7AB915B1}"/>
                </c:ext>
              </c:extLst>
            </c:dLbl>
            <c:dLbl>
              <c:idx val="36"/>
              <c:tx>
                <c:rich>
                  <a:bodyPr/>
                  <a:lstStyle/>
                  <a:p>
                    <a:fld id="{A0AD633C-CDD1-4CA7-891C-FC002597809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69C8-4966-BB77-E5FA7AB915B1}"/>
                </c:ext>
              </c:extLst>
            </c:dLbl>
            <c:dLbl>
              <c:idx val="37"/>
              <c:tx>
                <c:rich>
                  <a:bodyPr/>
                  <a:lstStyle/>
                  <a:p>
                    <a:fld id="{46FE4A95-55B2-45EF-9F88-7236B7F2382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69C8-4966-BB77-E5FA7AB915B1}"/>
                </c:ext>
              </c:extLst>
            </c:dLbl>
            <c:dLbl>
              <c:idx val="38"/>
              <c:tx>
                <c:rich>
                  <a:bodyPr/>
                  <a:lstStyle/>
                  <a:p>
                    <a:fld id="{8ED28316-16FA-4B5E-9315-E4B9D022D3D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69C8-4966-BB77-E5FA7AB915B1}"/>
                </c:ext>
              </c:extLst>
            </c:dLbl>
            <c:dLbl>
              <c:idx val="39"/>
              <c:tx>
                <c:rich>
                  <a:bodyPr/>
                  <a:lstStyle/>
                  <a:p>
                    <a:fld id="{360E8D4F-EE13-4DDA-80F1-D6E787241C8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69C8-4966-BB77-E5FA7AB915B1}"/>
                </c:ext>
              </c:extLst>
            </c:dLbl>
            <c:dLbl>
              <c:idx val="40"/>
              <c:tx>
                <c:rich>
                  <a:bodyPr/>
                  <a:lstStyle/>
                  <a:p>
                    <a:fld id="{B46E281A-2493-408A-81C4-C06AAD19325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69C8-4966-BB77-E5FA7AB915B1}"/>
                </c:ext>
              </c:extLst>
            </c:dLbl>
            <c:dLbl>
              <c:idx val="41"/>
              <c:tx>
                <c:rich>
                  <a:bodyPr/>
                  <a:lstStyle/>
                  <a:p>
                    <a:fld id="{EACE0E34-E0B4-4182-9D1E-2C8C80BCD9D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69C8-4966-BB77-E5FA7AB915B1}"/>
                </c:ext>
              </c:extLst>
            </c:dLbl>
            <c:dLbl>
              <c:idx val="42"/>
              <c:tx>
                <c:rich>
                  <a:bodyPr/>
                  <a:lstStyle/>
                  <a:p>
                    <a:fld id="{722859FF-BF06-41CD-8137-943EF2F4CFA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69C8-4966-BB77-E5FA7AB915B1}"/>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graf'!$AL$44:$AL$86</c:f>
              <c:numCache>
                <c:formatCode>General</c:formatCode>
                <c:ptCount val="43"/>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pt idx="39">
                  <c:v>60</c:v>
                </c:pt>
                <c:pt idx="40">
                  <c:v>60</c:v>
                </c:pt>
                <c:pt idx="41">
                  <c:v>60</c:v>
                </c:pt>
                <c:pt idx="42">
                  <c:v>60</c:v>
                </c:pt>
              </c:numCache>
            </c:numRef>
          </c:val>
          <c:smooth val="0"/>
          <c:extLst>
            <c:ext xmlns:c15="http://schemas.microsoft.com/office/drawing/2012/chart" uri="{02D57815-91ED-43cb-92C2-25804820EDAC}">
              <c15:datalabelsRange>
                <c15:f>'Prerađivačka_FS graf'!$B$44:$B$86</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0-69C8-4966-BB77-E5FA7AB915B1}"/>
            </c:ext>
          </c:extLst>
        </c:ser>
        <c:ser>
          <c:idx val="0"/>
          <c:order val="2"/>
          <c:tx>
            <c:strRef>
              <c:f>'Prerađivačka_FS graf'!$AM$7</c:f>
              <c:strCache>
                <c:ptCount val="1"/>
                <c:pt idx="0">
                  <c:v>y</c:v>
                </c:pt>
              </c:strCache>
            </c:strRef>
          </c:tx>
          <c:spPr>
            <a:ln w="12700" cap="rnd">
              <a:solidFill>
                <a:srgbClr val="92278F"/>
              </a:solidFill>
              <a:prstDash val="sysDash"/>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graf'!$AM$44:$AM$86</c:f>
              <c:numCache>
                <c:formatCode>0.0</c:formatCode>
                <c:ptCount val="43"/>
                <c:pt idx="0">
                  <c:v>118.3535877313455</c:v>
                </c:pt>
                <c:pt idx="1">
                  <c:v>109.1719286174511</c:v>
                </c:pt>
                <c:pt idx="2">
                  <c:v>110.2857476680917</c:v>
                </c:pt>
                <c:pt idx="3">
                  <c:v>109.46845562331831</c:v>
                </c:pt>
                <c:pt idx="4">
                  <c:v>111.1947622408485</c:v>
                </c:pt>
                <c:pt idx="5">
                  <c:v>117.4485217445344</c:v>
                </c:pt>
                <c:pt idx="6">
                  <c:v>119.402883732663</c:v>
                </c:pt>
                <c:pt idx="7">
                  <c:v>116.17666904644609</c:v>
                </c:pt>
                <c:pt idx="8">
                  <c:v>111.85639897145511</c:v>
                </c:pt>
                <c:pt idx="9">
                  <c:v>89.657069082473797</c:v>
                </c:pt>
                <c:pt idx="10">
                  <c:v>96.261706867791801</c:v>
                </c:pt>
                <c:pt idx="11">
                  <c:v>128.15953858748929</c:v>
                </c:pt>
                <c:pt idx="12">
                  <c:v>119.3755915768489</c:v>
                </c:pt>
                <c:pt idx="13">
                  <c:v>111.67406729303519</c:v>
                </c:pt>
                <c:pt idx="14">
                  <c:v>128.58117430205641</c:v>
                </c:pt>
                <c:pt idx="15">
                  <c:v>118.6855852728491</c:v>
                </c:pt>
                <c:pt idx="16">
                  <c:v>118.3455187491916</c:v>
                </c:pt>
                <c:pt idx="17">
                  <c:v>117.71005276778099</c:v>
                </c:pt>
                <c:pt idx="18">
                  <c:v>124.46267955027911</c:v>
                </c:pt>
                <c:pt idx="19">
                  <c:v>128.05765506748719</c:v>
                </c:pt>
                <c:pt idx="20">
                  <c:v>129.8066686360624</c:v>
                </c:pt>
                <c:pt idx="21">
                  <c:v>115.8608544409437</c:v>
                </c:pt>
                <c:pt idx="22">
                  <c:v>113.1541475790285</c:v>
                </c:pt>
                <c:pt idx="23">
                  <c:v>133.94827615113749</c:v>
                </c:pt>
                <c:pt idx="24">
                  <c:v>125.752267483574</c:v>
                </c:pt>
                <c:pt idx="25">
                  <c:v>123.51565186570549</c:v>
                </c:pt>
                <c:pt idx="26">
                  <c:v>133.42672674737489</c:v>
                </c:pt>
                <c:pt idx="27">
                  <c:v>121.859468426017</c:v>
                </c:pt>
                <c:pt idx="28">
                  <c:v>111.3360962691944</c:v>
                </c:pt>
                <c:pt idx="29">
                  <c:v>90.613973182780526</c:v>
                </c:pt>
                <c:pt idx="30">
                  <c:v>86.420566908371782</c:v>
                </c:pt>
                <c:pt idx="31">
                  <c:v>85.127099238219998</c:v>
                </c:pt>
                <c:pt idx="32">
                  <c:v>82.661094374705797</c:v>
                </c:pt>
                <c:pt idx="33">
                  <c:v>83.052232830612397</c:v>
                </c:pt>
                <c:pt idx="34">
                  <c:v>84.303652016090098</c:v>
                </c:pt>
                <c:pt idx="35">
                  <c:v>71.958659657701105</c:v>
                </c:pt>
                <c:pt idx="36">
                  <c:v>67.656383863046401</c:v>
                </c:pt>
                <c:pt idx="37">
                  <c:v>75.633230687759294</c:v>
                </c:pt>
                <c:pt idx="38">
                  <c:v>83.057268083167102</c:v>
                </c:pt>
                <c:pt idx="39">
                  <c:v>105.99199797339701</c:v>
                </c:pt>
                <c:pt idx="40">
                  <c:v>142.19999999999999</c:v>
                </c:pt>
                <c:pt idx="41">
                  <c:v>128.4</c:v>
                </c:pt>
                <c:pt idx="42">
                  <c:v>131.1</c:v>
                </c:pt>
              </c:numCache>
            </c:numRef>
          </c:val>
          <c:smooth val="0"/>
          <c:extLst>
            <c:ext xmlns:c16="http://schemas.microsoft.com/office/drawing/2014/chart" uri="{C3380CC4-5D6E-409C-BE32-E72D297353CC}">
              <c16:uniqueId val="{00000031-69C8-4966-BB77-E5FA7AB915B1}"/>
            </c:ext>
          </c:extLst>
        </c:ser>
        <c:ser>
          <c:idx val="1"/>
          <c:order val="3"/>
          <c:tx>
            <c:strRef>
              <c:f>'Prerađivačka_FS graf'!$AN$7</c:f>
              <c:strCache>
                <c:ptCount val="1"/>
                <c:pt idx="0">
                  <c:v>sa</c:v>
                </c:pt>
              </c:strCache>
            </c:strRef>
          </c:tx>
          <c:spPr>
            <a:ln w="22225" cap="rnd">
              <a:solidFill>
                <a:srgbClr val="25AAE1"/>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graf'!$AN$44:$AN$86</c:f>
              <c:numCache>
                <c:formatCode>0.0</c:formatCode>
                <c:ptCount val="43"/>
                <c:pt idx="0">
                  <c:v>128.0762608679903</c:v>
                </c:pt>
                <c:pt idx="1">
                  <c:v>109.08013586893759</c:v>
                </c:pt>
                <c:pt idx="2">
                  <c:v>105.15000817613657</c:v>
                </c:pt>
                <c:pt idx="3">
                  <c:v>106.13147106689961</c:v>
                </c:pt>
                <c:pt idx="4">
                  <c:v>107.11507946078912</c:v>
                </c:pt>
                <c:pt idx="5">
                  <c:v>115.23605142197489</c:v>
                </c:pt>
                <c:pt idx="6">
                  <c:v>114.37636447420097</c:v>
                </c:pt>
                <c:pt idx="7">
                  <c:v>116.19485501748549</c:v>
                </c:pt>
                <c:pt idx="8">
                  <c:v>111.23851490187096</c:v>
                </c:pt>
                <c:pt idx="9">
                  <c:v>88.984370458967746</c:v>
                </c:pt>
                <c:pt idx="10">
                  <c:v>103.93559887514709</c:v>
                </c:pt>
                <c:pt idx="11">
                  <c:v>123.146066696467</c:v>
                </c:pt>
                <c:pt idx="12">
                  <c:v>131.78457255147762</c:v>
                </c:pt>
                <c:pt idx="13">
                  <c:v>122.92704145624313</c:v>
                </c:pt>
                <c:pt idx="14">
                  <c:v>119.88403524072505</c:v>
                </c:pt>
                <c:pt idx="15">
                  <c:v>112.03564238847763</c:v>
                </c:pt>
                <c:pt idx="16">
                  <c:v>113.42697009524586</c:v>
                </c:pt>
                <c:pt idx="17">
                  <c:v>115.3702839497891</c:v>
                </c:pt>
                <c:pt idx="18">
                  <c:v>121.3957277989303</c:v>
                </c:pt>
                <c:pt idx="19">
                  <c:v>124.90256891299595</c:v>
                </c:pt>
                <c:pt idx="20">
                  <c:v>127.5139571345274</c:v>
                </c:pt>
                <c:pt idx="21">
                  <c:v>118.16894281738308</c:v>
                </c:pt>
                <c:pt idx="22">
                  <c:v>122.39827765367666</c:v>
                </c:pt>
                <c:pt idx="23">
                  <c:v>130.17651897272737</c:v>
                </c:pt>
                <c:pt idx="24">
                  <c:v>136.65029837613827</c:v>
                </c:pt>
                <c:pt idx="25">
                  <c:v>134.11955851440385</c:v>
                </c:pt>
                <c:pt idx="26">
                  <c:v>123.44866956430624</c:v>
                </c:pt>
                <c:pt idx="27">
                  <c:v>118.42971901390982</c:v>
                </c:pt>
                <c:pt idx="28">
                  <c:v>104.76489275528121</c:v>
                </c:pt>
                <c:pt idx="29">
                  <c:v>88.701707640606728</c:v>
                </c:pt>
                <c:pt idx="30">
                  <c:v>85.343101130336677</c:v>
                </c:pt>
                <c:pt idx="31">
                  <c:v>81.31283108987391</c:v>
                </c:pt>
                <c:pt idx="32">
                  <c:v>80.795199454820704</c:v>
                </c:pt>
                <c:pt idx="33">
                  <c:v>85.641126472307022</c:v>
                </c:pt>
                <c:pt idx="34">
                  <c:v>92.538351391229696</c:v>
                </c:pt>
                <c:pt idx="35">
                  <c:v>72.075223777400993</c:v>
                </c:pt>
                <c:pt idx="36">
                  <c:v>72.461604595534624</c:v>
                </c:pt>
                <c:pt idx="37">
                  <c:v>81.237002958205551</c:v>
                </c:pt>
                <c:pt idx="38">
                  <c:v>76.669125451493969</c:v>
                </c:pt>
                <c:pt idx="39">
                  <c:v>104.06968344305731</c:v>
                </c:pt>
                <c:pt idx="40">
                  <c:v>134.6877920804894</c:v>
                </c:pt>
                <c:pt idx="41">
                  <c:v>125.45731922768218</c:v>
                </c:pt>
                <c:pt idx="42">
                  <c:v>128.97010191201878</c:v>
                </c:pt>
              </c:numCache>
            </c:numRef>
          </c:val>
          <c:smooth val="0"/>
          <c:extLst>
            <c:ext xmlns:c16="http://schemas.microsoft.com/office/drawing/2014/chart" uri="{C3380CC4-5D6E-409C-BE32-E72D297353CC}">
              <c16:uniqueId val="{00000032-69C8-4966-BB77-E5FA7AB915B1}"/>
            </c:ext>
          </c:extLst>
        </c:ser>
        <c:ser>
          <c:idx val="2"/>
          <c:order val="4"/>
          <c:tx>
            <c:strRef>
              <c:f>'Prerađivačka_FS graf'!$AO$7</c:f>
              <c:strCache>
                <c:ptCount val="1"/>
                <c:pt idx="0">
                  <c:v>t</c:v>
                </c:pt>
              </c:strCache>
            </c:strRef>
          </c:tx>
          <c:spPr>
            <a:ln w="25400" cap="rnd">
              <a:solidFill>
                <a:srgbClr val="FF0000"/>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graf'!$AO$44:$AO$86</c:f>
              <c:numCache>
                <c:formatCode>0.0</c:formatCode>
                <c:ptCount val="43"/>
                <c:pt idx="0">
                  <c:v>123.22559071870749</c:v>
                </c:pt>
                <c:pt idx="1">
                  <c:v>115.29511893306348</c:v>
                </c:pt>
                <c:pt idx="2">
                  <c:v>109.95312093796917</c:v>
                </c:pt>
                <c:pt idx="3">
                  <c:v>107.91480576404837</c:v>
                </c:pt>
                <c:pt idx="4">
                  <c:v>108.69816026160214</c:v>
                </c:pt>
                <c:pt idx="5">
                  <c:v>110.64407681448785</c:v>
                </c:pt>
                <c:pt idx="6">
                  <c:v>112.21804117654153</c:v>
                </c:pt>
                <c:pt idx="7">
                  <c:v>112.79285529939094</c:v>
                </c:pt>
                <c:pt idx="8">
                  <c:v>112.66507312822243</c:v>
                </c:pt>
                <c:pt idx="9">
                  <c:v>113.04494949319945</c:v>
                </c:pt>
                <c:pt idx="10">
                  <c:v>114.37477097381286</c:v>
                </c:pt>
                <c:pt idx="11">
                  <c:v>116.30480119738377</c:v>
                </c:pt>
                <c:pt idx="12">
                  <c:v>117.92445090400943</c:v>
                </c:pt>
                <c:pt idx="13">
                  <c:v>118.39158566887725</c:v>
                </c:pt>
                <c:pt idx="14">
                  <c:v>117.70545975361387</c:v>
                </c:pt>
                <c:pt idx="15">
                  <c:v>116.78447293773132</c:v>
                </c:pt>
                <c:pt idx="16">
                  <c:v>116.62191215280589</c:v>
                </c:pt>
                <c:pt idx="17">
                  <c:v>117.5369142693778</c:v>
                </c:pt>
                <c:pt idx="18">
                  <c:v>119.23759532248636</c:v>
                </c:pt>
                <c:pt idx="19">
                  <c:v>121.07056259032279</c:v>
                </c:pt>
                <c:pt idx="20">
                  <c:v>123.14846398080294</c:v>
                </c:pt>
                <c:pt idx="21">
                  <c:v>125.36041629974508</c:v>
                </c:pt>
                <c:pt idx="22">
                  <c:v>127.76575575670562</c:v>
                </c:pt>
                <c:pt idx="23">
                  <c:v>130.13532749964341</c:v>
                </c:pt>
                <c:pt idx="24">
                  <c:v>131.22247461038901</c:v>
                </c:pt>
                <c:pt idx="25">
                  <c:v>129.53495848497076</c:v>
                </c:pt>
                <c:pt idx="26">
                  <c:v>124.08508787985282</c:v>
                </c:pt>
                <c:pt idx="27">
                  <c:v>115.15419124616804</c:v>
                </c:pt>
                <c:pt idx="28">
                  <c:v>104.5902577715607</c:v>
                </c:pt>
                <c:pt idx="29">
                  <c:v>94.954692110771461</c:v>
                </c:pt>
                <c:pt idx="30">
                  <c:v>87.676539593365945</c:v>
                </c:pt>
                <c:pt idx="31">
                  <c:v>82.808459627167437</c:v>
                </c:pt>
                <c:pt idx="32">
                  <c:v>79.606964654576714</c:v>
                </c:pt>
                <c:pt idx="33">
                  <c:v>77.344756868331046</c:v>
                </c:pt>
                <c:pt idx="34">
                  <c:v>75.916417394056836</c:v>
                </c:pt>
                <c:pt idx="35">
                  <c:v>75.692127920458475</c:v>
                </c:pt>
                <c:pt idx="36">
                  <c:v>77.819720741439127</c:v>
                </c:pt>
                <c:pt idx="37">
                  <c:v>83.324035973421132</c:v>
                </c:pt>
                <c:pt idx="38">
                  <c:v>91.952181552767797</c:v>
                </c:pt>
                <c:pt idx="39">
                  <c:v>102.36709669822802</c:v>
                </c:pt>
                <c:pt idx="40">
                  <c:v>112.42811644678754</c:v>
                </c:pt>
                <c:pt idx="41">
                  <c:v>120.52076888324106</c:v>
                </c:pt>
                <c:pt idx="42">
                  <c:v>126.1102278808364</c:v>
                </c:pt>
              </c:numCache>
            </c:numRef>
          </c:val>
          <c:smooth val="0"/>
          <c:extLst>
            <c:ext xmlns:c16="http://schemas.microsoft.com/office/drawing/2014/chart" uri="{C3380CC4-5D6E-409C-BE32-E72D297353CC}">
              <c16:uniqueId val="{00000033-69C8-4966-BB77-E5FA7AB915B1}"/>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60"/>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graf'!$V$7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780933469199348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A8B-4225-9905-EAA573E2FFB2}"/>
                </c:ext>
              </c:extLst>
            </c:dLbl>
            <c:dLbl>
              <c:idx val="12"/>
              <c:layout>
                <c:manualLayout>
                  <c:x val="6.654856774575636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A8B-4225-9905-EAA573E2FFB2}"/>
                </c:ext>
              </c:extLst>
            </c:dLbl>
            <c:dLbl>
              <c:idx val="24"/>
              <c:layout>
                <c:manualLayout>
                  <c:x val="7.202501328177392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A8B-4225-9905-EAA573E2FFB2}"/>
                </c:ext>
              </c:extLst>
            </c:dLbl>
            <c:dLbl>
              <c:idx val="36"/>
              <c:layout>
                <c:manualLayout>
                  <c:x val="-1.2983913812173943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A8B-4225-9905-EAA573E2FFB2}"/>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graf'!$V$44:$V$86</c:f>
              <c:numCache>
                <c:formatCode>General</c:formatCode>
                <c:ptCount val="43"/>
                <c:pt idx="0">
                  <c:v>70</c:v>
                </c:pt>
                <c:pt idx="12">
                  <c:v>70</c:v>
                </c:pt>
                <c:pt idx="24">
                  <c:v>70</c:v>
                </c:pt>
                <c:pt idx="36">
                  <c:v>70</c:v>
                </c:pt>
              </c:numCache>
            </c:numRef>
          </c:val>
          <c:smooth val="0"/>
          <c:extLst>
            <c:ext xmlns:c16="http://schemas.microsoft.com/office/drawing/2014/chart" uri="{C3380CC4-5D6E-409C-BE32-E72D297353CC}">
              <c16:uniqueId val="{00000004-CA8B-4225-9905-EAA573E2FFB2}"/>
            </c:ext>
          </c:extLst>
        </c:ser>
        <c:ser>
          <c:idx val="4"/>
          <c:order val="1"/>
          <c:tx>
            <c:strRef>
              <c:f>'Prerađivačka_FS graf'!$W$7</c:f>
              <c:strCache>
                <c:ptCount val="1"/>
                <c:pt idx="0">
                  <c:v>Series5</c:v>
                </c:pt>
              </c:strCache>
            </c:strRef>
          </c:tx>
          <c:spPr>
            <a:ln w="25400" cap="rnd">
              <a:noFill/>
              <a:round/>
            </a:ln>
            <a:effectLst/>
          </c:spPr>
          <c:marker>
            <c:symbol val="none"/>
          </c:marker>
          <c:dLbls>
            <c:dLbl>
              <c:idx val="0"/>
              <c:tx>
                <c:rich>
                  <a:bodyPr/>
                  <a:lstStyle/>
                  <a:p>
                    <a:fld id="{E7EFA82C-5977-4778-8AF4-B77FF3733F3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CA8B-4225-9905-EAA573E2FFB2}"/>
                </c:ext>
              </c:extLst>
            </c:dLbl>
            <c:dLbl>
              <c:idx val="1"/>
              <c:tx>
                <c:rich>
                  <a:bodyPr/>
                  <a:lstStyle/>
                  <a:p>
                    <a:fld id="{4C0E735C-3947-4F06-9367-10BE61DF049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CA8B-4225-9905-EAA573E2FFB2}"/>
                </c:ext>
              </c:extLst>
            </c:dLbl>
            <c:dLbl>
              <c:idx val="2"/>
              <c:tx>
                <c:rich>
                  <a:bodyPr/>
                  <a:lstStyle/>
                  <a:p>
                    <a:fld id="{FBBBE3CD-7535-493A-BDD1-A4E2A8C7E60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CA8B-4225-9905-EAA573E2FFB2}"/>
                </c:ext>
              </c:extLst>
            </c:dLbl>
            <c:dLbl>
              <c:idx val="3"/>
              <c:tx>
                <c:rich>
                  <a:bodyPr/>
                  <a:lstStyle/>
                  <a:p>
                    <a:fld id="{C6ED746D-EFE6-46C6-85DF-D54D64B7C34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CA8B-4225-9905-EAA573E2FFB2}"/>
                </c:ext>
              </c:extLst>
            </c:dLbl>
            <c:dLbl>
              <c:idx val="4"/>
              <c:tx>
                <c:rich>
                  <a:bodyPr/>
                  <a:lstStyle/>
                  <a:p>
                    <a:fld id="{DA65BB36-D955-4FD7-BF38-4A90BFBF84B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CA8B-4225-9905-EAA573E2FFB2}"/>
                </c:ext>
              </c:extLst>
            </c:dLbl>
            <c:dLbl>
              <c:idx val="5"/>
              <c:tx>
                <c:rich>
                  <a:bodyPr/>
                  <a:lstStyle/>
                  <a:p>
                    <a:fld id="{E872E691-B0A7-4485-A2BF-C77FC85C046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CA8B-4225-9905-EAA573E2FFB2}"/>
                </c:ext>
              </c:extLst>
            </c:dLbl>
            <c:dLbl>
              <c:idx val="6"/>
              <c:tx>
                <c:rich>
                  <a:bodyPr/>
                  <a:lstStyle/>
                  <a:p>
                    <a:fld id="{367FF4B0-49F4-419B-9673-42C99CC3DC2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CA8B-4225-9905-EAA573E2FFB2}"/>
                </c:ext>
              </c:extLst>
            </c:dLbl>
            <c:dLbl>
              <c:idx val="7"/>
              <c:tx>
                <c:rich>
                  <a:bodyPr/>
                  <a:lstStyle/>
                  <a:p>
                    <a:fld id="{AE4AA20A-2D56-4B68-BA0F-D6B3CC9A7A7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CA8B-4225-9905-EAA573E2FFB2}"/>
                </c:ext>
              </c:extLst>
            </c:dLbl>
            <c:dLbl>
              <c:idx val="8"/>
              <c:tx>
                <c:rich>
                  <a:bodyPr/>
                  <a:lstStyle/>
                  <a:p>
                    <a:fld id="{C0D35CBB-4E2D-405B-9E67-FD26B0F2EA3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CA8B-4225-9905-EAA573E2FFB2}"/>
                </c:ext>
              </c:extLst>
            </c:dLbl>
            <c:dLbl>
              <c:idx val="9"/>
              <c:tx>
                <c:rich>
                  <a:bodyPr/>
                  <a:lstStyle/>
                  <a:p>
                    <a:fld id="{88C92814-4EDE-4E02-9841-339A93EC5BF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CA8B-4225-9905-EAA573E2FFB2}"/>
                </c:ext>
              </c:extLst>
            </c:dLbl>
            <c:dLbl>
              <c:idx val="10"/>
              <c:tx>
                <c:rich>
                  <a:bodyPr/>
                  <a:lstStyle/>
                  <a:p>
                    <a:fld id="{CE3CC95A-9ED6-435E-88CF-C62B56CD1E0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CA8B-4225-9905-EAA573E2FFB2}"/>
                </c:ext>
              </c:extLst>
            </c:dLbl>
            <c:dLbl>
              <c:idx val="11"/>
              <c:tx>
                <c:rich>
                  <a:bodyPr/>
                  <a:lstStyle/>
                  <a:p>
                    <a:fld id="{7E1D1628-2832-44D4-80F4-C39BECD1B53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CA8B-4225-9905-EAA573E2FFB2}"/>
                </c:ext>
              </c:extLst>
            </c:dLbl>
            <c:dLbl>
              <c:idx val="12"/>
              <c:tx>
                <c:rich>
                  <a:bodyPr/>
                  <a:lstStyle/>
                  <a:p>
                    <a:fld id="{3AE1E345-9F68-4AB4-9222-75164E8C235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CA8B-4225-9905-EAA573E2FFB2}"/>
                </c:ext>
              </c:extLst>
            </c:dLbl>
            <c:dLbl>
              <c:idx val="13"/>
              <c:tx>
                <c:rich>
                  <a:bodyPr/>
                  <a:lstStyle/>
                  <a:p>
                    <a:fld id="{B2AA58AA-1AF6-4103-9BFF-2F331AB5DE0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CA8B-4225-9905-EAA573E2FFB2}"/>
                </c:ext>
              </c:extLst>
            </c:dLbl>
            <c:dLbl>
              <c:idx val="14"/>
              <c:tx>
                <c:rich>
                  <a:bodyPr/>
                  <a:lstStyle/>
                  <a:p>
                    <a:fld id="{C1E1095C-AB36-4DA8-882F-D18AC9FB15B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CA8B-4225-9905-EAA573E2FFB2}"/>
                </c:ext>
              </c:extLst>
            </c:dLbl>
            <c:dLbl>
              <c:idx val="15"/>
              <c:tx>
                <c:rich>
                  <a:bodyPr/>
                  <a:lstStyle/>
                  <a:p>
                    <a:fld id="{01979655-36A2-4F74-A4F9-53B753544AF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CA8B-4225-9905-EAA573E2FFB2}"/>
                </c:ext>
              </c:extLst>
            </c:dLbl>
            <c:dLbl>
              <c:idx val="16"/>
              <c:tx>
                <c:rich>
                  <a:bodyPr/>
                  <a:lstStyle/>
                  <a:p>
                    <a:fld id="{2C051DE9-E5B8-42BB-A708-9AC0D1498BA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CA8B-4225-9905-EAA573E2FFB2}"/>
                </c:ext>
              </c:extLst>
            </c:dLbl>
            <c:dLbl>
              <c:idx val="17"/>
              <c:tx>
                <c:rich>
                  <a:bodyPr/>
                  <a:lstStyle/>
                  <a:p>
                    <a:fld id="{E8BDBBB3-7021-4B8A-983F-9458C1C7A35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CA8B-4225-9905-EAA573E2FFB2}"/>
                </c:ext>
              </c:extLst>
            </c:dLbl>
            <c:dLbl>
              <c:idx val="18"/>
              <c:tx>
                <c:rich>
                  <a:bodyPr/>
                  <a:lstStyle/>
                  <a:p>
                    <a:fld id="{C25B7FFD-904C-4807-BCB7-F052972C059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CA8B-4225-9905-EAA573E2FFB2}"/>
                </c:ext>
              </c:extLst>
            </c:dLbl>
            <c:dLbl>
              <c:idx val="19"/>
              <c:tx>
                <c:rich>
                  <a:bodyPr/>
                  <a:lstStyle/>
                  <a:p>
                    <a:fld id="{E06F1791-B7A3-4532-860D-574B1F444CF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CA8B-4225-9905-EAA573E2FFB2}"/>
                </c:ext>
              </c:extLst>
            </c:dLbl>
            <c:dLbl>
              <c:idx val="20"/>
              <c:tx>
                <c:rich>
                  <a:bodyPr/>
                  <a:lstStyle/>
                  <a:p>
                    <a:fld id="{5614F5E8-36D9-4C2C-B357-0264C2A6AB5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CA8B-4225-9905-EAA573E2FFB2}"/>
                </c:ext>
              </c:extLst>
            </c:dLbl>
            <c:dLbl>
              <c:idx val="21"/>
              <c:tx>
                <c:rich>
                  <a:bodyPr/>
                  <a:lstStyle/>
                  <a:p>
                    <a:fld id="{28035A28-3000-45B4-ADC7-2A37C2A6A93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CA8B-4225-9905-EAA573E2FFB2}"/>
                </c:ext>
              </c:extLst>
            </c:dLbl>
            <c:dLbl>
              <c:idx val="22"/>
              <c:tx>
                <c:rich>
                  <a:bodyPr/>
                  <a:lstStyle/>
                  <a:p>
                    <a:fld id="{55031446-771B-4A77-8B6F-34DA7AB50E8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CA8B-4225-9905-EAA573E2FFB2}"/>
                </c:ext>
              </c:extLst>
            </c:dLbl>
            <c:dLbl>
              <c:idx val="23"/>
              <c:tx>
                <c:rich>
                  <a:bodyPr/>
                  <a:lstStyle/>
                  <a:p>
                    <a:fld id="{AAEFB238-ED09-4DF6-8BE6-4115B4F6C83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CA8B-4225-9905-EAA573E2FFB2}"/>
                </c:ext>
              </c:extLst>
            </c:dLbl>
            <c:dLbl>
              <c:idx val="24"/>
              <c:tx>
                <c:rich>
                  <a:bodyPr/>
                  <a:lstStyle/>
                  <a:p>
                    <a:fld id="{94776DA1-53B8-483A-B586-ACD81D70437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CA8B-4225-9905-EAA573E2FFB2}"/>
                </c:ext>
              </c:extLst>
            </c:dLbl>
            <c:dLbl>
              <c:idx val="25"/>
              <c:tx>
                <c:rich>
                  <a:bodyPr/>
                  <a:lstStyle/>
                  <a:p>
                    <a:fld id="{BE926E8B-F64B-4847-8A0A-773A56F611C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CA8B-4225-9905-EAA573E2FFB2}"/>
                </c:ext>
              </c:extLst>
            </c:dLbl>
            <c:dLbl>
              <c:idx val="26"/>
              <c:tx>
                <c:rich>
                  <a:bodyPr/>
                  <a:lstStyle/>
                  <a:p>
                    <a:fld id="{014529C3-C666-4416-BFC5-227D3C092DB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CA8B-4225-9905-EAA573E2FFB2}"/>
                </c:ext>
              </c:extLst>
            </c:dLbl>
            <c:dLbl>
              <c:idx val="27"/>
              <c:tx>
                <c:rich>
                  <a:bodyPr/>
                  <a:lstStyle/>
                  <a:p>
                    <a:fld id="{0CA1DA29-38C4-4C3B-85F5-B2C0E9BBBAF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CA8B-4225-9905-EAA573E2FFB2}"/>
                </c:ext>
              </c:extLst>
            </c:dLbl>
            <c:dLbl>
              <c:idx val="28"/>
              <c:tx>
                <c:rich>
                  <a:bodyPr/>
                  <a:lstStyle/>
                  <a:p>
                    <a:fld id="{464B063D-5765-40C5-8AB4-26A8B23763F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CA8B-4225-9905-EAA573E2FFB2}"/>
                </c:ext>
              </c:extLst>
            </c:dLbl>
            <c:dLbl>
              <c:idx val="29"/>
              <c:tx>
                <c:rich>
                  <a:bodyPr/>
                  <a:lstStyle/>
                  <a:p>
                    <a:fld id="{E360D9EA-047B-4E52-99CB-88F5143BF8B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CA8B-4225-9905-EAA573E2FFB2}"/>
                </c:ext>
              </c:extLst>
            </c:dLbl>
            <c:dLbl>
              <c:idx val="30"/>
              <c:tx>
                <c:rich>
                  <a:bodyPr/>
                  <a:lstStyle/>
                  <a:p>
                    <a:fld id="{337A6526-A0C3-449E-A16F-5DEA7CDD9C7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CA8B-4225-9905-EAA573E2FFB2}"/>
                </c:ext>
              </c:extLst>
            </c:dLbl>
            <c:dLbl>
              <c:idx val="31"/>
              <c:tx>
                <c:rich>
                  <a:bodyPr/>
                  <a:lstStyle/>
                  <a:p>
                    <a:fld id="{CDC131F1-126C-4151-87F7-B3250D151DF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CA8B-4225-9905-EAA573E2FFB2}"/>
                </c:ext>
              </c:extLst>
            </c:dLbl>
            <c:dLbl>
              <c:idx val="32"/>
              <c:tx>
                <c:rich>
                  <a:bodyPr/>
                  <a:lstStyle/>
                  <a:p>
                    <a:fld id="{E4685E46-C73D-4A9E-9F43-3C4D4D3D863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CA8B-4225-9905-EAA573E2FFB2}"/>
                </c:ext>
              </c:extLst>
            </c:dLbl>
            <c:dLbl>
              <c:idx val="33"/>
              <c:tx>
                <c:rich>
                  <a:bodyPr/>
                  <a:lstStyle/>
                  <a:p>
                    <a:fld id="{EF8B2719-6F82-4088-9A13-400CA9893F9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CA8B-4225-9905-EAA573E2FFB2}"/>
                </c:ext>
              </c:extLst>
            </c:dLbl>
            <c:dLbl>
              <c:idx val="34"/>
              <c:tx>
                <c:rich>
                  <a:bodyPr/>
                  <a:lstStyle/>
                  <a:p>
                    <a:fld id="{E1194B93-CF02-450D-98F9-CA1E5B5C5D4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CA8B-4225-9905-EAA573E2FFB2}"/>
                </c:ext>
              </c:extLst>
            </c:dLbl>
            <c:dLbl>
              <c:idx val="35"/>
              <c:tx>
                <c:rich>
                  <a:bodyPr/>
                  <a:lstStyle/>
                  <a:p>
                    <a:fld id="{1ED8D75D-D28C-4A3B-8F2A-CD993C9A636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CA8B-4225-9905-EAA573E2FFB2}"/>
                </c:ext>
              </c:extLst>
            </c:dLbl>
            <c:dLbl>
              <c:idx val="36"/>
              <c:tx>
                <c:rich>
                  <a:bodyPr/>
                  <a:lstStyle/>
                  <a:p>
                    <a:fld id="{C40F9849-B3BB-4F9D-9182-BDDB44741CD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CA8B-4225-9905-EAA573E2FFB2}"/>
                </c:ext>
              </c:extLst>
            </c:dLbl>
            <c:dLbl>
              <c:idx val="37"/>
              <c:tx>
                <c:rich>
                  <a:bodyPr/>
                  <a:lstStyle/>
                  <a:p>
                    <a:fld id="{03B76F33-C184-4554-AB51-DCB6DC3D761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CA8B-4225-9905-EAA573E2FFB2}"/>
                </c:ext>
              </c:extLst>
            </c:dLbl>
            <c:dLbl>
              <c:idx val="38"/>
              <c:tx>
                <c:rich>
                  <a:bodyPr/>
                  <a:lstStyle/>
                  <a:p>
                    <a:fld id="{51D804EC-950D-4125-A626-711AEC51305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CA8B-4225-9905-EAA573E2FFB2}"/>
                </c:ext>
              </c:extLst>
            </c:dLbl>
            <c:dLbl>
              <c:idx val="39"/>
              <c:tx>
                <c:rich>
                  <a:bodyPr/>
                  <a:lstStyle/>
                  <a:p>
                    <a:fld id="{B0CA7055-4BA3-4114-BF5B-4D795E91C7B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CA8B-4225-9905-EAA573E2FFB2}"/>
                </c:ext>
              </c:extLst>
            </c:dLbl>
            <c:dLbl>
              <c:idx val="40"/>
              <c:tx>
                <c:rich>
                  <a:bodyPr/>
                  <a:lstStyle/>
                  <a:p>
                    <a:fld id="{1B8A5F8C-D4A3-4A46-AF2D-8564B95AE31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CA8B-4225-9905-EAA573E2FFB2}"/>
                </c:ext>
              </c:extLst>
            </c:dLbl>
            <c:dLbl>
              <c:idx val="41"/>
              <c:tx>
                <c:rich>
                  <a:bodyPr/>
                  <a:lstStyle/>
                  <a:p>
                    <a:fld id="{5E7F655A-D81A-4D4A-BA88-2DB12A7771F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CA8B-4225-9905-EAA573E2FFB2}"/>
                </c:ext>
              </c:extLst>
            </c:dLbl>
            <c:dLbl>
              <c:idx val="42"/>
              <c:tx>
                <c:rich>
                  <a:bodyPr/>
                  <a:lstStyle/>
                  <a:p>
                    <a:fld id="{4310312E-4D71-4CFF-8344-22D2626CB63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CA8B-4225-9905-EAA573E2FFB2}"/>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graf'!$W$44:$W$86</c:f>
              <c:numCache>
                <c:formatCode>General</c:formatCode>
                <c:ptCount val="43"/>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pt idx="32">
                  <c:v>70</c:v>
                </c:pt>
                <c:pt idx="33">
                  <c:v>70</c:v>
                </c:pt>
                <c:pt idx="34">
                  <c:v>70</c:v>
                </c:pt>
                <c:pt idx="35">
                  <c:v>70</c:v>
                </c:pt>
                <c:pt idx="36">
                  <c:v>70</c:v>
                </c:pt>
                <c:pt idx="37">
                  <c:v>70</c:v>
                </c:pt>
                <c:pt idx="38">
                  <c:v>70</c:v>
                </c:pt>
                <c:pt idx="39">
                  <c:v>70</c:v>
                </c:pt>
                <c:pt idx="40">
                  <c:v>70</c:v>
                </c:pt>
                <c:pt idx="41">
                  <c:v>70</c:v>
                </c:pt>
                <c:pt idx="42">
                  <c:v>70</c:v>
                </c:pt>
              </c:numCache>
            </c:numRef>
          </c:val>
          <c:smooth val="0"/>
          <c:extLst>
            <c:ext xmlns:c15="http://schemas.microsoft.com/office/drawing/2012/chart" uri="{02D57815-91ED-43cb-92C2-25804820EDAC}">
              <c15:datalabelsRange>
                <c15:f>'Prerađivačka_FS graf'!$B$44:$B$86</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0-CA8B-4225-9905-EAA573E2FFB2}"/>
            </c:ext>
          </c:extLst>
        </c:ser>
        <c:ser>
          <c:idx val="0"/>
          <c:order val="2"/>
          <c:tx>
            <c:strRef>
              <c:f>'Prerađivačka_FS graf'!$X$7</c:f>
              <c:strCache>
                <c:ptCount val="1"/>
                <c:pt idx="0">
                  <c:v>y</c:v>
                </c:pt>
              </c:strCache>
            </c:strRef>
          </c:tx>
          <c:spPr>
            <a:ln w="12700" cap="rnd">
              <a:solidFill>
                <a:srgbClr val="92278F"/>
              </a:solidFill>
              <a:prstDash val="sysDash"/>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graf'!$X$44:$X$86</c:f>
              <c:numCache>
                <c:formatCode>0.0</c:formatCode>
                <c:ptCount val="43"/>
                <c:pt idx="0">
                  <c:v>95.761756748768605</c:v>
                </c:pt>
                <c:pt idx="1">
                  <c:v>93.830964495725993</c:v>
                </c:pt>
                <c:pt idx="2">
                  <c:v>104.51142733112459</c:v>
                </c:pt>
                <c:pt idx="3">
                  <c:v>96.752176400520099</c:v>
                </c:pt>
                <c:pt idx="4">
                  <c:v>93.686235869618898</c:v>
                </c:pt>
                <c:pt idx="5">
                  <c:v>112.3415775687568</c:v>
                </c:pt>
                <c:pt idx="6">
                  <c:v>117.11445569110489</c:v>
                </c:pt>
                <c:pt idx="7">
                  <c:v>113.9950851056372</c:v>
                </c:pt>
                <c:pt idx="8">
                  <c:v>101.13527566528759</c:v>
                </c:pt>
                <c:pt idx="9">
                  <c:v>110.3440750308167</c:v>
                </c:pt>
                <c:pt idx="10">
                  <c:v>106.3511265176336</c:v>
                </c:pt>
                <c:pt idx="11">
                  <c:v>110.0271337130508</c:v>
                </c:pt>
                <c:pt idx="12">
                  <c:v>97.58595222852</c:v>
                </c:pt>
                <c:pt idx="13">
                  <c:v>101.67214069300699</c:v>
                </c:pt>
                <c:pt idx="14">
                  <c:v>111.2475606685162</c:v>
                </c:pt>
                <c:pt idx="15">
                  <c:v>104.40446955808621</c:v>
                </c:pt>
                <c:pt idx="16">
                  <c:v>110.5183844051983</c:v>
                </c:pt>
                <c:pt idx="17">
                  <c:v>119.7468601162383</c:v>
                </c:pt>
                <c:pt idx="18">
                  <c:v>110.47273311051801</c:v>
                </c:pt>
                <c:pt idx="19">
                  <c:v>108.075592102762</c:v>
                </c:pt>
                <c:pt idx="20">
                  <c:v>91.790743337080599</c:v>
                </c:pt>
                <c:pt idx="21">
                  <c:v>110.989663226023</c:v>
                </c:pt>
                <c:pt idx="22">
                  <c:v>105.9120477031625</c:v>
                </c:pt>
                <c:pt idx="23">
                  <c:v>105.7461030043614</c:v>
                </c:pt>
                <c:pt idx="24">
                  <c:v>97.467564385201499</c:v>
                </c:pt>
                <c:pt idx="25">
                  <c:v>112.3816892566398</c:v>
                </c:pt>
                <c:pt idx="26">
                  <c:v>121.9220012955231</c:v>
                </c:pt>
                <c:pt idx="27">
                  <c:v>104.9440094380997</c:v>
                </c:pt>
                <c:pt idx="28">
                  <c:v>102.30701753700269</c:v>
                </c:pt>
                <c:pt idx="29">
                  <c:v>107.99595141700405</c:v>
                </c:pt>
                <c:pt idx="30">
                  <c:v>94.439117929050823</c:v>
                </c:pt>
                <c:pt idx="31">
                  <c:v>77.812143174980704</c:v>
                </c:pt>
                <c:pt idx="32">
                  <c:v>104.31146203721769</c:v>
                </c:pt>
                <c:pt idx="33">
                  <c:v>100.7184085856813</c:v>
                </c:pt>
                <c:pt idx="34">
                  <c:v>91.546690972626394</c:v>
                </c:pt>
                <c:pt idx="35">
                  <c:v>84.208002080359805</c:v>
                </c:pt>
                <c:pt idx="36">
                  <c:v>80.500089283971704</c:v>
                </c:pt>
                <c:pt idx="37">
                  <c:v>88.688784039696301</c:v>
                </c:pt>
                <c:pt idx="38">
                  <c:v>108.6020227407587</c:v>
                </c:pt>
                <c:pt idx="39">
                  <c:v>86.272290770367704</c:v>
                </c:pt>
                <c:pt idx="40">
                  <c:v>104.4</c:v>
                </c:pt>
                <c:pt idx="41">
                  <c:v>107.3</c:v>
                </c:pt>
                <c:pt idx="42">
                  <c:v>98.5</c:v>
                </c:pt>
              </c:numCache>
            </c:numRef>
          </c:val>
          <c:smooth val="0"/>
          <c:extLst>
            <c:ext xmlns:c16="http://schemas.microsoft.com/office/drawing/2014/chart" uri="{C3380CC4-5D6E-409C-BE32-E72D297353CC}">
              <c16:uniqueId val="{00000031-CA8B-4225-9905-EAA573E2FFB2}"/>
            </c:ext>
          </c:extLst>
        </c:ser>
        <c:ser>
          <c:idx val="1"/>
          <c:order val="3"/>
          <c:tx>
            <c:strRef>
              <c:f>'Prerađivačka_FS graf'!$Y$7</c:f>
              <c:strCache>
                <c:ptCount val="1"/>
                <c:pt idx="0">
                  <c:v>sa</c:v>
                </c:pt>
              </c:strCache>
            </c:strRef>
          </c:tx>
          <c:spPr>
            <a:ln w="22225" cap="rnd">
              <a:solidFill>
                <a:srgbClr val="25AAE1"/>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graf'!$Y$44:$Y$86</c:f>
              <c:numCache>
                <c:formatCode>0.0</c:formatCode>
                <c:ptCount val="43"/>
                <c:pt idx="0">
                  <c:v>103.82439429688043</c:v>
                </c:pt>
                <c:pt idx="1">
                  <c:v>94.35615941145744</c:v>
                </c:pt>
                <c:pt idx="2">
                  <c:v>95.848393442573354</c:v>
                </c:pt>
                <c:pt idx="3">
                  <c:v>99.353685334566904</c:v>
                </c:pt>
                <c:pt idx="4">
                  <c:v>92.147516632311621</c:v>
                </c:pt>
                <c:pt idx="5">
                  <c:v>105.28184704091461</c:v>
                </c:pt>
                <c:pt idx="6">
                  <c:v>114.90204541085969</c:v>
                </c:pt>
                <c:pt idx="7">
                  <c:v>114.75931128383218</c:v>
                </c:pt>
                <c:pt idx="8">
                  <c:v>107.23947132276017</c:v>
                </c:pt>
                <c:pt idx="9">
                  <c:v>105.08399410585552</c:v>
                </c:pt>
                <c:pt idx="10">
                  <c:v>107.25574212209045</c:v>
                </c:pt>
                <c:pt idx="11">
                  <c:v>113.55481564555889</c:v>
                </c:pt>
                <c:pt idx="12">
                  <c:v>106.91416187574137</c:v>
                </c:pt>
                <c:pt idx="13">
                  <c:v>105.84102218756652</c:v>
                </c:pt>
                <c:pt idx="14">
                  <c:v>101.69717574664315</c:v>
                </c:pt>
                <c:pt idx="15">
                  <c:v>108.14208162567498</c:v>
                </c:pt>
                <c:pt idx="16">
                  <c:v>108.62515770847214</c:v>
                </c:pt>
                <c:pt idx="17">
                  <c:v>110.97722520484778</c:v>
                </c:pt>
                <c:pt idx="18">
                  <c:v>108.03649263103945</c:v>
                </c:pt>
                <c:pt idx="19">
                  <c:v>108.60882098015843</c:v>
                </c:pt>
                <c:pt idx="20">
                  <c:v>98.132813160476289</c:v>
                </c:pt>
                <c:pt idx="21">
                  <c:v>105.44433219774855</c:v>
                </c:pt>
                <c:pt idx="22">
                  <c:v>106.88547471131037</c:v>
                </c:pt>
                <c:pt idx="23">
                  <c:v>109.89741863997205</c:v>
                </c:pt>
                <c:pt idx="24">
                  <c:v>108.30242281851339</c:v>
                </c:pt>
                <c:pt idx="25">
                  <c:v>116.55502259773969</c:v>
                </c:pt>
                <c:pt idx="26">
                  <c:v>110.39276700869682</c:v>
                </c:pt>
                <c:pt idx="27">
                  <c:v>108.98326992998221</c:v>
                </c:pt>
                <c:pt idx="28">
                  <c:v>99.589725003066363</c:v>
                </c:pt>
                <c:pt idx="29">
                  <c:v>98.944091596355776</c:v>
                </c:pt>
                <c:pt idx="30">
                  <c:v>92.666003128653529</c:v>
                </c:pt>
                <c:pt idx="31">
                  <c:v>78.541196769922067</c:v>
                </c:pt>
                <c:pt idx="32">
                  <c:v>112.45959809718883</c:v>
                </c:pt>
                <c:pt idx="33">
                  <c:v>96.026393303520351</c:v>
                </c:pt>
                <c:pt idx="34">
                  <c:v>92.974406445168171</c:v>
                </c:pt>
                <c:pt idx="35">
                  <c:v>87.900152457242555</c:v>
                </c:pt>
                <c:pt idx="36">
                  <c:v>89.888342936448453</c:v>
                </c:pt>
                <c:pt idx="37">
                  <c:v>91.318366028307778</c:v>
                </c:pt>
                <c:pt idx="38">
                  <c:v>97.323780241479852</c:v>
                </c:pt>
                <c:pt idx="39">
                  <c:v>89.419816879182846</c:v>
                </c:pt>
                <c:pt idx="40">
                  <c:v>100.9157969383223</c:v>
                </c:pt>
                <c:pt idx="41">
                  <c:v>97.984351192919192</c:v>
                </c:pt>
                <c:pt idx="42">
                  <c:v>97.369260313029628</c:v>
                </c:pt>
              </c:numCache>
            </c:numRef>
          </c:val>
          <c:smooth val="0"/>
          <c:extLst>
            <c:ext xmlns:c16="http://schemas.microsoft.com/office/drawing/2014/chart" uri="{C3380CC4-5D6E-409C-BE32-E72D297353CC}">
              <c16:uniqueId val="{00000032-CA8B-4225-9905-EAA573E2FFB2}"/>
            </c:ext>
          </c:extLst>
        </c:ser>
        <c:ser>
          <c:idx val="2"/>
          <c:order val="4"/>
          <c:tx>
            <c:strRef>
              <c:f>'Prerađivačka_FS graf'!$Z$7</c:f>
              <c:strCache>
                <c:ptCount val="1"/>
                <c:pt idx="0">
                  <c:v>t</c:v>
                </c:pt>
              </c:strCache>
            </c:strRef>
          </c:tx>
          <c:spPr>
            <a:ln w="25400" cap="rnd">
              <a:solidFill>
                <a:srgbClr val="FF0000"/>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graf'!$Z$44:$Z$86</c:f>
              <c:numCache>
                <c:formatCode>0.0</c:formatCode>
                <c:ptCount val="43"/>
                <c:pt idx="0">
                  <c:v>100.50072758316766</c:v>
                </c:pt>
                <c:pt idx="1">
                  <c:v>97.965381970180701</c:v>
                </c:pt>
                <c:pt idx="2">
                  <c:v>97.416556718411201</c:v>
                </c:pt>
                <c:pt idx="3">
                  <c:v>99.257563913884297</c:v>
                </c:pt>
                <c:pt idx="4">
                  <c:v>102.58959215022827</c:v>
                </c:pt>
                <c:pt idx="5">
                  <c:v>105.87844078666032</c:v>
                </c:pt>
                <c:pt idx="6">
                  <c:v>108.33642090004948</c:v>
                </c:pt>
                <c:pt idx="7">
                  <c:v>109.70299422737756</c:v>
                </c:pt>
                <c:pt idx="8">
                  <c:v>109.94803078368069</c:v>
                </c:pt>
                <c:pt idx="9">
                  <c:v>109.43546332128625</c:v>
                </c:pt>
                <c:pt idx="10">
                  <c:v>108.49941836649575</c:v>
                </c:pt>
                <c:pt idx="11">
                  <c:v>107.5175998125503</c:v>
                </c:pt>
                <c:pt idx="12">
                  <c:v>106.89932579415797</c:v>
                </c:pt>
                <c:pt idx="13">
                  <c:v>106.64672213720249</c:v>
                </c:pt>
                <c:pt idx="14">
                  <c:v>106.77804176944638</c:v>
                </c:pt>
                <c:pt idx="15">
                  <c:v>107.2166471719808</c:v>
                </c:pt>
                <c:pt idx="16">
                  <c:v>107.7461479238021</c:v>
                </c:pt>
                <c:pt idx="17">
                  <c:v>107.95203596031374</c:v>
                </c:pt>
                <c:pt idx="18">
                  <c:v>107.56508964704476</c:v>
                </c:pt>
                <c:pt idx="19">
                  <c:v>106.52741621729488</c:v>
                </c:pt>
                <c:pt idx="20">
                  <c:v>105.67237262391113</c:v>
                </c:pt>
                <c:pt idx="21">
                  <c:v>105.73319230683627</c:v>
                </c:pt>
                <c:pt idx="22">
                  <c:v>107.10758000803956</c:v>
                </c:pt>
                <c:pt idx="23">
                  <c:v>109.15366061056288</c:v>
                </c:pt>
                <c:pt idx="24">
                  <c:v>110.92969121515964</c:v>
                </c:pt>
                <c:pt idx="25">
                  <c:v>111.34610158302866</c:v>
                </c:pt>
                <c:pt idx="26">
                  <c:v>109.8378481350082</c:v>
                </c:pt>
                <c:pt idx="27">
                  <c:v>106.57209192386465</c:v>
                </c:pt>
                <c:pt idx="28">
                  <c:v>102.55777958195851</c:v>
                </c:pt>
                <c:pt idx="29">
                  <c:v>98.813138925694034</c:v>
                </c:pt>
                <c:pt idx="30">
                  <c:v>96.044097628777195</c:v>
                </c:pt>
                <c:pt idx="31">
                  <c:v>94.370974857195648</c:v>
                </c:pt>
                <c:pt idx="32">
                  <c:v>93.369886767942049</c:v>
                </c:pt>
                <c:pt idx="33">
                  <c:v>92.650906808982839</c:v>
                </c:pt>
                <c:pt idx="34">
                  <c:v>91.920880053211775</c:v>
                </c:pt>
                <c:pt idx="35">
                  <c:v>91.27021891792181</c:v>
                </c:pt>
                <c:pt idx="36">
                  <c:v>91.161347099580766</c:v>
                </c:pt>
                <c:pt idx="37">
                  <c:v>91.886607921102069</c:v>
                </c:pt>
                <c:pt idx="38">
                  <c:v>93.287949886806345</c:v>
                </c:pt>
                <c:pt idx="39">
                  <c:v>94.951597444915322</c:v>
                </c:pt>
                <c:pt idx="40">
                  <c:v>96.401000205553913</c:v>
                </c:pt>
                <c:pt idx="41">
                  <c:v>97.320174742068076</c:v>
                </c:pt>
                <c:pt idx="42">
                  <c:v>97.739014116938662</c:v>
                </c:pt>
              </c:numCache>
            </c:numRef>
          </c:val>
          <c:smooth val="0"/>
          <c:extLst>
            <c:ext xmlns:c16="http://schemas.microsoft.com/office/drawing/2014/chart" uri="{C3380CC4-5D6E-409C-BE32-E72D297353CC}">
              <c16:uniqueId val="{00000033-CA8B-4225-9905-EAA573E2FFB2}"/>
            </c:ext>
          </c:extLst>
        </c:ser>
        <c:dLbls>
          <c:showLegendKey val="0"/>
          <c:showVal val="0"/>
          <c:showCatName val="0"/>
          <c:showSerName val="0"/>
          <c:showPercent val="0"/>
          <c:showBubbleSize val="0"/>
        </c:dLbls>
        <c:marker val="1"/>
        <c:smooth val="0"/>
        <c:axId val="2092158352"/>
        <c:axId val="2092178480"/>
      </c:lineChart>
      <c:dateAx>
        <c:axId val="209215835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8480"/>
        <c:crosses val="autoZero"/>
        <c:auto val="1"/>
        <c:lblOffset val="0"/>
        <c:baseTimeUnit val="months"/>
        <c:majorUnit val="12"/>
        <c:majorTimeUnit val="months"/>
      </c:dateAx>
      <c:valAx>
        <c:axId val="2092178480"/>
        <c:scaling>
          <c:orientation val="minMax"/>
          <c:max val="125"/>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58352"/>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graf'!$AF$7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228914822497038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B96-46C6-ADC0-6272ADF4C5C1}"/>
                </c:ext>
              </c:extLst>
            </c:dLbl>
            <c:dLbl>
              <c:idx val="12"/>
              <c:layout>
                <c:manualLayout>
                  <c:x val="7.082824720118907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B96-46C6-ADC0-6272ADF4C5C1}"/>
                </c:ext>
              </c:extLst>
            </c:dLbl>
            <c:dLbl>
              <c:idx val="24"/>
              <c:layout>
                <c:manualLayout>
                  <c:x val="7.649891408681656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B96-46C6-ADC0-6272ADF4C5C1}"/>
                </c:ext>
              </c:extLst>
            </c:dLbl>
            <c:dLbl>
              <c:idx val="36"/>
              <c:layout>
                <c:manualLayout>
                  <c:x val="-1.2911017878430022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B96-46C6-ADC0-6272ADF4C5C1}"/>
                </c:ext>
              </c:extLst>
            </c:dLbl>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graf'!$AF$44:$AF$86</c:f>
              <c:numCache>
                <c:formatCode>General</c:formatCode>
                <c:ptCount val="43"/>
                <c:pt idx="0">
                  <c:v>40</c:v>
                </c:pt>
                <c:pt idx="12">
                  <c:v>40</c:v>
                </c:pt>
                <c:pt idx="24">
                  <c:v>40</c:v>
                </c:pt>
                <c:pt idx="36">
                  <c:v>40</c:v>
                </c:pt>
              </c:numCache>
            </c:numRef>
          </c:val>
          <c:smooth val="0"/>
          <c:extLst>
            <c:ext xmlns:c16="http://schemas.microsoft.com/office/drawing/2014/chart" uri="{C3380CC4-5D6E-409C-BE32-E72D297353CC}">
              <c16:uniqueId val="{00000004-4B96-46C6-ADC0-6272ADF4C5C1}"/>
            </c:ext>
          </c:extLst>
        </c:ser>
        <c:ser>
          <c:idx val="4"/>
          <c:order val="1"/>
          <c:tx>
            <c:strRef>
              <c:f>'Prerađivačka_FS graf'!$AG$7</c:f>
              <c:strCache>
                <c:ptCount val="1"/>
                <c:pt idx="0">
                  <c:v>Series5</c:v>
                </c:pt>
              </c:strCache>
            </c:strRef>
          </c:tx>
          <c:spPr>
            <a:ln w="28575" cap="rnd">
              <a:noFill/>
              <a:round/>
            </a:ln>
            <a:effectLst/>
          </c:spPr>
          <c:marker>
            <c:symbol val="none"/>
          </c:marker>
          <c:dLbls>
            <c:dLbl>
              <c:idx val="0"/>
              <c:tx>
                <c:rich>
                  <a:bodyPr/>
                  <a:lstStyle/>
                  <a:p>
                    <a:fld id="{BA7873A0-6294-440D-B108-EEA54F439A4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4B96-46C6-ADC0-6272ADF4C5C1}"/>
                </c:ext>
              </c:extLst>
            </c:dLbl>
            <c:dLbl>
              <c:idx val="1"/>
              <c:tx>
                <c:rich>
                  <a:bodyPr/>
                  <a:lstStyle/>
                  <a:p>
                    <a:fld id="{26B10BEC-D15F-46A5-8A98-38C9C72E4AB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4B96-46C6-ADC0-6272ADF4C5C1}"/>
                </c:ext>
              </c:extLst>
            </c:dLbl>
            <c:dLbl>
              <c:idx val="2"/>
              <c:tx>
                <c:rich>
                  <a:bodyPr/>
                  <a:lstStyle/>
                  <a:p>
                    <a:fld id="{988BFA8B-A029-4E45-BF7D-8BEFD75D76E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4B96-46C6-ADC0-6272ADF4C5C1}"/>
                </c:ext>
              </c:extLst>
            </c:dLbl>
            <c:dLbl>
              <c:idx val="3"/>
              <c:tx>
                <c:rich>
                  <a:bodyPr/>
                  <a:lstStyle/>
                  <a:p>
                    <a:fld id="{0E10B2C6-D109-4F98-9380-089F08249AF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4B96-46C6-ADC0-6272ADF4C5C1}"/>
                </c:ext>
              </c:extLst>
            </c:dLbl>
            <c:dLbl>
              <c:idx val="4"/>
              <c:tx>
                <c:rich>
                  <a:bodyPr/>
                  <a:lstStyle/>
                  <a:p>
                    <a:fld id="{160F6953-0856-4EC0-B2CB-473A172C2FF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4B96-46C6-ADC0-6272ADF4C5C1}"/>
                </c:ext>
              </c:extLst>
            </c:dLbl>
            <c:dLbl>
              <c:idx val="5"/>
              <c:tx>
                <c:rich>
                  <a:bodyPr/>
                  <a:lstStyle/>
                  <a:p>
                    <a:fld id="{BA657A58-79A9-4674-BE7A-A3069A4BDB4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4B96-46C6-ADC0-6272ADF4C5C1}"/>
                </c:ext>
              </c:extLst>
            </c:dLbl>
            <c:dLbl>
              <c:idx val="6"/>
              <c:tx>
                <c:rich>
                  <a:bodyPr/>
                  <a:lstStyle/>
                  <a:p>
                    <a:fld id="{4F613B08-D55B-434F-91B3-75014149427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4B96-46C6-ADC0-6272ADF4C5C1}"/>
                </c:ext>
              </c:extLst>
            </c:dLbl>
            <c:dLbl>
              <c:idx val="7"/>
              <c:tx>
                <c:rich>
                  <a:bodyPr/>
                  <a:lstStyle/>
                  <a:p>
                    <a:fld id="{7BB069C8-FB8C-4B0C-975C-9F965BB032F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4B96-46C6-ADC0-6272ADF4C5C1}"/>
                </c:ext>
              </c:extLst>
            </c:dLbl>
            <c:dLbl>
              <c:idx val="8"/>
              <c:tx>
                <c:rich>
                  <a:bodyPr/>
                  <a:lstStyle/>
                  <a:p>
                    <a:fld id="{33EA1BEF-5F5C-4066-8362-17A788349C7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4B96-46C6-ADC0-6272ADF4C5C1}"/>
                </c:ext>
              </c:extLst>
            </c:dLbl>
            <c:dLbl>
              <c:idx val="9"/>
              <c:tx>
                <c:rich>
                  <a:bodyPr/>
                  <a:lstStyle/>
                  <a:p>
                    <a:fld id="{C3EDCDBA-8051-4CAB-A7EC-A6904D19987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4B96-46C6-ADC0-6272ADF4C5C1}"/>
                </c:ext>
              </c:extLst>
            </c:dLbl>
            <c:dLbl>
              <c:idx val="10"/>
              <c:tx>
                <c:rich>
                  <a:bodyPr/>
                  <a:lstStyle/>
                  <a:p>
                    <a:fld id="{5BCC8A80-E23A-434D-B32E-E8BC90D3737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4B96-46C6-ADC0-6272ADF4C5C1}"/>
                </c:ext>
              </c:extLst>
            </c:dLbl>
            <c:dLbl>
              <c:idx val="11"/>
              <c:tx>
                <c:rich>
                  <a:bodyPr/>
                  <a:lstStyle/>
                  <a:p>
                    <a:fld id="{B2BBAC50-984A-4CD5-A670-A1F41BF84D8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4B96-46C6-ADC0-6272ADF4C5C1}"/>
                </c:ext>
              </c:extLst>
            </c:dLbl>
            <c:dLbl>
              <c:idx val="12"/>
              <c:tx>
                <c:rich>
                  <a:bodyPr/>
                  <a:lstStyle/>
                  <a:p>
                    <a:fld id="{C080C9F1-C6B8-4F76-9FFF-ED87DFA4A75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4B96-46C6-ADC0-6272ADF4C5C1}"/>
                </c:ext>
              </c:extLst>
            </c:dLbl>
            <c:dLbl>
              <c:idx val="13"/>
              <c:tx>
                <c:rich>
                  <a:bodyPr/>
                  <a:lstStyle/>
                  <a:p>
                    <a:fld id="{939BE745-45DB-4E4A-8F11-BD499217A1F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4B96-46C6-ADC0-6272ADF4C5C1}"/>
                </c:ext>
              </c:extLst>
            </c:dLbl>
            <c:dLbl>
              <c:idx val="14"/>
              <c:tx>
                <c:rich>
                  <a:bodyPr/>
                  <a:lstStyle/>
                  <a:p>
                    <a:fld id="{F2E27268-BA66-4084-B908-2A81E8197A2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4B96-46C6-ADC0-6272ADF4C5C1}"/>
                </c:ext>
              </c:extLst>
            </c:dLbl>
            <c:dLbl>
              <c:idx val="15"/>
              <c:tx>
                <c:rich>
                  <a:bodyPr/>
                  <a:lstStyle/>
                  <a:p>
                    <a:fld id="{41F7FFBE-685B-42D5-8A76-FD7A114BF9D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4B96-46C6-ADC0-6272ADF4C5C1}"/>
                </c:ext>
              </c:extLst>
            </c:dLbl>
            <c:dLbl>
              <c:idx val="16"/>
              <c:tx>
                <c:rich>
                  <a:bodyPr/>
                  <a:lstStyle/>
                  <a:p>
                    <a:fld id="{12FB3664-BCCF-49A7-B723-3076FDE0FE2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4B96-46C6-ADC0-6272ADF4C5C1}"/>
                </c:ext>
              </c:extLst>
            </c:dLbl>
            <c:dLbl>
              <c:idx val="17"/>
              <c:tx>
                <c:rich>
                  <a:bodyPr/>
                  <a:lstStyle/>
                  <a:p>
                    <a:fld id="{C617FF39-664D-4239-A90C-66B0E784DED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4B96-46C6-ADC0-6272ADF4C5C1}"/>
                </c:ext>
              </c:extLst>
            </c:dLbl>
            <c:dLbl>
              <c:idx val="18"/>
              <c:tx>
                <c:rich>
                  <a:bodyPr/>
                  <a:lstStyle/>
                  <a:p>
                    <a:fld id="{F2A7B9CA-D429-455B-9967-AC64F1D09B0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4B96-46C6-ADC0-6272ADF4C5C1}"/>
                </c:ext>
              </c:extLst>
            </c:dLbl>
            <c:dLbl>
              <c:idx val="19"/>
              <c:tx>
                <c:rich>
                  <a:bodyPr/>
                  <a:lstStyle/>
                  <a:p>
                    <a:fld id="{64F8F5FB-69EF-451B-8E82-0303DACBD7D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4B96-46C6-ADC0-6272ADF4C5C1}"/>
                </c:ext>
              </c:extLst>
            </c:dLbl>
            <c:dLbl>
              <c:idx val="20"/>
              <c:tx>
                <c:rich>
                  <a:bodyPr/>
                  <a:lstStyle/>
                  <a:p>
                    <a:fld id="{0D842F9D-562F-478B-A35F-A66F37E2A84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4B96-46C6-ADC0-6272ADF4C5C1}"/>
                </c:ext>
              </c:extLst>
            </c:dLbl>
            <c:dLbl>
              <c:idx val="21"/>
              <c:tx>
                <c:rich>
                  <a:bodyPr/>
                  <a:lstStyle/>
                  <a:p>
                    <a:fld id="{A7AA0D64-0990-4AA4-9223-3A02738A3C9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4B96-46C6-ADC0-6272ADF4C5C1}"/>
                </c:ext>
              </c:extLst>
            </c:dLbl>
            <c:dLbl>
              <c:idx val="22"/>
              <c:tx>
                <c:rich>
                  <a:bodyPr/>
                  <a:lstStyle/>
                  <a:p>
                    <a:fld id="{CC1A640B-5CE4-4F1E-9ED5-95D9E02B5C0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4B96-46C6-ADC0-6272ADF4C5C1}"/>
                </c:ext>
              </c:extLst>
            </c:dLbl>
            <c:dLbl>
              <c:idx val="23"/>
              <c:tx>
                <c:rich>
                  <a:bodyPr/>
                  <a:lstStyle/>
                  <a:p>
                    <a:fld id="{733344BE-14BF-4834-B913-08C98A6E812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4B96-46C6-ADC0-6272ADF4C5C1}"/>
                </c:ext>
              </c:extLst>
            </c:dLbl>
            <c:dLbl>
              <c:idx val="24"/>
              <c:tx>
                <c:rich>
                  <a:bodyPr/>
                  <a:lstStyle/>
                  <a:p>
                    <a:fld id="{65B070E8-7711-42DB-9BAC-40AB4200D19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4B96-46C6-ADC0-6272ADF4C5C1}"/>
                </c:ext>
              </c:extLst>
            </c:dLbl>
            <c:dLbl>
              <c:idx val="25"/>
              <c:tx>
                <c:rich>
                  <a:bodyPr/>
                  <a:lstStyle/>
                  <a:p>
                    <a:fld id="{AD88BDD2-B746-47C3-AFB2-E47B25D8DBB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4B96-46C6-ADC0-6272ADF4C5C1}"/>
                </c:ext>
              </c:extLst>
            </c:dLbl>
            <c:dLbl>
              <c:idx val="26"/>
              <c:tx>
                <c:rich>
                  <a:bodyPr/>
                  <a:lstStyle/>
                  <a:p>
                    <a:fld id="{6C8D9F1D-6EAB-4B3E-BEB0-876E21A3EB9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4B96-46C6-ADC0-6272ADF4C5C1}"/>
                </c:ext>
              </c:extLst>
            </c:dLbl>
            <c:dLbl>
              <c:idx val="27"/>
              <c:tx>
                <c:rich>
                  <a:bodyPr/>
                  <a:lstStyle/>
                  <a:p>
                    <a:fld id="{0DF0DAA5-7192-415D-A6AE-2A2BFE71FEC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4B96-46C6-ADC0-6272ADF4C5C1}"/>
                </c:ext>
              </c:extLst>
            </c:dLbl>
            <c:dLbl>
              <c:idx val="28"/>
              <c:tx>
                <c:rich>
                  <a:bodyPr/>
                  <a:lstStyle/>
                  <a:p>
                    <a:fld id="{98523CEF-915A-4BAB-9C74-B9B5286E616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4B96-46C6-ADC0-6272ADF4C5C1}"/>
                </c:ext>
              </c:extLst>
            </c:dLbl>
            <c:dLbl>
              <c:idx val="29"/>
              <c:tx>
                <c:rich>
                  <a:bodyPr/>
                  <a:lstStyle/>
                  <a:p>
                    <a:fld id="{EB5CF635-EC8A-4C03-8900-CA95037EB5E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4B96-46C6-ADC0-6272ADF4C5C1}"/>
                </c:ext>
              </c:extLst>
            </c:dLbl>
            <c:dLbl>
              <c:idx val="30"/>
              <c:tx>
                <c:rich>
                  <a:bodyPr/>
                  <a:lstStyle/>
                  <a:p>
                    <a:fld id="{E8261218-361D-43F5-BEAD-9E217A26B75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4B96-46C6-ADC0-6272ADF4C5C1}"/>
                </c:ext>
              </c:extLst>
            </c:dLbl>
            <c:dLbl>
              <c:idx val="31"/>
              <c:tx>
                <c:rich>
                  <a:bodyPr/>
                  <a:lstStyle/>
                  <a:p>
                    <a:fld id="{FE09759A-ADB2-446F-968C-049EE0C85D9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4B96-46C6-ADC0-6272ADF4C5C1}"/>
                </c:ext>
              </c:extLst>
            </c:dLbl>
            <c:dLbl>
              <c:idx val="32"/>
              <c:tx>
                <c:rich>
                  <a:bodyPr/>
                  <a:lstStyle/>
                  <a:p>
                    <a:fld id="{10A32345-8F13-4125-92D6-A0C524B235D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4B96-46C6-ADC0-6272ADF4C5C1}"/>
                </c:ext>
              </c:extLst>
            </c:dLbl>
            <c:dLbl>
              <c:idx val="33"/>
              <c:tx>
                <c:rich>
                  <a:bodyPr/>
                  <a:lstStyle/>
                  <a:p>
                    <a:fld id="{A1F4F2E5-8BD2-431D-832A-B4A44B189A4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4B96-46C6-ADC0-6272ADF4C5C1}"/>
                </c:ext>
              </c:extLst>
            </c:dLbl>
            <c:dLbl>
              <c:idx val="34"/>
              <c:tx>
                <c:rich>
                  <a:bodyPr/>
                  <a:lstStyle/>
                  <a:p>
                    <a:fld id="{1A174C01-4160-4CED-81E2-7EFE79916A0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4B96-46C6-ADC0-6272ADF4C5C1}"/>
                </c:ext>
              </c:extLst>
            </c:dLbl>
            <c:dLbl>
              <c:idx val="35"/>
              <c:tx>
                <c:rich>
                  <a:bodyPr/>
                  <a:lstStyle/>
                  <a:p>
                    <a:fld id="{E75841A8-6032-4C9F-B014-24097760C99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4B96-46C6-ADC0-6272ADF4C5C1}"/>
                </c:ext>
              </c:extLst>
            </c:dLbl>
            <c:dLbl>
              <c:idx val="36"/>
              <c:tx>
                <c:rich>
                  <a:bodyPr/>
                  <a:lstStyle/>
                  <a:p>
                    <a:fld id="{26DE1E4D-B6C7-4636-874C-DBBDBC9E2DB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4B96-46C6-ADC0-6272ADF4C5C1}"/>
                </c:ext>
              </c:extLst>
            </c:dLbl>
            <c:dLbl>
              <c:idx val="37"/>
              <c:tx>
                <c:rich>
                  <a:bodyPr/>
                  <a:lstStyle/>
                  <a:p>
                    <a:fld id="{1B9DCF1A-1D8A-44E3-9CCB-A520230356D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4B96-46C6-ADC0-6272ADF4C5C1}"/>
                </c:ext>
              </c:extLst>
            </c:dLbl>
            <c:dLbl>
              <c:idx val="38"/>
              <c:tx>
                <c:rich>
                  <a:bodyPr/>
                  <a:lstStyle/>
                  <a:p>
                    <a:fld id="{766D58E9-635D-4DF2-98E0-58BD62F468B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4B96-46C6-ADC0-6272ADF4C5C1}"/>
                </c:ext>
              </c:extLst>
            </c:dLbl>
            <c:dLbl>
              <c:idx val="39"/>
              <c:tx>
                <c:rich>
                  <a:bodyPr/>
                  <a:lstStyle/>
                  <a:p>
                    <a:fld id="{CC343328-6BBA-4E4A-9B1A-9D412821BB1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4B96-46C6-ADC0-6272ADF4C5C1}"/>
                </c:ext>
              </c:extLst>
            </c:dLbl>
            <c:dLbl>
              <c:idx val="40"/>
              <c:tx>
                <c:rich>
                  <a:bodyPr/>
                  <a:lstStyle/>
                  <a:p>
                    <a:fld id="{4352A394-C7C2-4C4E-903D-14E2D62CDB1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4B96-46C6-ADC0-6272ADF4C5C1}"/>
                </c:ext>
              </c:extLst>
            </c:dLbl>
            <c:dLbl>
              <c:idx val="41"/>
              <c:tx>
                <c:rich>
                  <a:bodyPr/>
                  <a:lstStyle/>
                  <a:p>
                    <a:fld id="{F70C2D35-2200-427A-B816-0B0448ADE8D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4B96-46C6-ADC0-6272ADF4C5C1}"/>
                </c:ext>
              </c:extLst>
            </c:dLbl>
            <c:dLbl>
              <c:idx val="42"/>
              <c:tx>
                <c:rich>
                  <a:bodyPr/>
                  <a:lstStyle/>
                  <a:p>
                    <a:fld id="{D98FD46C-A337-4041-AF10-707F76FA5EE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4B96-46C6-ADC0-6272ADF4C5C1}"/>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graf'!$AG$44:$AG$86</c:f>
              <c:numCache>
                <c:formatCode>General</c:formatCode>
                <c:ptCount val="43"/>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pt idx="40">
                  <c:v>40</c:v>
                </c:pt>
                <c:pt idx="41">
                  <c:v>40</c:v>
                </c:pt>
                <c:pt idx="42">
                  <c:v>40</c:v>
                </c:pt>
              </c:numCache>
            </c:numRef>
          </c:val>
          <c:smooth val="0"/>
          <c:extLst>
            <c:ext xmlns:c15="http://schemas.microsoft.com/office/drawing/2012/chart" uri="{02D57815-91ED-43cb-92C2-25804820EDAC}">
              <c15:datalabelsRange>
                <c15:f>'Prerađivačka_FS graf'!$B$44:$B$86</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0-4B96-46C6-ADC0-6272ADF4C5C1}"/>
            </c:ext>
          </c:extLst>
        </c:ser>
        <c:ser>
          <c:idx val="0"/>
          <c:order val="2"/>
          <c:tx>
            <c:strRef>
              <c:f>'Prerađivačka_FS graf'!$AH$7</c:f>
              <c:strCache>
                <c:ptCount val="1"/>
                <c:pt idx="0">
                  <c:v>y</c:v>
                </c:pt>
              </c:strCache>
            </c:strRef>
          </c:tx>
          <c:spPr>
            <a:ln w="12700" cap="rnd">
              <a:solidFill>
                <a:srgbClr val="7F3F98"/>
              </a:solidFill>
              <a:prstDash val="sysDash"/>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graf'!$AH$44:$AH$86</c:f>
              <c:numCache>
                <c:formatCode>0.0</c:formatCode>
                <c:ptCount val="43"/>
                <c:pt idx="0">
                  <c:v>87.840640626777301</c:v>
                </c:pt>
                <c:pt idx="1">
                  <c:v>108.0365757044721</c:v>
                </c:pt>
                <c:pt idx="2">
                  <c:v>104.94742353190431</c:v>
                </c:pt>
                <c:pt idx="3">
                  <c:v>52.237303880384701</c:v>
                </c:pt>
                <c:pt idx="4">
                  <c:v>86.550465883051004</c:v>
                </c:pt>
                <c:pt idx="5">
                  <c:v>98.304568922904707</c:v>
                </c:pt>
                <c:pt idx="6">
                  <c:v>104.8202819960875</c:v>
                </c:pt>
                <c:pt idx="7">
                  <c:v>102.4696433397019</c:v>
                </c:pt>
                <c:pt idx="8">
                  <c:v>118.1843368581561</c:v>
                </c:pt>
                <c:pt idx="9">
                  <c:v>119.1726082466981</c:v>
                </c:pt>
                <c:pt idx="10">
                  <c:v>110.4099516866826</c:v>
                </c:pt>
                <c:pt idx="11">
                  <c:v>101.2824323847304</c:v>
                </c:pt>
                <c:pt idx="12">
                  <c:v>86.763830501705002</c:v>
                </c:pt>
                <c:pt idx="13">
                  <c:v>104.5308398525648</c:v>
                </c:pt>
                <c:pt idx="14">
                  <c:v>111.844028209193</c:v>
                </c:pt>
                <c:pt idx="15">
                  <c:v>106.9748588309386</c:v>
                </c:pt>
                <c:pt idx="16">
                  <c:v>103.3108749834044</c:v>
                </c:pt>
                <c:pt idx="17">
                  <c:v>111.38281979291691</c:v>
                </c:pt>
                <c:pt idx="18">
                  <c:v>106.96465657218189</c:v>
                </c:pt>
                <c:pt idx="19">
                  <c:v>96.079842056313595</c:v>
                </c:pt>
                <c:pt idx="20">
                  <c:v>107.13095816124959</c:v>
                </c:pt>
                <c:pt idx="21">
                  <c:v>108.84116177010741</c:v>
                </c:pt>
                <c:pt idx="22">
                  <c:v>107.5721743712394</c:v>
                </c:pt>
                <c:pt idx="23">
                  <c:v>101.3936041865897</c:v>
                </c:pt>
                <c:pt idx="24">
                  <c:v>88.442570357809899</c:v>
                </c:pt>
                <c:pt idx="25">
                  <c:v>102.588085113136</c:v>
                </c:pt>
                <c:pt idx="26">
                  <c:v>110.52751985812699</c:v>
                </c:pt>
                <c:pt idx="27">
                  <c:v>97.499208601655894</c:v>
                </c:pt>
                <c:pt idx="28">
                  <c:v>104.2185675891874</c:v>
                </c:pt>
                <c:pt idx="29">
                  <c:v>106.40243902439025</c:v>
                </c:pt>
                <c:pt idx="30">
                  <c:v>95.553359683794469</c:v>
                </c:pt>
                <c:pt idx="31">
                  <c:v>92.523735799972002</c:v>
                </c:pt>
                <c:pt idx="32">
                  <c:v>104.5648111859869</c:v>
                </c:pt>
                <c:pt idx="33">
                  <c:v>108.90684305796439</c:v>
                </c:pt>
                <c:pt idx="34">
                  <c:v>97.028603832720094</c:v>
                </c:pt>
                <c:pt idx="35">
                  <c:v>91.758688001744702</c:v>
                </c:pt>
                <c:pt idx="36">
                  <c:v>84.5413793673101</c:v>
                </c:pt>
                <c:pt idx="37">
                  <c:v>97.823253619385</c:v>
                </c:pt>
                <c:pt idx="38">
                  <c:v>110.93352353466101</c:v>
                </c:pt>
                <c:pt idx="39">
                  <c:v>96.901528788576599</c:v>
                </c:pt>
                <c:pt idx="40">
                  <c:v>104.3</c:v>
                </c:pt>
                <c:pt idx="41">
                  <c:v>104.7</c:v>
                </c:pt>
                <c:pt idx="42">
                  <c:v>96.7</c:v>
                </c:pt>
              </c:numCache>
            </c:numRef>
          </c:val>
          <c:smooth val="0"/>
          <c:extLst>
            <c:ext xmlns:c16="http://schemas.microsoft.com/office/drawing/2014/chart" uri="{C3380CC4-5D6E-409C-BE32-E72D297353CC}">
              <c16:uniqueId val="{00000031-4B96-46C6-ADC0-6272ADF4C5C1}"/>
            </c:ext>
          </c:extLst>
        </c:ser>
        <c:ser>
          <c:idx val="1"/>
          <c:order val="3"/>
          <c:tx>
            <c:strRef>
              <c:f>'Prerađivačka_FS graf'!$AI$7</c:f>
              <c:strCache>
                <c:ptCount val="1"/>
                <c:pt idx="0">
                  <c:v>sa</c:v>
                </c:pt>
              </c:strCache>
            </c:strRef>
          </c:tx>
          <c:spPr>
            <a:ln w="22225" cap="rnd">
              <a:solidFill>
                <a:srgbClr val="25AAE1"/>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graf'!$AI$44:$AI$86</c:f>
              <c:numCache>
                <c:formatCode>0.0</c:formatCode>
                <c:ptCount val="43"/>
                <c:pt idx="0">
                  <c:v>105.11744874836964</c:v>
                </c:pt>
                <c:pt idx="1">
                  <c:v>102.29054918521058</c:v>
                </c:pt>
                <c:pt idx="2">
                  <c:v>96.967235851595589</c:v>
                </c:pt>
                <c:pt idx="3">
                  <c:v>52.975963268013096</c:v>
                </c:pt>
                <c:pt idx="4">
                  <c:v>85.964384108186323</c:v>
                </c:pt>
                <c:pt idx="5">
                  <c:v>92.938076290734728</c:v>
                </c:pt>
                <c:pt idx="6">
                  <c:v>100.04414546979559</c:v>
                </c:pt>
                <c:pt idx="7">
                  <c:v>110.09868071796845</c:v>
                </c:pt>
                <c:pt idx="8">
                  <c:v>109.96832906292315</c:v>
                </c:pt>
                <c:pt idx="9">
                  <c:v>109.89308468566878</c:v>
                </c:pt>
                <c:pt idx="10">
                  <c:v>110.27761162201372</c:v>
                </c:pt>
                <c:pt idx="11">
                  <c:v>110.37995144936241</c:v>
                </c:pt>
                <c:pt idx="12">
                  <c:v>105.18402945609185</c:v>
                </c:pt>
                <c:pt idx="13">
                  <c:v>105.79093502788143</c:v>
                </c:pt>
                <c:pt idx="14">
                  <c:v>102.03673280027779</c:v>
                </c:pt>
                <c:pt idx="15">
                  <c:v>106.49283351879956</c:v>
                </c:pt>
                <c:pt idx="16">
                  <c:v>102.04552228488187</c:v>
                </c:pt>
                <c:pt idx="17">
                  <c:v>105.62132093261739</c:v>
                </c:pt>
                <c:pt idx="18">
                  <c:v>105.23887740376449</c:v>
                </c:pt>
                <c:pt idx="19">
                  <c:v>102.20798033880598</c:v>
                </c:pt>
                <c:pt idx="20">
                  <c:v>99.854265627820325</c:v>
                </c:pt>
                <c:pt idx="21">
                  <c:v>101.62156075729274</c:v>
                </c:pt>
                <c:pt idx="22">
                  <c:v>105.40677755465849</c:v>
                </c:pt>
                <c:pt idx="23">
                  <c:v>109.01849922102494</c:v>
                </c:pt>
                <c:pt idx="24">
                  <c:v>104.59136315431746</c:v>
                </c:pt>
                <c:pt idx="25">
                  <c:v>103.59002521139182</c:v>
                </c:pt>
                <c:pt idx="26">
                  <c:v>101.19089117943909</c:v>
                </c:pt>
                <c:pt idx="27">
                  <c:v>100.04897084476515</c:v>
                </c:pt>
                <c:pt idx="28">
                  <c:v>101.05042192134101</c:v>
                </c:pt>
                <c:pt idx="29">
                  <c:v>100.78214462105586</c:v>
                </c:pt>
                <c:pt idx="30">
                  <c:v>96.613713744950573</c:v>
                </c:pt>
                <c:pt idx="31">
                  <c:v>97.277219683639615</c:v>
                </c:pt>
                <c:pt idx="32">
                  <c:v>97.920710713032264</c:v>
                </c:pt>
                <c:pt idx="33">
                  <c:v>101.44830006520355</c:v>
                </c:pt>
                <c:pt idx="34">
                  <c:v>95.134946602297887</c:v>
                </c:pt>
                <c:pt idx="35">
                  <c:v>99.451781592256822</c:v>
                </c:pt>
                <c:pt idx="36">
                  <c:v>98.181446789862591</c:v>
                </c:pt>
                <c:pt idx="37">
                  <c:v>98.645953145117076</c:v>
                </c:pt>
                <c:pt idx="38">
                  <c:v>101.55676439455891</c:v>
                </c:pt>
                <c:pt idx="39">
                  <c:v>101.03391150042231</c:v>
                </c:pt>
                <c:pt idx="40">
                  <c:v>101.64553188387353</c:v>
                </c:pt>
                <c:pt idx="41">
                  <c:v>98.931795487449961</c:v>
                </c:pt>
                <c:pt idx="42">
                  <c:v>98.429583566863087</c:v>
                </c:pt>
              </c:numCache>
            </c:numRef>
          </c:val>
          <c:smooth val="0"/>
          <c:extLst>
            <c:ext xmlns:c16="http://schemas.microsoft.com/office/drawing/2014/chart" uri="{C3380CC4-5D6E-409C-BE32-E72D297353CC}">
              <c16:uniqueId val="{00000032-4B96-46C6-ADC0-6272ADF4C5C1}"/>
            </c:ext>
          </c:extLst>
        </c:ser>
        <c:ser>
          <c:idx val="2"/>
          <c:order val="4"/>
          <c:tx>
            <c:strRef>
              <c:f>'Prerađivačka_FS graf'!$AJ$7</c:f>
              <c:strCache>
                <c:ptCount val="1"/>
                <c:pt idx="0">
                  <c:v>t</c:v>
                </c:pt>
              </c:strCache>
            </c:strRef>
          </c:tx>
          <c:spPr>
            <a:ln w="25400" cap="rnd">
              <a:solidFill>
                <a:srgbClr val="FF0000"/>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graf'!$AJ$44:$AJ$86</c:f>
              <c:numCache>
                <c:formatCode>0.0</c:formatCode>
                <c:ptCount val="43"/>
                <c:pt idx="0">
                  <c:v>100.41277100120054</c:v>
                </c:pt>
                <c:pt idx="1">
                  <c:v>99.146093885397676</c:v>
                </c:pt>
                <c:pt idx="2">
                  <c:v>97.745999455209144</c:v>
                </c:pt>
                <c:pt idx="3">
                  <c:v>96.816951687044323</c:v>
                </c:pt>
                <c:pt idx="4">
                  <c:v>96.922684411557697</c:v>
                </c:pt>
                <c:pt idx="5">
                  <c:v>98.366965824366957</c:v>
                </c:pt>
                <c:pt idx="6">
                  <c:v>101.04937975643483</c:v>
                </c:pt>
                <c:pt idx="7">
                  <c:v>104.3984432022757</c:v>
                </c:pt>
                <c:pt idx="8">
                  <c:v>107.41659168236579</c:v>
                </c:pt>
                <c:pt idx="9">
                  <c:v>109.22536882458144</c:v>
                </c:pt>
                <c:pt idx="10">
                  <c:v>109.64458194525022</c:v>
                </c:pt>
                <c:pt idx="11">
                  <c:v>108.80945185593133</c:v>
                </c:pt>
                <c:pt idx="12">
                  <c:v>107.24022027891225</c:v>
                </c:pt>
                <c:pt idx="13">
                  <c:v>105.71227889129774</c:v>
                </c:pt>
                <c:pt idx="14">
                  <c:v>104.74291483653118</c:v>
                </c:pt>
                <c:pt idx="15">
                  <c:v>104.32412769285513</c:v>
                </c:pt>
                <c:pt idx="16">
                  <c:v>104.06716614034023</c:v>
                </c:pt>
                <c:pt idx="17">
                  <c:v>103.74940077945202</c:v>
                </c:pt>
                <c:pt idx="18">
                  <c:v>103.28004278934903</c:v>
                </c:pt>
                <c:pt idx="19">
                  <c:v>102.80676215634418</c:v>
                </c:pt>
                <c:pt idx="20">
                  <c:v>102.65041280096074</c:v>
                </c:pt>
                <c:pt idx="21">
                  <c:v>102.88570701852983</c:v>
                </c:pt>
                <c:pt idx="22">
                  <c:v>103.35899884255818</c:v>
                </c:pt>
                <c:pt idx="23">
                  <c:v>103.68441131887326</c:v>
                </c:pt>
                <c:pt idx="24">
                  <c:v>103.73070678046116</c:v>
                </c:pt>
                <c:pt idx="25">
                  <c:v>103.25605345227564</c:v>
                </c:pt>
                <c:pt idx="26">
                  <c:v>102.29612666450487</c:v>
                </c:pt>
                <c:pt idx="27">
                  <c:v>101.11603213616624</c:v>
                </c:pt>
                <c:pt idx="28">
                  <c:v>100.0722408003387</c:v>
                </c:pt>
                <c:pt idx="29">
                  <c:v>99.172203589504846</c:v>
                </c:pt>
                <c:pt idx="30">
                  <c:v>98.400452538757875</c:v>
                </c:pt>
                <c:pt idx="31">
                  <c:v>97.825817221852148</c:v>
                </c:pt>
                <c:pt idx="32">
                  <c:v>97.425363299993052</c:v>
                </c:pt>
                <c:pt idx="33">
                  <c:v>97.287626442468934</c:v>
                </c:pt>
                <c:pt idx="34">
                  <c:v>97.495940339229875</c:v>
                </c:pt>
                <c:pt idx="35">
                  <c:v>98.067407765072417</c:v>
                </c:pt>
                <c:pt idx="36">
                  <c:v>98.853592420435319</c:v>
                </c:pt>
                <c:pt idx="37">
                  <c:v>99.64467609665914</c:v>
                </c:pt>
                <c:pt idx="38">
                  <c:v>100.28817344689875</c:v>
                </c:pt>
                <c:pt idx="39">
                  <c:v>100.5626337706378</c:v>
                </c:pt>
                <c:pt idx="40">
                  <c:v>100.42835211617098</c:v>
                </c:pt>
                <c:pt idx="41">
                  <c:v>99.994581920508466</c:v>
                </c:pt>
                <c:pt idx="42">
                  <c:v>99.494800045426672</c:v>
                </c:pt>
              </c:numCache>
            </c:numRef>
          </c:val>
          <c:smooth val="0"/>
          <c:extLst>
            <c:ext xmlns:c16="http://schemas.microsoft.com/office/drawing/2014/chart" uri="{C3380CC4-5D6E-409C-BE32-E72D297353CC}">
              <c16:uniqueId val="{00000033-4B96-46C6-ADC0-6272ADF4C5C1}"/>
            </c:ext>
          </c:extLst>
        </c:ser>
        <c:dLbls>
          <c:showLegendKey val="0"/>
          <c:showVal val="0"/>
          <c:showCatName val="0"/>
          <c:showSerName val="0"/>
          <c:showPercent val="0"/>
          <c:showBubbleSize val="0"/>
        </c:dLbls>
        <c:marker val="1"/>
        <c:smooth val="0"/>
        <c:axId val="2092125712"/>
        <c:axId val="2092128432"/>
      </c:lineChart>
      <c:dateAx>
        <c:axId val="209212571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28432"/>
        <c:crosses val="autoZero"/>
        <c:auto val="1"/>
        <c:lblOffset val="0"/>
        <c:baseTimeUnit val="months"/>
        <c:majorUnit val="12"/>
        <c:majorTimeUnit val="months"/>
      </c:dateAx>
      <c:valAx>
        <c:axId val="2092128432"/>
        <c:scaling>
          <c:orientation val="minMax"/>
          <c:max val="12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25712"/>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graf'!$BF$7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378-4169-8333-F048B585C068}"/>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378-4169-8333-F048B585C068}"/>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378-4169-8333-F048B585C068}"/>
                </c:ext>
              </c:extLst>
            </c:dLbl>
            <c:dLbl>
              <c:idx val="36"/>
              <c:layout>
                <c:manualLayout>
                  <c:x val="-1.3221543798193382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378-4169-8333-F048B585C068}"/>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graf'!$BF$44:$BF$86</c:f>
              <c:numCache>
                <c:formatCode>General</c:formatCode>
                <c:ptCount val="43"/>
                <c:pt idx="0">
                  <c:v>50</c:v>
                </c:pt>
                <c:pt idx="12">
                  <c:v>50</c:v>
                </c:pt>
                <c:pt idx="24">
                  <c:v>50</c:v>
                </c:pt>
                <c:pt idx="36">
                  <c:v>50</c:v>
                </c:pt>
              </c:numCache>
            </c:numRef>
          </c:val>
          <c:smooth val="0"/>
          <c:extLst>
            <c:ext xmlns:c16="http://schemas.microsoft.com/office/drawing/2014/chart" uri="{C3380CC4-5D6E-409C-BE32-E72D297353CC}">
              <c16:uniqueId val="{00000004-A378-4169-8333-F048B585C068}"/>
            </c:ext>
          </c:extLst>
        </c:ser>
        <c:ser>
          <c:idx val="4"/>
          <c:order val="1"/>
          <c:tx>
            <c:strRef>
              <c:f>'Prerađivačka_FS graf'!$BG$7</c:f>
              <c:strCache>
                <c:ptCount val="1"/>
                <c:pt idx="0">
                  <c:v>Series5</c:v>
                </c:pt>
              </c:strCache>
            </c:strRef>
          </c:tx>
          <c:spPr>
            <a:ln w="25400" cap="rnd">
              <a:noFill/>
              <a:round/>
            </a:ln>
            <a:effectLst/>
          </c:spPr>
          <c:marker>
            <c:symbol val="none"/>
          </c:marker>
          <c:dLbls>
            <c:dLbl>
              <c:idx val="0"/>
              <c:tx>
                <c:rich>
                  <a:bodyPr/>
                  <a:lstStyle/>
                  <a:p>
                    <a:fld id="{ACACEF52-CB80-4A68-A512-425F9B465AA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A378-4169-8333-F048B585C068}"/>
                </c:ext>
              </c:extLst>
            </c:dLbl>
            <c:dLbl>
              <c:idx val="1"/>
              <c:tx>
                <c:rich>
                  <a:bodyPr/>
                  <a:lstStyle/>
                  <a:p>
                    <a:fld id="{CBB95449-B5F1-4377-BDC9-40C1EEFE12B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A378-4169-8333-F048B585C068}"/>
                </c:ext>
              </c:extLst>
            </c:dLbl>
            <c:dLbl>
              <c:idx val="2"/>
              <c:tx>
                <c:rich>
                  <a:bodyPr/>
                  <a:lstStyle/>
                  <a:p>
                    <a:fld id="{228E41E5-83C9-4879-B642-053B96B8FC6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A378-4169-8333-F048B585C068}"/>
                </c:ext>
              </c:extLst>
            </c:dLbl>
            <c:dLbl>
              <c:idx val="3"/>
              <c:tx>
                <c:rich>
                  <a:bodyPr/>
                  <a:lstStyle/>
                  <a:p>
                    <a:fld id="{86D44DAE-7FD1-4FE4-8D91-1764BB8439B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A378-4169-8333-F048B585C068}"/>
                </c:ext>
              </c:extLst>
            </c:dLbl>
            <c:dLbl>
              <c:idx val="4"/>
              <c:tx>
                <c:rich>
                  <a:bodyPr/>
                  <a:lstStyle/>
                  <a:p>
                    <a:fld id="{F60F9695-F96D-4DB1-AB69-04962798CF8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A378-4169-8333-F048B585C068}"/>
                </c:ext>
              </c:extLst>
            </c:dLbl>
            <c:dLbl>
              <c:idx val="5"/>
              <c:tx>
                <c:rich>
                  <a:bodyPr/>
                  <a:lstStyle/>
                  <a:p>
                    <a:fld id="{3E6F8CF3-0FC7-436F-BEC0-0E453BC86E0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A378-4169-8333-F048B585C068}"/>
                </c:ext>
              </c:extLst>
            </c:dLbl>
            <c:dLbl>
              <c:idx val="6"/>
              <c:tx>
                <c:rich>
                  <a:bodyPr/>
                  <a:lstStyle/>
                  <a:p>
                    <a:fld id="{AA9DFEC3-7096-4630-A43D-BE7702FE520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A378-4169-8333-F048B585C068}"/>
                </c:ext>
              </c:extLst>
            </c:dLbl>
            <c:dLbl>
              <c:idx val="7"/>
              <c:tx>
                <c:rich>
                  <a:bodyPr/>
                  <a:lstStyle/>
                  <a:p>
                    <a:fld id="{C648D4E7-A80F-4BF6-BD8E-F60FA8BEAD1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A378-4169-8333-F048B585C068}"/>
                </c:ext>
              </c:extLst>
            </c:dLbl>
            <c:dLbl>
              <c:idx val="8"/>
              <c:tx>
                <c:rich>
                  <a:bodyPr/>
                  <a:lstStyle/>
                  <a:p>
                    <a:fld id="{2F03752A-1E90-49F3-A844-FB05F5F38C0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A378-4169-8333-F048B585C068}"/>
                </c:ext>
              </c:extLst>
            </c:dLbl>
            <c:dLbl>
              <c:idx val="9"/>
              <c:tx>
                <c:rich>
                  <a:bodyPr/>
                  <a:lstStyle/>
                  <a:p>
                    <a:fld id="{AB1208CC-1522-481D-97D3-4C1863DC6E4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A378-4169-8333-F048B585C068}"/>
                </c:ext>
              </c:extLst>
            </c:dLbl>
            <c:dLbl>
              <c:idx val="10"/>
              <c:tx>
                <c:rich>
                  <a:bodyPr/>
                  <a:lstStyle/>
                  <a:p>
                    <a:fld id="{49B7B20B-8DD8-4CA1-86C5-41E64660C5A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A378-4169-8333-F048B585C068}"/>
                </c:ext>
              </c:extLst>
            </c:dLbl>
            <c:dLbl>
              <c:idx val="11"/>
              <c:tx>
                <c:rich>
                  <a:bodyPr/>
                  <a:lstStyle/>
                  <a:p>
                    <a:fld id="{58A830CC-8021-48FA-92A7-FF44CB8BB28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A378-4169-8333-F048B585C068}"/>
                </c:ext>
              </c:extLst>
            </c:dLbl>
            <c:dLbl>
              <c:idx val="12"/>
              <c:tx>
                <c:rich>
                  <a:bodyPr/>
                  <a:lstStyle/>
                  <a:p>
                    <a:fld id="{ED2AD578-747C-4B35-90ED-8AFA0EB2B70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A378-4169-8333-F048B585C068}"/>
                </c:ext>
              </c:extLst>
            </c:dLbl>
            <c:dLbl>
              <c:idx val="13"/>
              <c:tx>
                <c:rich>
                  <a:bodyPr/>
                  <a:lstStyle/>
                  <a:p>
                    <a:fld id="{044D78B6-7355-461F-88E9-5B0B6A8EB41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A378-4169-8333-F048B585C068}"/>
                </c:ext>
              </c:extLst>
            </c:dLbl>
            <c:dLbl>
              <c:idx val="14"/>
              <c:tx>
                <c:rich>
                  <a:bodyPr/>
                  <a:lstStyle/>
                  <a:p>
                    <a:fld id="{E5EEBDC9-EA66-4C91-B488-E430D12A4A9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A378-4169-8333-F048B585C068}"/>
                </c:ext>
              </c:extLst>
            </c:dLbl>
            <c:dLbl>
              <c:idx val="15"/>
              <c:tx>
                <c:rich>
                  <a:bodyPr/>
                  <a:lstStyle/>
                  <a:p>
                    <a:fld id="{005CE6E4-1548-48CC-A3E9-4480A9382C0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A378-4169-8333-F048B585C068}"/>
                </c:ext>
              </c:extLst>
            </c:dLbl>
            <c:dLbl>
              <c:idx val="16"/>
              <c:tx>
                <c:rich>
                  <a:bodyPr/>
                  <a:lstStyle/>
                  <a:p>
                    <a:fld id="{AC910D9B-61A7-4781-A475-DD01598DDD4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A378-4169-8333-F048B585C068}"/>
                </c:ext>
              </c:extLst>
            </c:dLbl>
            <c:dLbl>
              <c:idx val="17"/>
              <c:tx>
                <c:rich>
                  <a:bodyPr/>
                  <a:lstStyle/>
                  <a:p>
                    <a:fld id="{439AB0AD-ACB5-4F85-BFBD-85B7A3902F8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A378-4169-8333-F048B585C068}"/>
                </c:ext>
              </c:extLst>
            </c:dLbl>
            <c:dLbl>
              <c:idx val="18"/>
              <c:tx>
                <c:rich>
                  <a:bodyPr/>
                  <a:lstStyle/>
                  <a:p>
                    <a:fld id="{799B7739-EDB7-4E5E-8308-3052BCB01B8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A378-4169-8333-F048B585C068}"/>
                </c:ext>
              </c:extLst>
            </c:dLbl>
            <c:dLbl>
              <c:idx val="19"/>
              <c:tx>
                <c:rich>
                  <a:bodyPr/>
                  <a:lstStyle/>
                  <a:p>
                    <a:fld id="{2CD67BB4-0DDF-43E9-87A3-EC117E4CA0D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A378-4169-8333-F048B585C068}"/>
                </c:ext>
              </c:extLst>
            </c:dLbl>
            <c:dLbl>
              <c:idx val="20"/>
              <c:tx>
                <c:rich>
                  <a:bodyPr/>
                  <a:lstStyle/>
                  <a:p>
                    <a:fld id="{AF770B54-9C02-4B85-84D8-4EE3C5C855D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A378-4169-8333-F048B585C068}"/>
                </c:ext>
              </c:extLst>
            </c:dLbl>
            <c:dLbl>
              <c:idx val="21"/>
              <c:tx>
                <c:rich>
                  <a:bodyPr/>
                  <a:lstStyle/>
                  <a:p>
                    <a:fld id="{26B3FD4E-6B33-47C7-9E64-2FB94796A71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A378-4169-8333-F048B585C068}"/>
                </c:ext>
              </c:extLst>
            </c:dLbl>
            <c:dLbl>
              <c:idx val="22"/>
              <c:tx>
                <c:rich>
                  <a:bodyPr/>
                  <a:lstStyle/>
                  <a:p>
                    <a:fld id="{411CB68B-896E-427C-B548-DA8187B899F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A378-4169-8333-F048B585C068}"/>
                </c:ext>
              </c:extLst>
            </c:dLbl>
            <c:dLbl>
              <c:idx val="23"/>
              <c:tx>
                <c:rich>
                  <a:bodyPr/>
                  <a:lstStyle/>
                  <a:p>
                    <a:fld id="{6E8753BA-982F-4033-85F3-53E5B5F5486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A378-4169-8333-F048B585C068}"/>
                </c:ext>
              </c:extLst>
            </c:dLbl>
            <c:dLbl>
              <c:idx val="24"/>
              <c:tx>
                <c:rich>
                  <a:bodyPr/>
                  <a:lstStyle/>
                  <a:p>
                    <a:fld id="{4EFA871E-6C23-4F66-A955-A1438B5DD06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A378-4169-8333-F048B585C068}"/>
                </c:ext>
              </c:extLst>
            </c:dLbl>
            <c:dLbl>
              <c:idx val="25"/>
              <c:tx>
                <c:rich>
                  <a:bodyPr/>
                  <a:lstStyle/>
                  <a:p>
                    <a:fld id="{94C62413-F6CA-4764-A7BB-9F853FB8CF5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A378-4169-8333-F048B585C068}"/>
                </c:ext>
              </c:extLst>
            </c:dLbl>
            <c:dLbl>
              <c:idx val="26"/>
              <c:tx>
                <c:rich>
                  <a:bodyPr/>
                  <a:lstStyle/>
                  <a:p>
                    <a:fld id="{F721B362-0DA7-450F-8CFB-C1D627DD7FF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A378-4169-8333-F048B585C068}"/>
                </c:ext>
              </c:extLst>
            </c:dLbl>
            <c:dLbl>
              <c:idx val="27"/>
              <c:tx>
                <c:rich>
                  <a:bodyPr/>
                  <a:lstStyle/>
                  <a:p>
                    <a:fld id="{CAEFEE47-FBB1-46F0-A47F-96163CC629F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A378-4169-8333-F048B585C068}"/>
                </c:ext>
              </c:extLst>
            </c:dLbl>
            <c:dLbl>
              <c:idx val="28"/>
              <c:tx>
                <c:rich>
                  <a:bodyPr/>
                  <a:lstStyle/>
                  <a:p>
                    <a:fld id="{30CB6A2F-F227-462B-9B15-5F852EE30B9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A378-4169-8333-F048B585C068}"/>
                </c:ext>
              </c:extLst>
            </c:dLbl>
            <c:dLbl>
              <c:idx val="29"/>
              <c:tx>
                <c:rich>
                  <a:bodyPr/>
                  <a:lstStyle/>
                  <a:p>
                    <a:fld id="{49324A2E-3FBB-40E9-A3D0-B4CEC791978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A378-4169-8333-F048B585C068}"/>
                </c:ext>
              </c:extLst>
            </c:dLbl>
            <c:dLbl>
              <c:idx val="30"/>
              <c:tx>
                <c:rich>
                  <a:bodyPr/>
                  <a:lstStyle/>
                  <a:p>
                    <a:fld id="{059E82CA-3D54-4344-8A67-41DA42DA2D5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A378-4169-8333-F048B585C068}"/>
                </c:ext>
              </c:extLst>
            </c:dLbl>
            <c:dLbl>
              <c:idx val="31"/>
              <c:tx>
                <c:rich>
                  <a:bodyPr/>
                  <a:lstStyle/>
                  <a:p>
                    <a:fld id="{E2B3731E-E84B-4577-BE31-35BD97F876B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A378-4169-8333-F048B585C068}"/>
                </c:ext>
              </c:extLst>
            </c:dLbl>
            <c:dLbl>
              <c:idx val="32"/>
              <c:tx>
                <c:rich>
                  <a:bodyPr/>
                  <a:lstStyle/>
                  <a:p>
                    <a:fld id="{3F2677BC-1F24-4107-AB3B-268905E1B13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A378-4169-8333-F048B585C068}"/>
                </c:ext>
              </c:extLst>
            </c:dLbl>
            <c:dLbl>
              <c:idx val="33"/>
              <c:tx>
                <c:rich>
                  <a:bodyPr/>
                  <a:lstStyle/>
                  <a:p>
                    <a:fld id="{729B6F6C-6CFC-46FF-B113-7A9C2A2EE93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A378-4169-8333-F048B585C068}"/>
                </c:ext>
              </c:extLst>
            </c:dLbl>
            <c:dLbl>
              <c:idx val="34"/>
              <c:tx>
                <c:rich>
                  <a:bodyPr/>
                  <a:lstStyle/>
                  <a:p>
                    <a:fld id="{8AD96A34-7A32-449B-B32B-1DCB2EE3BCD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A378-4169-8333-F048B585C068}"/>
                </c:ext>
              </c:extLst>
            </c:dLbl>
            <c:dLbl>
              <c:idx val="35"/>
              <c:tx>
                <c:rich>
                  <a:bodyPr/>
                  <a:lstStyle/>
                  <a:p>
                    <a:fld id="{055D64F8-5F9F-4F9E-84F2-6B2B6A9D5BA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A378-4169-8333-F048B585C068}"/>
                </c:ext>
              </c:extLst>
            </c:dLbl>
            <c:dLbl>
              <c:idx val="36"/>
              <c:tx>
                <c:rich>
                  <a:bodyPr/>
                  <a:lstStyle/>
                  <a:p>
                    <a:fld id="{C64084A0-612E-42A2-AE87-E10A3781AD1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A378-4169-8333-F048B585C068}"/>
                </c:ext>
              </c:extLst>
            </c:dLbl>
            <c:dLbl>
              <c:idx val="37"/>
              <c:tx>
                <c:rich>
                  <a:bodyPr/>
                  <a:lstStyle/>
                  <a:p>
                    <a:fld id="{AB53477B-8A7B-4C9D-9F94-6AA59AEFB2F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A378-4169-8333-F048B585C068}"/>
                </c:ext>
              </c:extLst>
            </c:dLbl>
            <c:dLbl>
              <c:idx val="38"/>
              <c:tx>
                <c:rich>
                  <a:bodyPr/>
                  <a:lstStyle/>
                  <a:p>
                    <a:fld id="{B35ABA72-98EF-4540-BDC5-115901F20FB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A378-4169-8333-F048B585C068}"/>
                </c:ext>
              </c:extLst>
            </c:dLbl>
            <c:dLbl>
              <c:idx val="39"/>
              <c:tx>
                <c:rich>
                  <a:bodyPr/>
                  <a:lstStyle/>
                  <a:p>
                    <a:fld id="{E1F5D17E-67DB-44D9-98CB-A3759303CFB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A378-4169-8333-F048B585C068}"/>
                </c:ext>
              </c:extLst>
            </c:dLbl>
            <c:dLbl>
              <c:idx val="40"/>
              <c:tx>
                <c:rich>
                  <a:bodyPr/>
                  <a:lstStyle/>
                  <a:p>
                    <a:fld id="{B6D250A9-2EBD-47DD-A40C-CEC077C828B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A378-4169-8333-F048B585C068}"/>
                </c:ext>
              </c:extLst>
            </c:dLbl>
            <c:dLbl>
              <c:idx val="41"/>
              <c:tx>
                <c:rich>
                  <a:bodyPr/>
                  <a:lstStyle/>
                  <a:p>
                    <a:fld id="{F1008902-24B9-4903-A6C2-680CE8F9678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A378-4169-8333-F048B585C068}"/>
                </c:ext>
              </c:extLst>
            </c:dLbl>
            <c:dLbl>
              <c:idx val="42"/>
              <c:tx>
                <c:rich>
                  <a:bodyPr/>
                  <a:lstStyle/>
                  <a:p>
                    <a:fld id="{BB8BD994-5C15-4516-82A8-C6BCCB03C53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A378-4169-8333-F048B585C068}"/>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graf'!$BG$44:$BG$86</c:f>
              <c:numCache>
                <c:formatCode>General</c:formatCode>
                <c:ptCount val="43"/>
                <c:pt idx="0">
                  <c:v>50</c:v>
                </c:pt>
                <c:pt idx="1">
                  <c:v>50</c:v>
                </c:pt>
                <c:pt idx="2">
                  <c:v>50</c:v>
                </c:pt>
                <c:pt idx="3">
                  <c:v>50</c:v>
                </c:pt>
                <c:pt idx="4">
                  <c:v>50</c:v>
                </c:pt>
                <c:pt idx="5">
                  <c:v>50</c:v>
                </c:pt>
                <c:pt idx="6">
                  <c:v>50</c:v>
                </c:pt>
                <c:pt idx="7">
                  <c:v>50</c:v>
                </c:pt>
                <c:pt idx="8">
                  <c:v>50</c:v>
                </c:pt>
                <c:pt idx="9">
                  <c:v>50</c:v>
                </c:pt>
                <c:pt idx="10">
                  <c:v>50</c:v>
                </c:pt>
                <c:pt idx="11">
                  <c:v>50</c:v>
                </c:pt>
                <c:pt idx="12">
                  <c:v>50</c:v>
                </c:pt>
                <c:pt idx="13">
                  <c:v>50</c:v>
                </c:pt>
                <c:pt idx="14">
                  <c:v>50</c:v>
                </c:pt>
                <c:pt idx="15">
                  <c:v>50</c:v>
                </c:pt>
                <c:pt idx="16">
                  <c:v>50</c:v>
                </c:pt>
                <c:pt idx="17">
                  <c:v>50</c:v>
                </c:pt>
                <c:pt idx="18">
                  <c:v>50</c:v>
                </c:pt>
                <c:pt idx="19">
                  <c:v>50</c:v>
                </c:pt>
                <c:pt idx="20">
                  <c:v>50</c:v>
                </c:pt>
                <c:pt idx="21">
                  <c:v>50</c:v>
                </c:pt>
                <c:pt idx="22">
                  <c:v>50</c:v>
                </c:pt>
                <c:pt idx="23">
                  <c:v>50</c:v>
                </c:pt>
                <c:pt idx="24">
                  <c:v>50</c:v>
                </c:pt>
                <c:pt idx="25">
                  <c:v>50</c:v>
                </c:pt>
                <c:pt idx="26">
                  <c:v>50</c:v>
                </c:pt>
                <c:pt idx="27">
                  <c:v>50</c:v>
                </c:pt>
                <c:pt idx="28">
                  <c:v>50</c:v>
                </c:pt>
                <c:pt idx="29">
                  <c:v>50</c:v>
                </c:pt>
                <c:pt idx="30">
                  <c:v>50</c:v>
                </c:pt>
                <c:pt idx="31">
                  <c:v>50</c:v>
                </c:pt>
                <c:pt idx="32">
                  <c:v>50</c:v>
                </c:pt>
                <c:pt idx="33">
                  <c:v>50</c:v>
                </c:pt>
                <c:pt idx="34">
                  <c:v>50</c:v>
                </c:pt>
                <c:pt idx="35">
                  <c:v>50</c:v>
                </c:pt>
                <c:pt idx="36">
                  <c:v>50</c:v>
                </c:pt>
                <c:pt idx="37">
                  <c:v>50</c:v>
                </c:pt>
                <c:pt idx="38">
                  <c:v>50</c:v>
                </c:pt>
                <c:pt idx="39">
                  <c:v>50</c:v>
                </c:pt>
                <c:pt idx="40">
                  <c:v>50</c:v>
                </c:pt>
                <c:pt idx="41">
                  <c:v>50</c:v>
                </c:pt>
                <c:pt idx="42">
                  <c:v>50</c:v>
                </c:pt>
              </c:numCache>
            </c:numRef>
          </c:val>
          <c:smooth val="0"/>
          <c:extLst>
            <c:ext xmlns:c15="http://schemas.microsoft.com/office/drawing/2012/chart" uri="{02D57815-91ED-43cb-92C2-25804820EDAC}">
              <c15:datalabelsRange>
                <c15:f>'Prerađivačka_FS graf'!$B$44:$B$86</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0-A378-4169-8333-F048B585C068}"/>
            </c:ext>
          </c:extLst>
        </c:ser>
        <c:ser>
          <c:idx val="0"/>
          <c:order val="2"/>
          <c:tx>
            <c:strRef>
              <c:f>'Prerađivačka_FS graf'!$BH$7</c:f>
              <c:strCache>
                <c:ptCount val="1"/>
                <c:pt idx="0">
                  <c:v>y</c:v>
                </c:pt>
              </c:strCache>
            </c:strRef>
          </c:tx>
          <c:spPr>
            <a:ln w="12700" cap="rnd">
              <a:solidFill>
                <a:srgbClr val="92278F"/>
              </a:solidFill>
              <a:prstDash val="sysDash"/>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graf'!$BH$44:$BH$86</c:f>
              <c:numCache>
                <c:formatCode>0.0</c:formatCode>
                <c:ptCount val="43"/>
                <c:pt idx="0">
                  <c:v>73.268183442999998</c:v>
                </c:pt>
                <c:pt idx="1">
                  <c:v>87.734423523000004</c:v>
                </c:pt>
                <c:pt idx="2">
                  <c:v>79.095044619000006</c:v>
                </c:pt>
                <c:pt idx="3">
                  <c:v>55.845235772999999</c:v>
                </c:pt>
                <c:pt idx="4">
                  <c:v>66.995073610999995</c:v>
                </c:pt>
                <c:pt idx="5">
                  <c:v>84.957223808999998</c:v>
                </c:pt>
                <c:pt idx="6">
                  <c:v>74.714321663000007</c:v>
                </c:pt>
                <c:pt idx="7">
                  <c:v>81.676572487000001</c:v>
                </c:pt>
                <c:pt idx="8">
                  <c:v>88.009185188000004</c:v>
                </c:pt>
                <c:pt idx="9">
                  <c:v>89.301213520000005</c:v>
                </c:pt>
                <c:pt idx="10">
                  <c:v>83.860500720999994</c:v>
                </c:pt>
                <c:pt idx="11">
                  <c:v>90.556170381000001</c:v>
                </c:pt>
                <c:pt idx="12">
                  <c:v>73.988198503000007</c:v>
                </c:pt>
                <c:pt idx="13">
                  <c:v>82.957396863</c:v>
                </c:pt>
                <c:pt idx="14">
                  <c:v>97.357055411000005</c:v>
                </c:pt>
                <c:pt idx="15">
                  <c:v>81.011555107999996</c:v>
                </c:pt>
                <c:pt idx="16">
                  <c:v>85.842369086999994</c:v>
                </c:pt>
                <c:pt idx="17">
                  <c:v>96.468326735000005</c:v>
                </c:pt>
                <c:pt idx="18">
                  <c:v>82.827094642000006</c:v>
                </c:pt>
                <c:pt idx="19">
                  <c:v>92.968171987000005</c:v>
                </c:pt>
                <c:pt idx="20">
                  <c:v>99.139452401</c:v>
                </c:pt>
                <c:pt idx="21">
                  <c:v>88.935675384999996</c:v>
                </c:pt>
                <c:pt idx="22">
                  <c:v>92.831970132999999</c:v>
                </c:pt>
                <c:pt idx="23">
                  <c:v>103.337067246</c:v>
                </c:pt>
                <c:pt idx="24">
                  <c:v>78.848105578000002</c:v>
                </c:pt>
                <c:pt idx="25">
                  <c:v>82.850600338000007</c:v>
                </c:pt>
                <c:pt idx="26">
                  <c:v>110.174459528</c:v>
                </c:pt>
                <c:pt idx="27">
                  <c:v>94.117087373000004</c:v>
                </c:pt>
                <c:pt idx="28">
                  <c:v>101.694989687</c:v>
                </c:pt>
                <c:pt idx="29">
                  <c:v>100.094517958</c:v>
                </c:pt>
                <c:pt idx="30">
                  <c:v>91.257367387000002</c:v>
                </c:pt>
                <c:pt idx="31">
                  <c:v>97.638390818000005</c:v>
                </c:pt>
                <c:pt idx="32">
                  <c:v>101.83949290699999</c:v>
                </c:pt>
                <c:pt idx="33">
                  <c:v>102.95523626799999</c:v>
                </c:pt>
                <c:pt idx="34">
                  <c:v>116.08491963</c:v>
                </c:pt>
                <c:pt idx="35">
                  <c:v>122.38757683</c:v>
                </c:pt>
                <c:pt idx="36">
                  <c:v>105.397528104</c:v>
                </c:pt>
                <c:pt idx="37">
                  <c:v>112.15966522799999</c:v>
                </c:pt>
                <c:pt idx="38">
                  <c:v>129.35542181299999</c:v>
                </c:pt>
                <c:pt idx="39">
                  <c:v>113.209532164</c:v>
                </c:pt>
                <c:pt idx="40">
                  <c:v>110.6</c:v>
                </c:pt>
                <c:pt idx="41">
                  <c:v>105.1</c:v>
                </c:pt>
                <c:pt idx="42">
                  <c:v>92.9</c:v>
                </c:pt>
              </c:numCache>
            </c:numRef>
          </c:val>
          <c:smooth val="0"/>
          <c:extLst>
            <c:ext xmlns:c16="http://schemas.microsoft.com/office/drawing/2014/chart" uri="{C3380CC4-5D6E-409C-BE32-E72D297353CC}">
              <c16:uniqueId val="{00000031-A378-4169-8333-F048B585C068}"/>
            </c:ext>
          </c:extLst>
        </c:ser>
        <c:ser>
          <c:idx val="1"/>
          <c:order val="3"/>
          <c:tx>
            <c:strRef>
              <c:f>'Prerađivačka_FS graf'!$BI$7</c:f>
              <c:strCache>
                <c:ptCount val="1"/>
                <c:pt idx="0">
                  <c:v>sa</c:v>
                </c:pt>
              </c:strCache>
            </c:strRef>
          </c:tx>
          <c:spPr>
            <a:ln w="22225" cap="rnd">
              <a:solidFill>
                <a:srgbClr val="25AAE1"/>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graf'!$BI$44:$BI$86</c:f>
              <c:numCache>
                <c:formatCode>0.0</c:formatCode>
                <c:ptCount val="43"/>
                <c:pt idx="0">
                  <c:v>87.167782832</c:v>
                </c:pt>
                <c:pt idx="1">
                  <c:v>81.295332015</c:v>
                </c:pt>
                <c:pt idx="2">
                  <c:v>72.501353322</c:v>
                </c:pt>
                <c:pt idx="3">
                  <c:v>61.476449997000003</c:v>
                </c:pt>
                <c:pt idx="4">
                  <c:v>67.918246897000003</c:v>
                </c:pt>
                <c:pt idx="5">
                  <c:v>79.515511751999995</c:v>
                </c:pt>
                <c:pt idx="6">
                  <c:v>82.722646241999996</c:v>
                </c:pt>
                <c:pt idx="7">
                  <c:v>85.290834353999998</c:v>
                </c:pt>
                <c:pt idx="8">
                  <c:v>79.611599885999993</c:v>
                </c:pt>
                <c:pt idx="9">
                  <c:v>88.655810447999997</c:v>
                </c:pt>
                <c:pt idx="10">
                  <c:v>85.765018091000002</c:v>
                </c:pt>
                <c:pt idx="11">
                  <c:v>83.627867124000005</c:v>
                </c:pt>
                <c:pt idx="12">
                  <c:v>82.307785715999998</c:v>
                </c:pt>
                <c:pt idx="13">
                  <c:v>88.878242076999996</c:v>
                </c:pt>
                <c:pt idx="14">
                  <c:v>87.046777040999999</c:v>
                </c:pt>
                <c:pt idx="15">
                  <c:v>85.342613482000004</c:v>
                </c:pt>
                <c:pt idx="16">
                  <c:v>89.467582226000005</c:v>
                </c:pt>
                <c:pt idx="17">
                  <c:v>88.424254801999993</c:v>
                </c:pt>
                <c:pt idx="18">
                  <c:v>91.893511889999999</c:v>
                </c:pt>
                <c:pt idx="19">
                  <c:v>92.370385709000004</c:v>
                </c:pt>
                <c:pt idx="20">
                  <c:v>101.656367316</c:v>
                </c:pt>
                <c:pt idx="21">
                  <c:v>85.317623631000004</c:v>
                </c:pt>
                <c:pt idx="22">
                  <c:v>84.501676071000006</c:v>
                </c:pt>
                <c:pt idx="23">
                  <c:v>95.414066384999998</c:v>
                </c:pt>
                <c:pt idx="24">
                  <c:v>94.022636171000002</c:v>
                </c:pt>
                <c:pt idx="25">
                  <c:v>91.068241424999997</c:v>
                </c:pt>
                <c:pt idx="26">
                  <c:v>97.782775161999993</c:v>
                </c:pt>
                <c:pt idx="27">
                  <c:v>94.278213739999998</c:v>
                </c:pt>
                <c:pt idx="28">
                  <c:v>99.134590618000004</c:v>
                </c:pt>
                <c:pt idx="29">
                  <c:v>102.999623787</c:v>
                </c:pt>
                <c:pt idx="30">
                  <c:v>98.887859090999996</c:v>
                </c:pt>
                <c:pt idx="31">
                  <c:v>97.085332266999998</c:v>
                </c:pt>
                <c:pt idx="32">
                  <c:v>100.33564856700001</c:v>
                </c:pt>
                <c:pt idx="33">
                  <c:v>106.868836422</c:v>
                </c:pt>
                <c:pt idx="34">
                  <c:v>111.780250001</c:v>
                </c:pt>
                <c:pt idx="35">
                  <c:v>110.286054091</c:v>
                </c:pt>
                <c:pt idx="36">
                  <c:v>115.00479470400001</c:v>
                </c:pt>
                <c:pt idx="37">
                  <c:v>111.559692181</c:v>
                </c:pt>
                <c:pt idx="38">
                  <c:v>115.436776858</c:v>
                </c:pt>
                <c:pt idx="39">
                  <c:v>119.733664676</c:v>
                </c:pt>
                <c:pt idx="40">
                  <c:v>111.045026445</c:v>
                </c:pt>
                <c:pt idx="41">
                  <c:v>103.371579872</c:v>
                </c:pt>
                <c:pt idx="42">
                  <c:v>109.19352408500001</c:v>
                </c:pt>
              </c:numCache>
            </c:numRef>
          </c:val>
          <c:smooth val="0"/>
          <c:extLst>
            <c:ext xmlns:c16="http://schemas.microsoft.com/office/drawing/2014/chart" uri="{C3380CC4-5D6E-409C-BE32-E72D297353CC}">
              <c16:uniqueId val="{00000032-A378-4169-8333-F048B585C068}"/>
            </c:ext>
          </c:extLst>
        </c:ser>
        <c:ser>
          <c:idx val="2"/>
          <c:order val="4"/>
          <c:tx>
            <c:strRef>
              <c:f>'Prerađivačka_FS graf'!$BJ$7</c:f>
              <c:strCache>
                <c:ptCount val="1"/>
                <c:pt idx="0">
                  <c:v>t</c:v>
                </c:pt>
              </c:strCache>
            </c:strRef>
          </c:tx>
          <c:spPr>
            <a:ln w="25400" cap="rnd">
              <a:solidFill>
                <a:srgbClr val="FF0000"/>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graf'!$BJ$44:$BJ$86</c:f>
              <c:numCache>
                <c:formatCode>0.0</c:formatCode>
                <c:ptCount val="43"/>
                <c:pt idx="0">
                  <c:v>80.809265207999999</c:v>
                </c:pt>
                <c:pt idx="1">
                  <c:v>80.707262666999995</c:v>
                </c:pt>
                <c:pt idx="2">
                  <c:v>80.64951963</c:v>
                </c:pt>
                <c:pt idx="3">
                  <c:v>80.688789705999994</c:v>
                </c:pt>
                <c:pt idx="4">
                  <c:v>80.870668037000002</c:v>
                </c:pt>
                <c:pt idx="5">
                  <c:v>81.212066324999995</c:v>
                </c:pt>
                <c:pt idx="6">
                  <c:v>81.699454677000006</c:v>
                </c:pt>
                <c:pt idx="7">
                  <c:v>82.291162553999996</c:v>
                </c:pt>
                <c:pt idx="8">
                  <c:v>82.953545492000003</c:v>
                </c:pt>
                <c:pt idx="9">
                  <c:v>83.676601622999996</c:v>
                </c:pt>
                <c:pt idx="10">
                  <c:v>84.437744398000007</c:v>
                </c:pt>
                <c:pt idx="11">
                  <c:v>85.188302878000002</c:v>
                </c:pt>
                <c:pt idx="12">
                  <c:v>85.899138124999993</c:v>
                </c:pt>
                <c:pt idx="13">
                  <c:v>86.557254078</c:v>
                </c:pt>
                <c:pt idx="14">
                  <c:v>87.152304982999993</c:v>
                </c:pt>
                <c:pt idx="15">
                  <c:v>87.716621418000003</c:v>
                </c:pt>
                <c:pt idx="16">
                  <c:v>88.260737501999998</c:v>
                </c:pt>
                <c:pt idx="17">
                  <c:v>88.766974223000005</c:v>
                </c:pt>
                <c:pt idx="18">
                  <c:v>89.254256706999996</c:v>
                </c:pt>
                <c:pt idx="19">
                  <c:v>89.758634955000005</c:v>
                </c:pt>
                <c:pt idx="20">
                  <c:v>90.30533629</c:v>
                </c:pt>
                <c:pt idx="21">
                  <c:v>90.902546670000007</c:v>
                </c:pt>
                <c:pt idx="22">
                  <c:v>91.544757840000003</c:v>
                </c:pt>
                <c:pt idx="23">
                  <c:v>92.228566287000007</c:v>
                </c:pt>
                <c:pt idx="24">
                  <c:v>92.986326485999996</c:v>
                </c:pt>
                <c:pt idx="25">
                  <c:v>93.862873497999999</c:v>
                </c:pt>
                <c:pt idx="26">
                  <c:v>94.881896617999999</c:v>
                </c:pt>
                <c:pt idx="27">
                  <c:v>96.047929628000006</c:v>
                </c:pt>
                <c:pt idx="28">
                  <c:v>97.404085789000007</c:v>
                </c:pt>
                <c:pt idx="29">
                  <c:v>98.975117768999993</c:v>
                </c:pt>
                <c:pt idx="30">
                  <c:v>100.74181828899999</c:v>
                </c:pt>
                <c:pt idx="31">
                  <c:v>102.65580603399999</c:v>
                </c:pt>
                <c:pt idx="32">
                  <c:v>104.620289973</c:v>
                </c:pt>
                <c:pt idx="33">
                  <c:v>106.542505859</c:v>
                </c:pt>
                <c:pt idx="34">
                  <c:v>108.335156685</c:v>
                </c:pt>
                <c:pt idx="35">
                  <c:v>109.90936721200001</c:v>
                </c:pt>
                <c:pt idx="36">
                  <c:v>111.170518332</c:v>
                </c:pt>
                <c:pt idx="37">
                  <c:v>112.067101325</c:v>
                </c:pt>
                <c:pt idx="38">
                  <c:v>112.618680884</c:v>
                </c:pt>
                <c:pt idx="39">
                  <c:v>112.870127873</c:v>
                </c:pt>
                <c:pt idx="40">
                  <c:v>112.887185956</c:v>
                </c:pt>
                <c:pt idx="41">
                  <c:v>112.777791925</c:v>
                </c:pt>
                <c:pt idx="42">
                  <c:v>112.634798074</c:v>
                </c:pt>
              </c:numCache>
            </c:numRef>
          </c:val>
          <c:smooth val="0"/>
          <c:extLst>
            <c:ext xmlns:c16="http://schemas.microsoft.com/office/drawing/2014/chart" uri="{C3380CC4-5D6E-409C-BE32-E72D297353CC}">
              <c16:uniqueId val="{00000033-A378-4169-8333-F048B585C068}"/>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30"/>
          <c:min val="5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graf'!$AA$7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784661075257579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669-49CB-9FEA-3D3A4EC6D4F1}"/>
                </c:ext>
              </c:extLst>
            </c:dLbl>
            <c:dLbl>
              <c:idx val="12"/>
              <c:layout>
                <c:manualLayout>
                  <c:x val="7.086422978775289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669-49CB-9FEA-3D3A4EC6D4F1}"/>
                </c:ext>
              </c:extLst>
            </c:dLbl>
            <c:dLbl>
              <c:idx val="24"/>
              <c:layout>
                <c:manualLayout>
                  <c:x val="7.201038155705936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669-49CB-9FEA-3D3A4EC6D4F1}"/>
                </c:ext>
              </c:extLst>
            </c:dLbl>
            <c:dLbl>
              <c:idx val="36"/>
              <c:layout>
                <c:manualLayout>
                  <c:x val="3.125963472944211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669-49CB-9FEA-3D3A4EC6D4F1}"/>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graf'!$AA$44:$AA$86</c:f>
              <c:numCache>
                <c:formatCode>General</c:formatCode>
                <c:ptCount val="43"/>
                <c:pt idx="0">
                  <c:v>60</c:v>
                </c:pt>
                <c:pt idx="12">
                  <c:v>60</c:v>
                </c:pt>
                <c:pt idx="24">
                  <c:v>60</c:v>
                </c:pt>
                <c:pt idx="36">
                  <c:v>60</c:v>
                </c:pt>
              </c:numCache>
            </c:numRef>
          </c:val>
          <c:smooth val="0"/>
          <c:extLst>
            <c:ext xmlns:c16="http://schemas.microsoft.com/office/drawing/2014/chart" uri="{C3380CC4-5D6E-409C-BE32-E72D297353CC}">
              <c16:uniqueId val="{00000004-4669-49CB-9FEA-3D3A4EC6D4F1}"/>
            </c:ext>
          </c:extLst>
        </c:ser>
        <c:ser>
          <c:idx val="4"/>
          <c:order val="1"/>
          <c:tx>
            <c:strRef>
              <c:f>'Prerađivačka_FS graf'!$AB$7</c:f>
              <c:strCache>
                <c:ptCount val="1"/>
                <c:pt idx="0">
                  <c:v>Series5</c:v>
                </c:pt>
              </c:strCache>
            </c:strRef>
          </c:tx>
          <c:spPr>
            <a:ln w="25400" cap="rnd">
              <a:noFill/>
              <a:round/>
            </a:ln>
            <a:effectLst/>
          </c:spPr>
          <c:marker>
            <c:symbol val="none"/>
          </c:marker>
          <c:dLbls>
            <c:dLbl>
              <c:idx val="0"/>
              <c:tx>
                <c:rich>
                  <a:bodyPr/>
                  <a:lstStyle/>
                  <a:p>
                    <a:fld id="{EF006E7A-BF5F-40BC-AC0C-CAA8DD3F3E3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4669-49CB-9FEA-3D3A4EC6D4F1}"/>
                </c:ext>
              </c:extLst>
            </c:dLbl>
            <c:dLbl>
              <c:idx val="1"/>
              <c:tx>
                <c:rich>
                  <a:bodyPr/>
                  <a:lstStyle/>
                  <a:p>
                    <a:fld id="{8B808A5E-C1A7-4360-BFE4-F01ADC485F2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4669-49CB-9FEA-3D3A4EC6D4F1}"/>
                </c:ext>
              </c:extLst>
            </c:dLbl>
            <c:dLbl>
              <c:idx val="2"/>
              <c:tx>
                <c:rich>
                  <a:bodyPr/>
                  <a:lstStyle/>
                  <a:p>
                    <a:fld id="{41F75AFA-D6CC-4C02-B692-697392919B6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4669-49CB-9FEA-3D3A4EC6D4F1}"/>
                </c:ext>
              </c:extLst>
            </c:dLbl>
            <c:dLbl>
              <c:idx val="3"/>
              <c:tx>
                <c:rich>
                  <a:bodyPr/>
                  <a:lstStyle/>
                  <a:p>
                    <a:fld id="{F8ED85BA-927E-415D-9291-8E9C19F3496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4669-49CB-9FEA-3D3A4EC6D4F1}"/>
                </c:ext>
              </c:extLst>
            </c:dLbl>
            <c:dLbl>
              <c:idx val="4"/>
              <c:tx>
                <c:rich>
                  <a:bodyPr/>
                  <a:lstStyle/>
                  <a:p>
                    <a:fld id="{29A55706-7275-4A29-9DA4-9B4DCE333CA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4669-49CB-9FEA-3D3A4EC6D4F1}"/>
                </c:ext>
              </c:extLst>
            </c:dLbl>
            <c:dLbl>
              <c:idx val="5"/>
              <c:tx>
                <c:rich>
                  <a:bodyPr/>
                  <a:lstStyle/>
                  <a:p>
                    <a:fld id="{30537F83-3DE1-4E2D-AF3A-FC22BEEC1B4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4669-49CB-9FEA-3D3A4EC6D4F1}"/>
                </c:ext>
              </c:extLst>
            </c:dLbl>
            <c:dLbl>
              <c:idx val="6"/>
              <c:tx>
                <c:rich>
                  <a:bodyPr/>
                  <a:lstStyle/>
                  <a:p>
                    <a:fld id="{2C1A7D5C-905B-42A4-9BF9-BF75858E104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4669-49CB-9FEA-3D3A4EC6D4F1}"/>
                </c:ext>
              </c:extLst>
            </c:dLbl>
            <c:dLbl>
              <c:idx val="7"/>
              <c:tx>
                <c:rich>
                  <a:bodyPr/>
                  <a:lstStyle/>
                  <a:p>
                    <a:fld id="{0F2FFF17-52B5-48C1-965E-04A948B4825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4669-49CB-9FEA-3D3A4EC6D4F1}"/>
                </c:ext>
              </c:extLst>
            </c:dLbl>
            <c:dLbl>
              <c:idx val="8"/>
              <c:tx>
                <c:rich>
                  <a:bodyPr/>
                  <a:lstStyle/>
                  <a:p>
                    <a:fld id="{973D65B1-4163-404D-B0FA-736530232A9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4669-49CB-9FEA-3D3A4EC6D4F1}"/>
                </c:ext>
              </c:extLst>
            </c:dLbl>
            <c:dLbl>
              <c:idx val="9"/>
              <c:tx>
                <c:rich>
                  <a:bodyPr/>
                  <a:lstStyle/>
                  <a:p>
                    <a:fld id="{B6823D8D-E355-4529-B958-92D35269CA0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4669-49CB-9FEA-3D3A4EC6D4F1}"/>
                </c:ext>
              </c:extLst>
            </c:dLbl>
            <c:dLbl>
              <c:idx val="10"/>
              <c:tx>
                <c:rich>
                  <a:bodyPr/>
                  <a:lstStyle/>
                  <a:p>
                    <a:fld id="{AB312E2F-1570-45D9-8497-78666665699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4669-49CB-9FEA-3D3A4EC6D4F1}"/>
                </c:ext>
              </c:extLst>
            </c:dLbl>
            <c:dLbl>
              <c:idx val="11"/>
              <c:tx>
                <c:rich>
                  <a:bodyPr/>
                  <a:lstStyle/>
                  <a:p>
                    <a:fld id="{0DF44749-880B-48D3-904A-593E90D70CB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4669-49CB-9FEA-3D3A4EC6D4F1}"/>
                </c:ext>
              </c:extLst>
            </c:dLbl>
            <c:dLbl>
              <c:idx val="12"/>
              <c:tx>
                <c:rich>
                  <a:bodyPr/>
                  <a:lstStyle/>
                  <a:p>
                    <a:fld id="{0ACA5493-3C0E-48C4-9692-ED14CE32387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4669-49CB-9FEA-3D3A4EC6D4F1}"/>
                </c:ext>
              </c:extLst>
            </c:dLbl>
            <c:dLbl>
              <c:idx val="13"/>
              <c:tx>
                <c:rich>
                  <a:bodyPr/>
                  <a:lstStyle/>
                  <a:p>
                    <a:fld id="{29A865FE-3A35-4079-870A-58CD6F068C2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4669-49CB-9FEA-3D3A4EC6D4F1}"/>
                </c:ext>
              </c:extLst>
            </c:dLbl>
            <c:dLbl>
              <c:idx val="14"/>
              <c:tx>
                <c:rich>
                  <a:bodyPr/>
                  <a:lstStyle/>
                  <a:p>
                    <a:fld id="{515D4CED-6D6E-41A9-B656-69087170CD3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4669-49CB-9FEA-3D3A4EC6D4F1}"/>
                </c:ext>
              </c:extLst>
            </c:dLbl>
            <c:dLbl>
              <c:idx val="15"/>
              <c:tx>
                <c:rich>
                  <a:bodyPr/>
                  <a:lstStyle/>
                  <a:p>
                    <a:fld id="{866F3718-ADA1-409F-8E32-51B943D3F82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4669-49CB-9FEA-3D3A4EC6D4F1}"/>
                </c:ext>
              </c:extLst>
            </c:dLbl>
            <c:dLbl>
              <c:idx val="16"/>
              <c:tx>
                <c:rich>
                  <a:bodyPr/>
                  <a:lstStyle/>
                  <a:p>
                    <a:fld id="{108DAF8C-E987-49DF-80EC-FFF013FBA14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4669-49CB-9FEA-3D3A4EC6D4F1}"/>
                </c:ext>
              </c:extLst>
            </c:dLbl>
            <c:dLbl>
              <c:idx val="17"/>
              <c:tx>
                <c:rich>
                  <a:bodyPr/>
                  <a:lstStyle/>
                  <a:p>
                    <a:fld id="{5522B698-970A-486D-9BA7-D3D2057089A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4669-49CB-9FEA-3D3A4EC6D4F1}"/>
                </c:ext>
              </c:extLst>
            </c:dLbl>
            <c:dLbl>
              <c:idx val="18"/>
              <c:tx>
                <c:rich>
                  <a:bodyPr/>
                  <a:lstStyle/>
                  <a:p>
                    <a:fld id="{A10A28CE-ACBF-45B9-9BC2-814BE21768B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4669-49CB-9FEA-3D3A4EC6D4F1}"/>
                </c:ext>
              </c:extLst>
            </c:dLbl>
            <c:dLbl>
              <c:idx val="19"/>
              <c:tx>
                <c:rich>
                  <a:bodyPr/>
                  <a:lstStyle/>
                  <a:p>
                    <a:fld id="{FE409E2B-D91C-4EE4-BC2A-31338A17B4B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4669-49CB-9FEA-3D3A4EC6D4F1}"/>
                </c:ext>
              </c:extLst>
            </c:dLbl>
            <c:dLbl>
              <c:idx val="20"/>
              <c:tx>
                <c:rich>
                  <a:bodyPr/>
                  <a:lstStyle/>
                  <a:p>
                    <a:fld id="{0FC75176-89A5-4D36-B166-767BFC8D833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4669-49CB-9FEA-3D3A4EC6D4F1}"/>
                </c:ext>
              </c:extLst>
            </c:dLbl>
            <c:dLbl>
              <c:idx val="21"/>
              <c:tx>
                <c:rich>
                  <a:bodyPr/>
                  <a:lstStyle/>
                  <a:p>
                    <a:fld id="{B96FB5F9-A7B6-4A17-8A63-5D29111237A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4669-49CB-9FEA-3D3A4EC6D4F1}"/>
                </c:ext>
              </c:extLst>
            </c:dLbl>
            <c:dLbl>
              <c:idx val="22"/>
              <c:tx>
                <c:rich>
                  <a:bodyPr/>
                  <a:lstStyle/>
                  <a:p>
                    <a:fld id="{7D908E96-D217-4152-BDBC-9D8B5A47B98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4669-49CB-9FEA-3D3A4EC6D4F1}"/>
                </c:ext>
              </c:extLst>
            </c:dLbl>
            <c:dLbl>
              <c:idx val="23"/>
              <c:tx>
                <c:rich>
                  <a:bodyPr/>
                  <a:lstStyle/>
                  <a:p>
                    <a:fld id="{FA91779E-5A46-4FA5-8128-D707ADC51E8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4669-49CB-9FEA-3D3A4EC6D4F1}"/>
                </c:ext>
              </c:extLst>
            </c:dLbl>
            <c:dLbl>
              <c:idx val="24"/>
              <c:tx>
                <c:rich>
                  <a:bodyPr/>
                  <a:lstStyle/>
                  <a:p>
                    <a:fld id="{27F52D40-7443-4BBC-9988-30DB18900BF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4669-49CB-9FEA-3D3A4EC6D4F1}"/>
                </c:ext>
              </c:extLst>
            </c:dLbl>
            <c:dLbl>
              <c:idx val="25"/>
              <c:tx>
                <c:rich>
                  <a:bodyPr/>
                  <a:lstStyle/>
                  <a:p>
                    <a:fld id="{F5E98BE0-A9B4-48A4-9D0B-999CA778C67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4669-49CB-9FEA-3D3A4EC6D4F1}"/>
                </c:ext>
              </c:extLst>
            </c:dLbl>
            <c:dLbl>
              <c:idx val="26"/>
              <c:tx>
                <c:rich>
                  <a:bodyPr/>
                  <a:lstStyle/>
                  <a:p>
                    <a:fld id="{4526F3E3-9F9A-4B6E-A34C-B7FD503B058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4669-49CB-9FEA-3D3A4EC6D4F1}"/>
                </c:ext>
              </c:extLst>
            </c:dLbl>
            <c:dLbl>
              <c:idx val="27"/>
              <c:tx>
                <c:rich>
                  <a:bodyPr/>
                  <a:lstStyle/>
                  <a:p>
                    <a:fld id="{5652698F-6059-4BD3-80CB-C7606E17DF7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4669-49CB-9FEA-3D3A4EC6D4F1}"/>
                </c:ext>
              </c:extLst>
            </c:dLbl>
            <c:dLbl>
              <c:idx val="28"/>
              <c:tx>
                <c:rich>
                  <a:bodyPr/>
                  <a:lstStyle/>
                  <a:p>
                    <a:fld id="{B274A7A2-C84E-48A2-A6DF-7C91424A4CB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4669-49CB-9FEA-3D3A4EC6D4F1}"/>
                </c:ext>
              </c:extLst>
            </c:dLbl>
            <c:dLbl>
              <c:idx val="29"/>
              <c:tx>
                <c:rich>
                  <a:bodyPr/>
                  <a:lstStyle/>
                  <a:p>
                    <a:fld id="{DB9A47A4-B42B-43F7-85A5-9CEA157E1C7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4669-49CB-9FEA-3D3A4EC6D4F1}"/>
                </c:ext>
              </c:extLst>
            </c:dLbl>
            <c:dLbl>
              <c:idx val="30"/>
              <c:tx>
                <c:rich>
                  <a:bodyPr/>
                  <a:lstStyle/>
                  <a:p>
                    <a:fld id="{680BD43F-4207-4606-84BB-28CF0E1F816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4669-49CB-9FEA-3D3A4EC6D4F1}"/>
                </c:ext>
              </c:extLst>
            </c:dLbl>
            <c:dLbl>
              <c:idx val="31"/>
              <c:tx>
                <c:rich>
                  <a:bodyPr/>
                  <a:lstStyle/>
                  <a:p>
                    <a:fld id="{3AD00A76-5A5C-4B13-B0C6-D10C5E34D9D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4669-49CB-9FEA-3D3A4EC6D4F1}"/>
                </c:ext>
              </c:extLst>
            </c:dLbl>
            <c:dLbl>
              <c:idx val="32"/>
              <c:tx>
                <c:rich>
                  <a:bodyPr/>
                  <a:lstStyle/>
                  <a:p>
                    <a:fld id="{3ED46F47-CEF2-4AB3-A7B3-43D5CCB04B9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4669-49CB-9FEA-3D3A4EC6D4F1}"/>
                </c:ext>
              </c:extLst>
            </c:dLbl>
            <c:dLbl>
              <c:idx val="33"/>
              <c:tx>
                <c:rich>
                  <a:bodyPr/>
                  <a:lstStyle/>
                  <a:p>
                    <a:fld id="{F48EA9DD-EF26-4BEE-B04B-88DF876BD88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4669-49CB-9FEA-3D3A4EC6D4F1}"/>
                </c:ext>
              </c:extLst>
            </c:dLbl>
            <c:dLbl>
              <c:idx val="34"/>
              <c:tx>
                <c:rich>
                  <a:bodyPr/>
                  <a:lstStyle/>
                  <a:p>
                    <a:fld id="{E9165C57-133C-40C0-936A-A6C04527EB7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4669-49CB-9FEA-3D3A4EC6D4F1}"/>
                </c:ext>
              </c:extLst>
            </c:dLbl>
            <c:dLbl>
              <c:idx val="35"/>
              <c:tx>
                <c:rich>
                  <a:bodyPr/>
                  <a:lstStyle/>
                  <a:p>
                    <a:fld id="{E221D652-9004-4A2E-A127-C39224A0C17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4669-49CB-9FEA-3D3A4EC6D4F1}"/>
                </c:ext>
              </c:extLst>
            </c:dLbl>
            <c:dLbl>
              <c:idx val="36"/>
              <c:tx>
                <c:rich>
                  <a:bodyPr/>
                  <a:lstStyle/>
                  <a:p>
                    <a:fld id="{ECCD7E76-D9E7-4B83-88E4-8094A983CC6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4669-49CB-9FEA-3D3A4EC6D4F1}"/>
                </c:ext>
              </c:extLst>
            </c:dLbl>
            <c:dLbl>
              <c:idx val="37"/>
              <c:tx>
                <c:rich>
                  <a:bodyPr/>
                  <a:lstStyle/>
                  <a:p>
                    <a:fld id="{84F3FA1C-338F-47F4-9BE8-FAC7F27DD4E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4669-49CB-9FEA-3D3A4EC6D4F1}"/>
                </c:ext>
              </c:extLst>
            </c:dLbl>
            <c:dLbl>
              <c:idx val="38"/>
              <c:tx>
                <c:rich>
                  <a:bodyPr/>
                  <a:lstStyle/>
                  <a:p>
                    <a:fld id="{2FBEDC9D-DE8A-4C99-9C67-93F345431CB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4669-49CB-9FEA-3D3A4EC6D4F1}"/>
                </c:ext>
              </c:extLst>
            </c:dLbl>
            <c:dLbl>
              <c:idx val="39"/>
              <c:tx>
                <c:rich>
                  <a:bodyPr/>
                  <a:lstStyle/>
                  <a:p>
                    <a:fld id="{23413C95-6888-4B20-B9EE-B044EEF05CA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4669-49CB-9FEA-3D3A4EC6D4F1}"/>
                </c:ext>
              </c:extLst>
            </c:dLbl>
            <c:dLbl>
              <c:idx val="40"/>
              <c:tx>
                <c:rich>
                  <a:bodyPr/>
                  <a:lstStyle/>
                  <a:p>
                    <a:fld id="{12C85245-0E62-4F1E-BDD9-CA73DF86813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4669-49CB-9FEA-3D3A4EC6D4F1}"/>
                </c:ext>
              </c:extLst>
            </c:dLbl>
            <c:dLbl>
              <c:idx val="41"/>
              <c:tx>
                <c:rich>
                  <a:bodyPr/>
                  <a:lstStyle/>
                  <a:p>
                    <a:fld id="{29C8B375-8511-4007-82F7-20A8CFA6317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4669-49CB-9FEA-3D3A4EC6D4F1}"/>
                </c:ext>
              </c:extLst>
            </c:dLbl>
            <c:dLbl>
              <c:idx val="42"/>
              <c:tx>
                <c:rich>
                  <a:bodyPr/>
                  <a:lstStyle/>
                  <a:p>
                    <a:fld id="{F2B47E5D-06EF-4D44-9E1A-D93A72D01CD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4669-49CB-9FEA-3D3A4EC6D4F1}"/>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graf'!$AB$44:$AB$86</c:f>
              <c:numCache>
                <c:formatCode>General</c:formatCode>
                <c:ptCount val="43"/>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pt idx="39">
                  <c:v>60</c:v>
                </c:pt>
                <c:pt idx="40">
                  <c:v>60</c:v>
                </c:pt>
                <c:pt idx="41">
                  <c:v>60</c:v>
                </c:pt>
                <c:pt idx="42">
                  <c:v>60</c:v>
                </c:pt>
              </c:numCache>
            </c:numRef>
          </c:val>
          <c:smooth val="0"/>
          <c:extLst>
            <c:ext xmlns:c15="http://schemas.microsoft.com/office/drawing/2012/chart" uri="{02D57815-91ED-43cb-92C2-25804820EDAC}">
              <c15:datalabelsRange>
                <c15:f>'Prerađivačka_FS graf'!$B$44:$B$86</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0-4669-49CB-9FEA-3D3A4EC6D4F1}"/>
            </c:ext>
          </c:extLst>
        </c:ser>
        <c:ser>
          <c:idx val="0"/>
          <c:order val="2"/>
          <c:tx>
            <c:strRef>
              <c:f>'Prerađivačka_FS graf'!$AC$7</c:f>
              <c:strCache>
                <c:ptCount val="1"/>
                <c:pt idx="0">
                  <c:v>y</c:v>
                </c:pt>
              </c:strCache>
            </c:strRef>
          </c:tx>
          <c:spPr>
            <a:ln w="12700" cap="rnd">
              <a:solidFill>
                <a:srgbClr val="7F3F98"/>
              </a:solidFill>
              <a:prstDash val="sysDash"/>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graf'!$AC$44:$AC$86</c:f>
              <c:numCache>
                <c:formatCode>0.0</c:formatCode>
                <c:ptCount val="43"/>
                <c:pt idx="0">
                  <c:v>77.941556898406404</c:v>
                </c:pt>
                <c:pt idx="1">
                  <c:v>96.763365775297103</c:v>
                </c:pt>
                <c:pt idx="2">
                  <c:v>97.074892771578703</c:v>
                </c:pt>
                <c:pt idx="3">
                  <c:v>100.9293672605699</c:v>
                </c:pt>
                <c:pt idx="4">
                  <c:v>111.8251287650306</c:v>
                </c:pt>
                <c:pt idx="5">
                  <c:v>103.4937837994509</c:v>
                </c:pt>
                <c:pt idx="6">
                  <c:v>92.187906374984095</c:v>
                </c:pt>
                <c:pt idx="7">
                  <c:v>78.5394248603276</c:v>
                </c:pt>
                <c:pt idx="8">
                  <c:v>90.558861048683596</c:v>
                </c:pt>
                <c:pt idx="9">
                  <c:v>90.123666221923799</c:v>
                </c:pt>
                <c:pt idx="10">
                  <c:v>69.815945690852502</c:v>
                </c:pt>
                <c:pt idx="11">
                  <c:v>92.242664922805503</c:v>
                </c:pt>
                <c:pt idx="12">
                  <c:v>73.243642552813299</c:v>
                </c:pt>
                <c:pt idx="13">
                  <c:v>93.439959557044105</c:v>
                </c:pt>
                <c:pt idx="14">
                  <c:v>102.695537592075</c:v>
                </c:pt>
                <c:pt idx="15">
                  <c:v>97.702574443907196</c:v>
                </c:pt>
                <c:pt idx="16">
                  <c:v>94.142724842241407</c:v>
                </c:pt>
                <c:pt idx="17">
                  <c:v>98.918103879976698</c:v>
                </c:pt>
                <c:pt idx="18">
                  <c:v>80.237171436330399</c:v>
                </c:pt>
                <c:pt idx="19">
                  <c:v>88.0109047316203</c:v>
                </c:pt>
                <c:pt idx="20">
                  <c:v>99.748918987363595</c:v>
                </c:pt>
                <c:pt idx="21">
                  <c:v>93.798693309825495</c:v>
                </c:pt>
                <c:pt idx="22">
                  <c:v>111.4876474047082</c:v>
                </c:pt>
                <c:pt idx="23">
                  <c:v>125.97850868891641</c:v>
                </c:pt>
                <c:pt idx="24">
                  <c:v>80.333438176115394</c:v>
                </c:pt>
                <c:pt idx="25">
                  <c:v>100.78812465803421</c:v>
                </c:pt>
                <c:pt idx="26">
                  <c:v>106.7503100113322</c:v>
                </c:pt>
                <c:pt idx="27">
                  <c:v>96.510435120259203</c:v>
                </c:pt>
                <c:pt idx="28">
                  <c:v>116.3645849421444</c:v>
                </c:pt>
                <c:pt idx="29">
                  <c:v>108.82620564149227</c:v>
                </c:pt>
                <c:pt idx="30">
                  <c:v>90.617283950617278</c:v>
                </c:pt>
                <c:pt idx="31">
                  <c:v>85.744551636463399</c:v>
                </c:pt>
                <c:pt idx="32">
                  <c:v>94.832410822145206</c:v>
                </c:pt>
                <c:pt idx="33">
                  <c:v>99.129033354689994</c:v>
                </c:pt>
                <c:pt idx="34">
                  <c:v>103.392282059526</c:v>
                </c:pt>
                <c:pt idx="35">
                  <c:v>116.81115190669991</c:v>
                </c:pt>
                <c:pt idx="36">
                  <c:v>93.476009765276999</c:v>
                </c:pt>
                <c:pt idx="37">
                  <c:v>113.0007817514241</c:v>
                </c:pt>
                <c:pt idx="38">
                  <c:v>114.2854967801013</c:v>
                </c:pt>
                <c:pt idx="39">
                  <c:v>105.9702753204175</c:v>
                </c:pt>
                <c:pt idx="40">
                  <c:v>111.6</c:v>
                </c:pt>
                <c:pt idx="41">
                  <c:v>119.6</c:v>
                </c:pt>
                <c:pt idx="42">
                  <c:v>110.1</c:v>
                </c:pt>
              </c:numCache>
            </c:numRef>
          </c:val>
          <c:smooth val="0"/>
          <c:extLst>
            <c:ext xmlns:c16="http://schemas.microsoft.com/office/drawing/2014/chart" uri="{C3380CC4-5D6E-409C-BE32-E72D297353CC}">
              <c16:uniqueId val="{00000031-4669-49CB-9FEA-3D3A4EC6D4F1}"/>
            </c:ext>
          </c:extLst>
        </c:ser>
        <c:ser>
          <c:idx val="1"/>
          <c:order val="3"/>
          <c:tx>
            <c:strRef>
              <c:f>'Prerađivačka_FS graf'!$AD$7</c:f>
              <c:strCache>
                <c:ptCount val="1"/>
                <c:pt idx="0">
                  <c:v>sa</c:v>
                </c:pt>
              </c:strCache>
            </c:strRef>
          </c:tx>
          <c:spPr>
            <a:ln w="22225" cap="rnd">
              <a:solidFill>
                <a:srgbClr val="25AAE1"/>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graf'!$AD$44:$AD$86</c:f>
              <c:numCache>
                <c:formatCode>0.0</c:formatCode>
                <c:ptCount val="43"/>
                <c:pt idx="0">
                  <c:v>93.927835849158029</c:v>
                </c:pt>
                <c:pt idx="1">
                  <c:v>96.201888525385385</c:v>
                </c:pt>
                <c:pt idx="2">
                  <c:v>94.342973374578918</c:v>
                </c:pt>
                <c:pt idx="3">
                  <c:v>100.5781551654611</c:v>
                </c:pt>
                <c:pt idx="4">
                  <c:v>102.97352941998734</c:v>
                </c:pt>
                <c:pt idx="5">
                  <c:v>99.075472369355481</c:v>
                </c:pt>
                <c:pt idx="6">
                  <c:v>96.286548682829505</c:v>
                </c:pt>
                <c:pt idx="7">
                  <c:v>88.789180373874558</c:v>
                </c:pt>
                <c:pt idx="8">
                  <c:v>93.070739550492561</c:v>
                </c:pt>
                <c:pt idx="9">
                  <c:v>88.910458995172576</c:v>
                </c:pt>
                <c:pt idx="10">
                  <c:v>65.339900280742398</c:v>
                </c:pt>
                <c:pt idx="11">
                  <c:v>81.918198383664205</c:v>
                </c:pt>
                <c:pt idx="12">
                  <c:v>89.068220153658459</c:v>
                </c:pt>
                <c:pt idx="13">
                  <c:v>94.669288314284614</c:v>
                </c:pt>
                <c:pt idx="14">
                  <c:v>98.700962857687742</c:v>
                </c:pt>
                <c:pt idx="15">
                  <c:v>97.353332122926034</c:v>
                </c:pt>
                <c:pt idx="16">
                  <c:v>87.39225668849744</c:v>
                </c:pt>
                <c:pt idx="17">
                  <c:v>93.806794706602261</c:v>
                </c:pt>
                <c:pt idx="18">
                  <c:v>84.660887969915578</c:v>
                </c:pt>
                <c:pt idx="19">
                  <c:v>100.63817606773613</c:v>
                </c:pt>
                <c:pt idx="20">
                  <c:v>102.35460932547117</c:v>
                </c:pt>
                <c:pt idx="21">
                  <c:v>93.371581593939908</c:v>
                </c:pt>
                <c:pt idx="22">
                  <c:v>105.72383720241442</c:v>
                </c:pt>
                <c:pt idx="23">
                  <c:v>111.01261286739819</c:v>
                </c:pt>
                <c:pt idx="24">
                  <c:v>97.551711982164846</c:v>
                </c:pt>
                <c:pt idx="25">
                  <c:v>100.17364770379248</c:v>
                </c:pt>
                <c:pt idx="26">
                  <c:v>101.16750994594082</c:v>
                </c:pt>
                <c:pt idx="27">
                  <c:v>96.389068816301176</c:v>
                </c:pt>
                <c:pt idx="28">
                  <c:v>109.31159044583779</c:v>
                </c:pt>
                <c:pt idx="29">
                  <c:v>102.74205425270341</c:v>
                </c:pt>
                <c:pt idx="30">
                  <c:v>96.522727875638182</c:v>
                </c:pt>
                <c:pt idx="31">
                  <c:v>98.271680200557967</c:v>
                </c:pt>
                <c:pt idx="32">
                  <c:v>97.312159880421262</c:v>
                </c:pt>
                <c:pt idx="33">
                  <c:v>99.473789550477491</c:v>
                </c:pt>
                <c:pt idx="34">
                  <c:v>98.690929249480675</c:v>
                </c:pt>
                <c:pt idx="35">
                  <c:v>102.17705275832873</c:v>
                </c:pt>
                <c:pt idx="36">
                  <c:v>113.21656376642454</c:v>
                </c:pt>
                <c:pt idx="37">
                  <c:v>111.07033664172698</c:v>
                </c:pt>
                <c:pt idx="38">
                  <c:v>107.40142798940603</c:v>
                </c:pt>
                <c:pt idx="39">
                  <c:v>106.53371451944726</c:v>
                </c:pt>
                <c:pt idx="40">
                  <c:v>105.57652151392841</c:v>
                </c:pt>
                <c:pt idx="41">
                  <c:v>112.61580241532924</c:v>
                </c:pt>
                <c:pt idx="42">
                  <c:v>117.78128252199197</c:v>
                </c:pt>
              </c:numCache>
            </c:numRef>
          </c:val>
          <c:smooth val="0"/>
          <c:extLst>
            <c:ext xmlns:c16="http://schemas.microsoft.com/office/drawing/2014/chart" uri="{C3380CC4-5D6E-409C-BE32-E72D297353CC}">
              <c16:uniqueId val="{00000032-4669-49CB-9FEA-3D3A4EC6D4F1}"/>
            </c:ext>
          </c:extLst>
        </c:ser>
        <c:ser>
          <c:idx val="2"/>
          <c:order val="4"/>
          <c:tx>
            <c:strRef>
              <c:f>'Prerađivačka_FS graf'!$AE$7</c:f>
              <c:strCache>
                <c:ptCount val="1"/>
                <c:pt idx="0">
                  <c:v>t</c:v>
                </c:pt>
              </c:strCache>
            </c:strRef>
          </c:tx>
          <c:spPr>
            <a:ln w="25400" cap="rnd">
              <a:solidFill>
                <a:srgbClr val="FF0000"/>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graf'!$AE$44:$AE$86</c:f>
              <c:numCache>
                <c:formatCode>0.0</c:formatCode>
                <c:ptCount val="43"/>
                <c:pt idx="0">
                  <c:v>96.372727230761882</c:v>
                </c:pt>
                <c:pt idx="1">
                  <c:v>97.033379290891531</c:v>
                </c:pt>
                <c:pt idx="2">
                  <c:v>97.905559681948361</c:v>
                </c:pt>
                <c:pt idx="3">
                  <c:v>98.721148149533875</c:v>
                </c:pt>
                <c:pt idx="4">
                  <c:v>98.993211620961645</c:v>
                </c:pt>
                <c:pt idx="5">
                  <c:v>98.186213249628409</c:v>
                </c:pt>
                <c:pt idx="6">
                  <c:v>96.174877147480416</c:v>
                </c:pt>
                <c:pt idx="7">
                  <c:v>93.181123153253509</c:v>
                </c:pt>
                <c:pt idx="8">
                  <c:v>89.984867044649647</c:v>
                </c:pt>
                <c:pt idx="9">
                  <c:v>87.593006692669491</c:v>
                </c:pt>
                <c:pt idx="10">
                  <c:v>86.983427528378428</c:v>
                </c:pt>
                <c:pt idx="11">
                  <c:v>87.972790719929876</c:v>
                </c:pt>
                <c:pt idx="12">
                  <c:v>89.955334356425183</c:v>
                </c:pt>
                <c:pt idx="13">
                  <c:v>91.964234205086669</c:v>
                </c:pt>
                <c:pt idx="14">
                  <c:v>93.299528983427862</c:v>
                </c:pt>
                <c:pt idx="15">
                  <c:v>93.936189283189037</c:v>
                </c:pt>
                <c:pt idx="16">
                  <c:v>93.930807837000799</c:v>
                </c:pt>
                <c:pt idx="17">
                  <c:v>93.88970157517916</c:v>
                </c:pt>
                <c:pt idx="18">
                  <c:v>94.892160706289161</c:v>
                </c:pt>
                <c:pt idx="19">
                  <c:v>97.241582911574881</c:v>
                </c:pt>
                <c:pt idx="20">
                  <c:v>100.1494687564698</c:v>
                </c:pt>
                <c:pt idx="21">
                  <c:v>102.62808134122037</c:v>
                </c:pt>
                <c:pt idx="22">
                  <c:v>103.72210445691699</c:v>
                </c:pt>
                <c:pt idx="23">
                  <c:v>103.42960666274948</c:v>
                </c:pt>
                <c:pt idx="24">
                  <c:v>102.55102600365213</c:v>
                </c:pt>
                <c:pt idx="25">
                  <c:v>101.5821439028437</c:v>
                </c:pt>
                <c:pt idx="26">
                  <c:v>100.94276246918616</c:v>
                </c:pt>
                <c:pt idx="27">
                  <c:v>100.51158093419978</c:v>
                </c:pt>
                <c:pt idx="28">
                  <c:v>100.26275237731112</c:v>
                </c:pt>
                <c:pt idx="29">
                  <c:v>100.00716145725501</c:v>
                </c:pt>
                <c:pt idx="30">
                  <c:v>99.215749300306967</c:v>
                </c:pt>
                <c:pt idx="31">
                  <c:v>98.230845527181771</c:v>
                </c:pt>
                <c:pt idx="32">
                  <c:v>98.114743525544512</c:v>
                </c:pt>
                <c:pt idx="33">
                  <c:v>99.309595833409332</c:v>
                </c:pt>
                <c:pt idx="34">
                  <c:v>101.72971133335416</c:v>
                </c:pt>
                <c:pt idx="35">
                  <c:v>104.57397118852224</c:v>
                </c:pt>
                <c:pt idx="36">
                  <c:v>106.71461904006377</c:v>
                </c:pt>
                <c:pt idx="37">
                  <c:v>107.94653886727855</c:v>
                </c:pt>
                <c:pt idx="38">
                  <c:v>108.61161924609796</c:v>
                </c:pt>
                <c:pt idx="39">
                  <c:v>109.11837587703491</c:v>
                </c:pt>
                <c:pt idx="40">
                  <c:v>110.04621510403653</c:v>
                </c:pt>
                <c:pt idx="41">
                  <c:v>111.625795785948</c:v>
                </c:pt>
                <c:pt idx="42">
                  <c:v>113.75132167108347</c:v>
                </c:pt>
              </c:numCache>
            </c:numRef>
          </c:val>
          <c:smooth val="0"/>
          <c:extLst>
            <c:ext xmlns:c16="http://schemas.microsoft.com/office/drawing/2014/chart" uri="{C3380CC4-5D6E-409C-BE32-E72D297353CC}">
              <c16:uniqueId val="{00000033-4669-49CB-9FEA-3D3A4EC6D4F1}"/>
            </c:ext>
          </c:extLst>
        </c:ser>
        <c:dLbls>
          <c:showLegendKey val="0"/>
          <c:showVal val="0"/>
          <c:showCatName val="0"/>
          <c:showSerName val="0"/>
          <c:showPercent val="0"/>
          <c:showBubbleSize val="0"/>
        </c:dLbls>
        <c:marker val="1"/>
        <c:smooth val="0"/>
        <c:axId val="2092140944"/>
        <c:axId val="2092131696"/>
      </c:lineChart>
      <c:dateAx>
        <c:axId val="2092140944"/>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31696"/>
        <c:crosses val="autoZero"/>
        <c:auto val="1"/>
        <c:lblOffset val="0"/>
        <c:baseTimeUnit val="months"/>
        <c:majorUnit val="12"/>
        <c:majorTimeUnit val="months"/>
      </c:dateAx>
      <c:valAx>
        <c:axId val="2092131696"/>
        <c:scaling>
          <c:orientation val="minMax"/>
          <c:max val="130"/>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40944"/>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graf'!$BP$7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121-40A0-9ED2-A31B5647698D}"/>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121-40A0-9ED2-A31B5647698D}"/>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121-40A0-9ED2-A31B5647698D}"/>
                </c:ext>
              </c:extLst>
            </c:dLbl>
            <c:dLbl>
              <c:idx val="36"/>
              <c:layout>
                <c:manualLayout>
                  <c:x val="3.0980935211071337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121-40A0-9ED2-A31B5647698D}"/>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graf'!$BP$44:$BP$86</c:f>
              <c:numCache>
                <c:formatCode>General</c:formatCode>
                <c:ptCount val="43"/>
                <c:pt idx="0">
                  <c:v>40</c:v>
                </c:pt>
                <c:pt idx="12">
                  <c:v>40</c:v>
                </c:pt>
                <c:pt idx="24">
                  <c:v>40</c:v>
                </c:pt>
                <c:pt idx="36">
                  <c:v>40</c:v>
                </c:pt>
              </c:numCache>
            </c:numRef>
          </c:val>
          <c:smooth val="0"/>
          <c:extLst>
            <c:ext xmlns:c16="http://schemas.microsoft.com/office/drawing/2014/chart" uri="{C3380CC4-5D6E-409C-BE32-E72D297353CC}">
              <c16:uniqueId val="{00000004-7121-40A0-9ED2-A31B5647698D}"/>
            </c:ext>
          </c:extLst>
        </c:ser>
        <c:ser>
          <c:idx val="4"/>
          <c:order val="1"/>
          <c:tx>
            <c:strRef>
              <c:f>'Prerađivačka_FS graf'!$BQ$7</c:f>
              <c:strCache>
                <c:ptCount val="1"/>
                <c:pt idx="0">
                  <c:v>Series5</c:v>
                </c:pt>
              </c:strCache>
            </c:strRef>
          </c:tx>
          <c:spPr>
            <a:ln w="25400" cap="rnd">
              <a:noFill/>
              <a:round/>
            </a:ln>
            <a:effectLst/>
          </c:spPr>
          <c:marker>
            <c:symbol val="none"/>
          </c:marker>
          <c:dLbls>
            <c:dLbl>
              <c:idx val="0"/>
              <c:tx>
                <c:rich>
                  <a:bodyPr/>
                  <a:lstStyle/>
                  <a:p>
                    <a:fld id="{B214D8E3-BE0C-497E-9790-5343806D549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7121-40A0-9ED2-A31B5647698D}"/>
                </c:ext>
              </c:extLst>
            </c:dLbl>
            <c:dLbl>
              <c:idx val="1"/>
              <c:tx>
                <c:rich>
                  <a:bodyPr/>
                  <a:lstStyle/>
                  <a:p>
                    <a:fld id="{49A9238B-F443-4F88-A08F-F73A3C221DD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7121-40A0-9ED2-A31B5647698D}"/>
                </c:ext>
              </c:extLst>
            </c:dLbl>
            <c:dLbl>
              <c:idx val="2"/>
              <c:tx>
                <c:rich>
                  <a:bodyPr/>
                  <a:lstStyle/>
                  <a:p>
                    <a:fld id="{47C91DC9-D71C-454E-90DC-094AF233F67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7121-40A0-9ED2-A31B5647698D}"/>
                </c:ext>
              </c:extLst>
            </c:dLbl>
            <c:dLbl>
              <c:idx val="3"/>
              <c:tx>
                <c:rich>
                  <a:bodyPr/>
                  <a:lstStyle/>
                  <a:p>
                    <a:fld id="{7F3DDE35-2FCA-4A27-8935-31A4EC654F6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7121-40A0-9ED2-A31B5647698D}"/>
                </c:ext>
              </c:extLst>
            </c:dLbl>
            <c:dLbl>
              <c:idx val="4"/>
              <c:tx>
                <c:rich>
                  <a:bodyPr/>
                  <a:lstStyle/>
                  <a:p>
                    <a:fld id="{5B2B013D-C3F4-4804-A82E-9B3A8B04C68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7121-40A0-9ED2-A31B5647698D}"/>
                </c:ext>
              </c:extLst>
            </c:dLbl>
            <c:dLbl>
              <c:idx val="5"/>
              <c:tx>
                <c:rich>
                  <a:bodyPr/>
                  <a:lstStyle/>
                  <a:p>
                    <a:fld id="{14983827-E916-43C9-BEBD-B547C0F477D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7121-40A0-9ED2-A31B5647698D}"/>
                </c:ext>
              </c:extLst>
            </c:dLbl>
            <c:dLbl>
              <c:idx val="6"/>
              <c:tx>
                <c:rich>
                  <a:bodyPr/>
                  <a:lstStyle/>
                  <a:p>
                    <a:fld id="{38F1878C-07F8-4DF7-BA9E-0A5E6E87757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7121-40A0-9ED2-A31B5647698D}"/>
                </c:ext>
              </c:extLst>
            </c:dLbl>
            <c:dLbl>
              <c:idx val="7"/>
              <c:tx>
                <c:rich>
                  <a:bodyPr/>
                  <a:lstStyle/>
                  <a:p>
                    <a:fld id="{17F64339-0E9F-491A-875D-246FBF97FEF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7121-40A0-9ED2-A31B5647698D}"/>
                </c:ext>
              </c:extLst>
            </c:dLbl>
            <c:dLbl>
              <c:idx val="8"/>
              <c:tx>
                <c:rich>
                  <a:bodyPr/>
                  <a:lstStyle/>
                  <a:p>
                    <a:fld id="{0C82335C-F070-43F2-BD74-4DB518EDFF5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7121-40A0-9ED2-A31B5647698D}"/>
                </c:ext>
              </c:extLst>
            </c:dLbl>
            <c:dLbl>
              <c:idx val="9"/>
              <c:tx>
                <c:rich>
                  <a:bodyPr/>
                  <a:lstStyle/>
                  <a:p>
                    <a:fld id="{31F86494-D473-49FB-9764-B3CCDD84285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7121-40A0-9ED2-A31B5647698D}"/>
                </c:ext>
              </c:extLst>
            </c:dLbl>
            <c:dLbl>
              <c:idx val="10"/>
              <c:tx>
                <c:rich>
                  <a:bodyPr/>
                  <a:lstStyle/>
                  <a:p>
                    <a:fld id="{ADED7CC5-A5B8-4EA6-AB98-F7BD326F21B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7121-40A0-9ED2-A31B5647698D}"/>
                </c:ext>
              </c:extLst>
            </c:dLbl>
            <c:dLbl>
              <c:idx val="11"/>
              <c:tx>
                <c:rich>
                  <a:bodyPr/>
                  <a:lstStyle/>
                  <a:p>
                    <a:fld id="{E788EB0F-8847-4E63-A4F1-F3112BB8221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7121-40A0-9ED2-A31B5647698D}"/>
                </c:ext>
              </c:extLst>
            </c:dLbl>
            <c:dLbl>
              <c:idx val="12"/>
              <c:tx>
                <c:rich>
                  <a:bodyPr/>
                  <a:lstStyle/>
                  <a:p>
                    <a:fld id="{53240237-F354-4269-9259-F5EC288A6F8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7121-40A0-9ED2-A31B5647698D}"/>
                </c:ext>
              </c:extLst>
            </c:dLbl>
            <c:dLbl>
              <c:idx val="13"/>
              <c:tx>
                <c:rich>
                  <a:bodyPr/>
                  <a:lstStyle/>
                  <a:p>
                    <a:fld id="{D1BCA788-BA52-4D60-AB50-87FB785E36E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7121-40A0-9ED2-A31B5647698D}"/>
                </c:ext>
              </c:extLst>
            </c:dLbl>
            <c:dLbl>
              <c:idx val="14"/>
              <c:tx>
                <c:rich>
                  <a:bodyPr/>
                  <a:lstStyle/>
                  <a:p>
                    <a:fld id="{A5C96F36-C1C9-4231-AB9B-63330C502C4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7121-40A0-9ED2-A31B5647698D}"/>
                </c:ext>
              </c:extLst>
            </c:dLbl>
            <c:dLbl>
              <c:idx val="15"/>
              <c:tx>
                <c:rich>
                  <a:bodyPr/>
                  <a:lstStyle/>
                  <a:p>
                    <a:fld id="{D2F73138-ECE9-4FB7-9BB1-768194041A4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7121-40A0-9ED2-A31B5647698D}"/>
                </c:ext>
              </c:extLst>
            </c:dLbl>
            <c:dLbl>
              <c:idx val="16"/>
              <c:tx>
                <c:rich>
                  <a:bodyPr/>
                  <a:lstStyle/>
                  <a:p>
                    <a:fld id="{51D3E97D-1D36-48B0-A4CA-740D3A3433D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7121-40A0-9ED2-A31B5647698D}"/>
                </c:ext>
              </c:extLst>
            </c:dLbl>
            <c:dLbl>
              <c:idx val="17"/>
              <c:tx>
                <c:rich>
                  <a:bodyPr/>
                  <a:lstStyle/>
                  <a:p>
                    <a:fld id="{DB71E7A3-F687-4356-8D1E-5FC08BAFA6E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7121-40A0-9ED2-A31B5647698D}"/>
                </c:ext>
              </c:extLst>
            </c:dLbl>
            <c:dLbl>
              <c:idx val="18"/>
              <c:tx>
                <c:rich>
                  <a:bodyPr/>
                  <a:lstStyle/>
                  <a:p>
                    <a:fld id="{5DDA2DA2-FC10-415E-8E0B-96C4EE4D7C2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7121-40A0-9ED2-A31B5647698D}"/>
                </c:ext>
              </c:extLst>
            </c:dLbl>
            <c:dLbl>
              <c:idx val="19"/>
              <c:tx>
                <c:rich>
                  <a:bodyPr/>
                  <a:lstStyle/>
                  <a:p>
                    <a:fld id="{FEECE3D1-A4A1-498D-96C4-1A2C39C77D3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7121-40A0-9ED2-A31B5647698D}"/>
                </c:ext>
              </c:extLst>
            </c:dLbl>
            <c:dLbl>
              <c:idx val="20"/>
              <c:tx>
                <c:rich>
                  <a:bodyPr/>
                  <a:lstStyle/>
                  <a:p>
                    <a:fld id="{DDE05A94-94EC-46DD-93F0-C3B9DA5C5B1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7121-40A0-9ED2-A31B5647698D}"/>
                </c:ext>
              </c:extLst>
            </c:dLbl>
            <c:dLbl>
              <c:idx val="21"/>
              <c:tx>
                <c:rich>
                  <a:bodyPr/>
                  <a:lstStyle/>
                  <a:p>
                    <a:fld id="{B254BB4E-0564-479E-B603-9DCFF9CD3B1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7121-40A0-9ED2-A31B5647698D}"/>
                </c:ext>
              </c:extLst>
            </c:dLbl>
            <c:dLbl>
              <c:idx val="22"/>
              <c:tx>
                <c:rich>
                  <a:bodyPr/>
                  <a:lstStyle/>
                  <a:p>
                    <a:fld id="{06DA800E-FAFB-4DA7-BE4D-22024AF768A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7121-40A0-9ED2-A31B5647698D}"/>
                </c:ext>
              </c:extLst>
            </c:dLbl>
            <c:dLbl>
              <c:idx val="23"/>
              <c:tx>
                <c:rich>
                  <a:bodyPr/>
                  <a:lstStyle/>
                  <a:p>
                    <a:fld id="{97F97E08-6896-4CA3-85F6-1959D228E83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7121-40A0-9ED2-A31B5647698D}"/>
                </c:ext>
              </c:extLst>
            </c:dLbl>
            <c:dLbl>
              <c:idx val="24"/>
              <c:tx>
                <c:rich>
                  <a:bodyPr/>
                  <a:lstStyle/>
                  <a:p>
                    <a:fld id="{CE49CCDF-23EC-4EDD-952C-7F99223DE7E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7121-40A0-9ED2-A31B5647698D}"/>
                </c:ext>
              </c:extLst>
            </c:dLbl>
            <c:dLbl>
              <c:idx val="25"/>
              <c:tx>
                <c:rich>
                  <a:bodyPr/>
                  <a:lstStyle/>
                  <a:p>
                    <a:fld id="{9D6AF74F-9853-4E13-B09D-D3621C221EB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7121-40A0-9ED2-A31B5647698D}"/>
                </c:ext>
              </c:extLst>
            </c:dLbl>
            <c:dLbl>
              <c:idx val="26"/>
              <c:tx>
                <c:rich>
                  <a:bodyPr/>
                  <a:lstStyle/>
                  <a:p>
                    <a:fld id="{6D9D771B-0E3D-48DB-9C21-CE98E0DADAE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7121-40A0-9ED2-A31B5647698D}"/>
                </c:ext>
              </c:extLst>
            </c:dLbl>
            <c:dLbl>
              <c:idx val="27"/>
              <c:tx>
                <c:rich>
                  <a:bodyPr/>
                  <a:lstStyle/>
                  <a:p>
                    <a:fld id="{95554FA5-A739-4685-B9A7-ECF95588521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7121-40A0-9ED2-A31B5647698D}"/>
                </c:ext>
              </c:extLst>
            </c:dLbl>
            <c:dLbl>
              <c:idx val="28"/>
              <c:tx>
                <c:rich>
                  <a:bodyPr/>
                  <a:lstStyle/>
                  <a:p>
                    <a:fld id="{9F650C14-2209-4ADB-9D9B-E3FEDD35774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7121-40A0-9ED2-A31B5647698D}"/>
                </c:ext>
              </c:extLst>
            </c:dLbl>
            <c:dLbl>
              <c:idx val="29"/>
              <c:tx>
                <c:rich>
                  <a:bodyPr/>
                  <a:lstStyle/>
                  <a:p>
                    <a:fld id="{01EC0FED-F21D-4FB3-A663-09D86DD96B3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7121-40A0-9ED2-A31B5647698D}"/>
                </c:ext>
              </c:extLst>
            </c:dLbl>
            <c:dLbl>
              <c:idx val="30"/>
              <c:tx>
                <c:rich>
                  <a:bodyPr/>
                  <a:lstStyle/>
                  <a:p>
                    <a:fld id="{05374B97-E15B-4EF1-9430-1434682106B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7121-40A0-9ED2-A31B5647698D}"/>
                </c:ext>
              </c:extLst>
            </c:dLbl>
            <c:dLbl>
              <c:idx val="31"/>
              <c:tx>
                <c:rich>
                  <a:bodyPr/>
                  <a:lstStyle/>
                  <a:p>
                    <a:fld id="{0EA3CD58-0867-4D13-B509-A7CFB2FD970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7121-40A0-9ED2-A31B5647698D}"/>
                </c:ext>
              </c:extLst>
            </c:dLbl>
            <c:dLbl>
              <c:idx val="32"/>
              <c:tx>
                <c:rich>
                  <a:bodyPr/>
                  <a:lstStyle/>
                  <a:p>
                    <a:fld id="{2B6F5687-91BA-4321-B971-1B2AABF099D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7121-40A0-9ED2-A31B5647698D}"/>
                </c:ext>
              </c:extLst>
            </c:dLbl>
            <c:dLbl>
              <c:idx val="33"/>
              <c:tx>
                <c:rich>
                  <a:bodyPr/>
                  <a:lstStyle/>
                  <a:p>
                    <a:fld id="{820D0212-4B29-418A-8806-DD54FFEF611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7121-40A0-9ED2-A31B5647698D}"/>
                </c:ext>
              </c:extLst>
            </c:dLbl>
            <c:dLbl>
              <c:idx val="34"/>
              <c:tx>
                <c:rich>
                  <a:bodyPr/>
                  <a:lstStyle/>
                  <a:p>
                    <a:fld id="{60DBC49A-4B31-4FCC-87F4-EDA7ED4567D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7121-40A0-9ED2-A31B5647698D}"/>
                </c:ext>
              </c:extLst>
            </c:dLbl>
            <c:dLbl>
              <c:idx val="35"/>
              <c:tx>
                <c:rich>
                  <a:bodyPr/>
                  <a:lstStyle/>
                  <a:p>
                    <a:fld id="{5B1ADE27-57AA-4361-83F8-A7EB0A330E8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7121-40A0-9ED2-A31B5647698D}"/>
                </c:ext>
              </c:extLst>
            </c:dLbl>
            <c:dLbl>
              <c:idx val="36"/>
              <c:tx>
                <c:rich>
                  <a:bodyPr/>
                  <a:lstStyle/>
                  <a:p>
                    <a:fld id="{9F3468DE-EE7B-4F90-8EB3-8D4B527FF60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7121-40A0-9ED2-A31B5647698D}"/>
                </c:ext>
              </c:extLst>
            </c:dLbl>
            <c:dLbl>
              <c:idx val="37"/>
              <c:tx>
                <c:rich>
                  <a:bodyPr/>
                  <a:lstStyle/>
                  <a:p>
                    <a:fld id="{5FEF07B6-493B-490F-B857-75B462CA738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7121-40A0-9ED2-A31B5647698D}"/>
                </c:ext>
              </c:extLst>
            </c:dLbl>
            <c:dLbl>
              <c:idx val="38"/>
              <c:tx>
                <c:rich>
                  <a:bodyPr/>
                  <a:lstStyle/>
                  <a:p>
                    <a:fld id="{1B8D8179-9C4B-41A6-9668-8AB09742D83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7121-40A0-9ED2-A31B5647698D}"/>
                </c:ext>
              </c:extLst>
            </c:dLbl>
            <c:dLbl>
              <c:idx val="39"/>
              <c:tx>
                <c:rich>
                  <a:bodyPr/>
                  <a:lstStyle/>
                  <a:p>
                    <a:fld id="{A93A4B47-A0D1-4D7A-8049-6F17E4F223F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7121-40A0-9ED2-A31B5647698D}"/>
                </c:ext>
              </c:extLst>
            </c:dLbl>
            <c:dLbl>
              <c:idx val="40"/>
              <c:tx>
                <c:rich>
                  <a:bodyPr/>
                  <a:lstStyle/>
                  <a:p>
                    <a:fld id="{D65B731A-9DE9-4179-AA9C-5AFF94F3CF5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7121-40A0-9ED2-A31B5647698D}"/>
                </c:ext>
              </c:extLst>
            </c:dLbl>
            <c:dLbl>
              <c:idx val="41"/>
              <c:tx>
                <c:rich>
                  <a:bodyPr/>
                  <a:lstStyle/>
                  <a:p>
                    <a:fld id="{939FB270-4A4B-4792-B859-15BE4848E90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7121-40A0-9ED2-A31B5647698D}"/>
                </c:ext>
              </c:extLst>
            </c:dLbl>
            <c:dLbl>
              <c:idx val="42"/>
              <c:tx>
                <c:rich>
                  <a:bodyPr/>
                  <a:lstStyle/>
                  <a:p>
                    <a:fld id="{37A0D12C-155D-4C75-8EDA-DCA3CC1E3C2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7121-40A0-9ED2-A31B5647698D}"/>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graf'!$BQ$44:$BQ$86</c:f>
              <c:numCache>
                <c:formatCode>General</c:formatCode>
                <c:ptCount val="43"/>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pt idx="40">
                  <c:v>40</c:v>
                </c:pt>
                <c:pt idx="41">
                  <c:v>40</c:v>
                </c:pt>
                <c:pt idx="42">
                  <c:v>40</c:v>
                </c:pt>
              </c:numCache>
            </c:numRef>
          </c:val>
          <c:smooth val="0"/>
          <c:extLst>
            <c:ext xmlns:c15="http://schemas.microsoft.com/office/drawing/2012/chart" uri="{02D57815-91ED-43cb-92C2-25804820EDAC}">
              <c15:datalabelsRange>
                <c15:f>'Prerađivačka_FS graf'!$B$44:$B$86</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0-7121-40A0-9ED2-A31B5647698D}"/>
            </c:ext>
          </c:extLst>
        </c:ser>
        <c:ser>
          <c:idx val="0"/>
          <c:order val="2"/>
          <c:tx>
            <c:strRef>
              <c:f>'Prerađivačka_FS graf'!$BR$7</c:f>
              <c:strCache>
                <c:ptCount val="1"/>
                <c:pt idx="0">
                  <c:v>y</c:v>
                </c:pt>
              </c:strCache>
            </c:strRef>
          </c:tx>
          <c:spPr>
            <a:ln w="12700" cap="rnd">
              <a:solidFill>
                <a:srgbClr val="92278F"/>
              </a:solidFill>
              <a:prstDash val="sysDash"/>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graf'!$BR$44:$BR$86</c:f>
              <c:numCache>
                <c:formatCode>0.0</c:formatCode>
                <c:ptCount val="43"/>
                <c:pt idx="0">
                  <c:v>53.155619449018801</c:v>
                </c:pt>
                <c:pt idx="1">
                  <c:v>58.202544627161998</c:v>
                </c:pt>
                <c:pt idx="2">
                  <c:v>71.122113386415506</c:v>
                </c:pt>
                <c:pt idx="3">
                  <c:v>36.249810413089001</c:v>
                </c:pt>
                <c:pt idx="4">
                  <c:v>73.546796243628094</c:v>
                </c:pt>
                <c:pt idx="5">
                  <c:v>92.684525112219106</c:v>
                </c:pt>
                <c:pt idx="6">
                  <c:v>81.291025658963207</c:v>
                </c:pt>
                <c:pt idx="7">
                  <c:v>84.450732331038594</c:v>
                </c:pt>
                <c:pt idx="8">
                  <c:v>82.689841752933404</c:v>
                </c:pt>
                <c:pt idx="9">
                  <c:v>100.10173235501129</c:v>
                </c:pt>
                <c:pt idx="10">
                  <c:v>82.883391278291896</c:v>
                </c:pt>
                <c:pt idx="11">
                  <c:v>88.818310469880302</c:v>
                </c:pt>
                <c:pt idx="12">
                  <c:v>59.606418437008898</c:v>
                </c:pt>
                <c:pt idx="13">
                  <c:v>79.075136261057494</c:v>
                </c:pt>
                <c:pt idx="14">
                  <c:v>100.1796003162126</c:v>
                </c:pt>
                <c:pt idx="15">
                  <c:v>79.473178265328002</c:v>
                </c:pt>
                <c:pt idx="16">
                  <c:v>61.421939600274897</c:v>
                </c:pt>
                <c:pt idx="17">
                  <c:v>68.607259745421004</c:v>
                </c:pt>
                <c:pt idx="18">
                  <c:v>63.8944325450327</c:v>
                </c:pt>
                <c:pt idx="19">
                  <c:v>63.671278895329401</c:v>
                </c:pt>
                <c:pt idx="20">
                  <c:v>73.411627589623095</c:v>
                </c:pt>
                <c:pt idx="21">
                  <c:v>75.437071911844598</c:v>
                </c:pt>
                <c:pt idx="22">
                  <c:v>70.000535383098807</c:v>
                </c:pt>
                <c:pt idx="23">
                  <c:v>128.00211017317969</c:v>
                </c:pt>
                <c:pt idx="24">
                  <c:v>70.282282449223501</c:v>
                </c:pt>
                <c:pt idx="25">
                  <c:v>83.677390534639002</c:v>
                </c:pt>
                <c:pt idx="26">
                  <c:v>105.49329290120519</c:v>
                </c:pt>
                <c:pt idx="27">
                  <c:v>71.563670472372607</c:v>
                </c:pt>
                <c:pt idx="28">
                  <c:v>71.397113174027695</c:v>
                </c:pt>
                <c:pt idx="29">
                  <c:v>99.891891891891888</c:v>
                </c:pt>
                <c:pt idx="30">
                  <c:v>90.715181932245926</c:v>
                </c:pt>
                <c:pt idx="31">
                  <c:v>99.165212085768999</c:v>
                </c:pt>
                <c:pt idx="32">
                  <c:v>122.0833434934694</c:v>
                </c:pt>
                <c:pt idx="33">
                  <c:v>110.9072792791743</c:v>
                </c:pt>
                <c:pt idx="34">
                  <c:v>123.9764972810967</c:v>
                </c:pt>
                <c:pt idx="35">
                  <c:v>150.8889414679812</c:v>
                </c:pt>
                <c:pt idx="36">
                  <c:v>91.889194958357706</c:v>
                </c:pt>
                <c:pt idx="37">
                  <c:v>113.7939553253397</c:v>
                </c:pt>
                <c:pt idx="38">
                  <c:v>130.90944613625871</c:v>
                </c:pt>
                <c:pt idx="39">
                  <c:v>128.47646297079709</c:v>
                </c:pt>
                <c:pt idx="40">
                  <c:v>146.5</c:v>
                </c:pt>
                <c:pt idx="41">
                  <c:v>184.9</c:v>
                </c:pt>
                <c:pt idx="42">
                  <c:v>144.6</c:v>
                </c:pt>
              </c:numCache>
            </c:numRef>
          </c:val>
          <c:smooth val="0"/>
          <c:extLst>
            <c:ext xmlns:c16="http://schemas.microsoft.com/office/drawing/2014/chart" uri="{C3380CC4-5D6E-409C-BE32-E72D297353CC}">
              <c16:uniqueId val="{00000031-7121-40A0-9ED2-A31B5647698D}"/>
            </c:ext>
          </c:extLst>
        </c:ser>
        <c:ser>
          <c:idx val="1"/>
          <c:order val="3"/>
          <c:tx>
            <c:strRef>
              <c:f>'Prerađivačka_FS graf'!$BS$7</c:f>
              <c:strCache>
                <c:ptCount val="1"/>
                <c:pt idx="0">
                  <c:v>sa</c:v>
                </c:pt>
              </c:strCache>
            </c:strRef>
          </c:tx>
          <c:spPr>
            <a:ln w="22225" cap="rnd">
              <a:solidFill>
                <a:srgbClr val="25AAE1"/>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graf'!$BS$44:$BS$86</c:f>
              <c:numCache>
                <c:formatCode>0.0</c:formatCode>
                <c:ptCount val="43"/>
                <c:pt idx="0">
                  <c:v>72.519033509597293</c:v>
                </c:pt>
                <c:pt idx="1">
                  <c:v>57.72743678925017</c:v>
                </c:pt>
                <c:pt idx="2">
                  <c:v>66.995581835090121</c:v>
                </c:pt>
                <c:pt idx="3">
                  <c:v>39.726620287190748</c:v>
                </c:pt>
                <c:pt idx="4">
                  <c:v>84.760101575634707</c:v>
                </c:pt>
                <c:pt idx="5">
                  <c:v>89.877405698901114</c:v>
                </c:pt>
                <c:pt idx="6">
                  <c:v>84.30778461617497</c:v>
                </c:pt>
                <c:pt idx="7">
                  <c:v>88.739069477163</c:v>
                </c:pt>
                <c:pt idx="8">
                  <c:v>76.520229692403376</c:v>
                </c:pt>
                <c:pt idx="9">
                  <c:v>94.874017612373109</c:v>
                </c:pt>
                <c:pt idx="10">
                  <c:v>80.594702226127609</c:v>
                </c:pt>
                <c:pt idx="11">
                  <c:v>61.310757513924379</c:v>
                </c:pt>
                <c:pt idx="12">
                  <c:v>82.734151511150799</c:v>
                </c:pt>
                <c:pt idx="13">
                  <c:v>89.874738717686157</c:v>
                </c:pt>
                <c:pt idx="14">
                  <c:v>90.941256622241809</c:v>
                </c:pt>
                <c:pt idx="15">
                  <c:v>85.777529237293479</c:v>
                </c:pt>
                <c:pt idx="16">
                  <c:v>71.208777560514733</c:v>
                </c:pt>
                <c:pt idx="17">
                  <c:v>65.460848518902282</c:v>
                </c:pt>
                <c:pt idx="18">
                  <c:v>68.470790551506738</c:v>
                </c:pt>
                <c:pt idx="19">
                  <c:v>65.799327655960141</c:v>
                </c:pt>
                <c:pt idx="20">
                  <c:v>68.241217258231146</c:v>
                </c:pt>
                <c:pt idx="21">
                  <c:v>73.443625299920001</c:v>
                </c:pt>
                <c:pt idx="22">
                  <c:v>66.513375159457979</c:v>
                </c:pt>
                <c:pt idx="23">
                  <c:v>88.378633130618482</c:v>
                </c:pt>
                <c:pt idx="24">
                  <c:v>93.07494821284223</c:v>
                </c:pt>
                <c:pt idx="25">
                  <c:v>93.064907904606784</c:v>
                </c:pt>
                <c:pt idx="26">
                  <c:v>94.866488596121812</c:v>
                </c:pt>
                <c:pt idx="27">
                  <c:v>81.864632669885083</c:v>
                </c:pt>
                <c:pt idx="28">
                  <c:v>81.632637127578462</c:v>
                </c:pt>
                <c:pt idx="29">
                  <c:v>95.373284206950046</c:v>
                </c:pt>
                <c:pt idx="30">
                  <c:v>101.22596580197796</c:v>
                </c:pt>
                <c:pt idx="31">
                  <c:v>101.31289115990756</c:v>
                </c:pt>
                <c:pt idx="32">
                  <c:v>112.92994614016915</c:v>
                </c:pt>
                <c:pt idx="33">
                  <c:v>107.54278513204493</c:v>
                </c:pt>
                <c:pt idx="34">
                  <c:v>117.77673007666436</c:v>
                </c:pt>
                <c:pt idx="35">
                  <c:v>107.00122302893659</c:v>
                </c:pt>
                <c:pt idx="36">
                  <c:v>117.21153015266928</c:v>
                </c:pt>
                <c:pt idx="37">
                  <c:v>124.46394385809727</c:v>
                </c:pt>
                <c:pt idx="38">
                  <c:v>117.68136464205367</c:v>
                </c:pt>
                <c:pt idx="39">
                  <c:v>152.32505988962822</c:v>
                </c:pt>
                <c:pt idx="40">
                  <c:v>169.50081714553028</c:v>
                </c:pt>
                <c:pt idx="41">
                  <c:v>176.88629732484182</c:v>
                </c:pt>
                <c:pt idx="42">
                  <c:v>163.0625658922043</c:v>
                </c:pt>
              </c:numCache>
            </c:numRef>
          </c:val>
          <c:smooth val="0"/>
          <c:extLst>
            <c:ext xmlns:c16="http://schemas.microsoft.com/office/drawing/2014/chart" uri="{C3380CC4-5D6E-409C-BE32-E72D297353CC}">
              <c16:uniqueId val="{00000032-7121-40A0-9ED2-A31B5647698D}"/>
            </c:ext>
          </c:extLst>
        </c:ser>
        <c:ser>
          <c:idx val="2"/>
          <c:order val="4"/>
          <c:tx>
            <c:strRef>
              <c:f>'Prerađivačka_FS graf'!$BT$7</c:f>
              <c:strCache>
                <c:ptCount val="1"/>
                <c:pt idx="0">
                  <c:v>t</c:v>
                </c:pt>
              </c:strCache>
            </c:strRef>
          </c:tx>
          <c:spPr>
            <a:ln w="25400" cap="rnd">
              <a:solidFill>
                <a:srgbClr val="FF0000"/>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graf'!$BT$44:$BT$86</c:f>
              <c:numCache>
                <c:formatCode>0.0</c:formatCode>
                <c:ptCount val="43"/>
                <c:pt idx="0">
                  <c:v>69.439256847552841</c:v>
                </c:pt>
                <c:pt idx="1">
                  <c:v>69.266791727351276</c:v>
                </c:pt>
                <c:pt idx="2">
                  <c:v>71.041940818824642</c:v>
                </c:pt>
                <c:pt idx="3">
                  <c:v>74.452887174530233</c:v>
                </c:pt>
                <c:pt idx="4">
                  <c:v>79.002993838054167</c:v>
                </c:pt>
                <c:pt idx="5">
                  <c:v>83.463301174277376</c:v>
                </c:pt>
                <c:pt idx="6">
                  <c:v>86.213912070836798</c:v>
                </c:pt>
                <c:pt idx="7">
                  <c:v>86.773153891523037</c:v>
                </c:pt>
                <c:pt idx="8">
                  <c:v>85.801208153097733</c:v>
                </c:pt>
                <c:pt idx="9">
                  <c:v>84.773075749965031</c:v>
                </c:pt>
                <c:pt idx="10">
                  <c:v>84.743901428214429</c:v>
                </c:pt>
                <c:pt idx="11">
                  <c:v>85.805750201720599</c:v>
                </c:pt>
                <c:pt idx="12">
                  <c:v>86.788737663347206</c:v>
                </c:pt>
                <c:pt idx="13">
                  <c:v>86.595287911663092</c:v>
                </c:pt>
                <c:pt idx="14">
                  <c:v>84.61505385153616</c:v>
                </c:pt>
                <c:pt idx="15">
                  <c:v>80.734561285841579</c:v>
                </c:pt>
                <c:pt idx="16">
                  <c:v>75.90001983146783</c:v>
                </c:pt>
                <c:pt idx="17">
                  <c:v>70.81093876905409</c:v>
                </c:pt>
                <c:pt idx="18">
                  <c:v>67.178633809550277</c:v>
                </c:pt>
                <c:pt idx="19">
                  <c:v>66.215955412439641</c:v>
                </c:pt>
                <c:pt idx="20">
                  <c:v>68.282457237332949</c:v>
                </c:pt>
                <c:pt idx="21">
                  <c:v>72.913373784297733</c:v>
                </c:pt>
                <c:pt idx="22">
                  <c:v>78.853045687872225</c:v>
                </c:pt>
                <c:pt idx="23">
                  <c:v>84.317466629905482</c:v>
                </c:pt>
                <c:pt idx="24">
                  <c:v>88.078972867186621</c:v>
                </c:pt>
                <c:pt idx="25">
                  <c:v>89.753903487333559</c:v>
                </c:pt>
                <c:pt idx="26">
                  <c:v>89.670739049114161</c:v>
                </c:pt>
                <c:pt idx="27">
                  <c:v>89.346742686060423</c:v>
                </c:pt>
                <c:pt idx="28">
                  <c:v>90.097888638379729</c:v>
                </c:pt>
                <c:pt idx="29">
                  <c:v>93.034023783409069</c:v>
                </c:pt>
                <c:pt idx="30">
                  <c:v>97.888177176611805</c:v>
                </c:pt>
                <c:pt idx="31">
                  <c:v>103.06460145807597</c:v>
                </c:pt>
                <c:pt idx="32">
                  <c:v>107.44784345400265</c:v>
                </c:pt>
                <c:pt idx="33">
                  <c:v>110.05181846895077</c:v>
                </c:pt>
                <c:pt idx="34">
                  <c:v>111.19597997840357</c:v>
                </c:pt>
                <c:pt idx="35">
                  <c:v>112.83929225821728</c:v>
                </c:pt>
                <c:pt idx="36">
                  <c:v>117.28972714058386</c:v>
                </c:pt>
                <c:pt idx="37">
                  <c:v>125.21601958566615</c:v>
                </c:pt>
                <c:pt idx="38">
                  <c:v>135.78108576155088</c:v>
                </c:pt>
                <c:pt idx="39">
                  <c:v>147.71283119126923</c:v>
                </c:pt>
                <c:pt idx="40">
                  <c:v>158.93900093189686</c:v>
                </c:pt>
                <c:pt idx="41">
                  <c:v>168.30210467303223</c:v>
                </c:pt>
                <c:pt idx="42">
                  <c:v>175.26979972016539</c:v>
                </c:pt>
              </c:numCache>
            </c:numRef>
          </c:val>
          <c:smooth val="0"/>
          <c:extLst>
            <c:ext xmlns:c16="http://schemas.microsoft.com/office/drawing/2014/chart" uri="{C3380CC4-5D6E-409C-BE32-E72D297353CC}">
              <c16:uniqueId val="{00000033-7121-40A0-9ED2-A31B5647698D}"/>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85"/>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graf'!$AP$7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43576388888889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B8E-4E8E-8B4E-783CD135CB4D}"/>
                </c:ext>
              </c:extLst>
            </c:dLbl>
            <c:dLbl>
              <c:idx val="12"/>
              <c:layout>
                <c:manualLayout>
                  <c:x val="7.528449207034358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B8E-4E8E-8B4E-783CD135CB4D}"/>
                </c:ext>
              </c:extLst>
            </c:dLbl>
            <c:dLbl>
              <c:idx val="24"/>
              <c:layout>
                <c:manualLayout>
                  <c:x val="7.20994500180259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B8E-4E8E-8B4E-783CD135CB4D}"/>
                </c:ext>
              </c:extLst>
            </c:dLbl>
            <c:dLbl>
              <c:idx val="36"/>
              <c:layout>
                <c:manualLayout>
                  <c:x val="3.1369264745158285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B8E-4E8E-8B4E-783CD135CB4D}"/>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graf'!$AP$44:$AP$86</c:f>
              <c:numCache>
                <c:formatCode>General</c:formatCode>
                <c:ptCount val="43"/>
                <c:pt idx="0">
                  <c:v>0</c:v>
                </c:pt>
                <c:pt idx="12">
                  <c:v>0</c:v>
                </c:pt>
                <c:pt idx="24">
                  <c:v>0</c:v>
                </c:pt>
                <c:pt idx="36">
                  <c:v>0</c:v>
                </c:pt>
              </c:numCache>
            </c:numRef>
          </c:val>
          <c:smooth val="0"/>
          <c:extLst>
            <c:ext xmlns:c16="http://schemas.microsoft.com/office/drawing/2014/chart" uri="{C3380CC4-5D6E-409C-BE32-E72D297353CC}">
              <c16:uniqueId val="{00000004-BB8E-4E8E-8B4E-783CD135CB4D}"/>
            </c:ext>
          </c:extLst>
        </c:ser>
        <c:ser>
          <c:idx val="4"/>
          <c:order val="1"/>
          <c:tx>
            <c:strRef>
              <c:f>'Prerađivačka_FS graf'!$AQ$7</c:f>
              <c:strCache>
                <c:ptCount val="1"/>
                <c:pt idx="0">
                  <c:v>Series5</c:v>
                </c:pt>
              </c:strCache>
            </c:strRef>
          </c:tx>
          <c:spPr>
            <a:ln w="25400" cap="rnd">
              <a:noFill/>
              <a:round/>
            </a:ln>
            <a:effectLst/>
          </c:spPr>
          <c:marker>
            <c:symbol val="none"/>
          </c:marker>
          <c:dLbls>
            <c:dLbl>
              <c:idx val="0"/>
              <c:tx>
                <c:rich>
                  <a:bodyPr/>
                  <a:lstStyle/>
                  <a:p>
                    <a:fld id="{D6AA37B1-F705-4493-8B4C-A1AD19336EF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BB8E-4E8E-8B4E-783CD135CB4D}"/>
                </c:ext>
              </c:extLst>
            </c:dLbl>
            <c:dLbl>
              <c:idx val="1"/>
              <c:tx>
                <c:rich>
                  <a:bodyPr/>
                  <a:lstStyle/>
                  <a:p>
                    <a:fld id="{F09C3CE7-5741-4183-AD15-1FF49F744D4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BB8E-4E8E-8B4E-783CD135CB4D}"/>
                </c:ext>
              </c:extLst>
            </c:dLbl>
            <c:dLbl>
              <c:idx val="2"/>
              <c:tx>
                <c:rich>
                  <a:bodyPr/>
                  <a:lstStyle/>
                  <a:p>
                    <a:fld id="{BF94F60A-EBE6-4CAF-B608-F47B7340036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BB8E-4E8E-8B4E-783CD135CB4D}"/>
                </c:ext>
              </c:extLst>
            </c:dLbl>
            <c:dLbl>
              <c:idx val="3"/>
              <c:tx>
                <c:rich>
                  <a:bodyPr/>
                  <a:lstStyle/>
                  <a:p>
                    <a:fld id="{AAEEECF2-BB51-42F4-970B-8BC0DD20538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BB8E-4E8E-8B4E-783CD135CB4D}"/>
                </c:ext>
              </c:extLst>
            </c:dLbl>
            <c:dLbl>
              <c:idx val="4"/>
              <c:tx>
                <c:rich>
                  <a:bodyPr/>
                  <a:lstStyle/>
                  <a:p>
                    <a:fld id="{AB1E13EE-700A-47B9-B5BD-E2B20351B2A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BB8E-4E8E-8B4E-783CD135CB4D}"/>
                </c:ext>
              </c:extLst>
            </c:dLbl>
            <c:dLbl>
              <c:idx val="5"/>
              <c:tx>
                <c:rich>
                  <a:bodyPr/>
                  <a:lstStyle/>
                  <a:p>
                    <a:fld id="{24BB313C-2ABF-4105-A881-471BFC09DA3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BB8E-4E8E-8B4E-783CD135CB4D}"/>
                </c:ext>
              </c:extLst>
            </c:dLbl>
            <c:dLbl>
              <c:idx val="6"/>
              <c:tx>
                <c:rich>
                  <a:bodyPr/>
                  <a:lstStyle/>
                  <a:p>
                    <a:fld id="{201824C0-4597-40DA-A36D-985A212C1A4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BB8E-4E8E-8B4E-783CD135CB4D}"/>
                </c:ext>
              </c:extLst>
            </c:dLbl>
            <c:dLbl>
              <c:idx val="7"/>
              <c:tx>
                <c:rich>
                  <a:bodyPr/>
                  <a:lstStyle/>
                  <a:p>
                    <a:fld id="{30A30A2C-7C9A-466B-BF75-D21555B41C7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BB8E-4E8E-8B4E-783CD135CB4D}"/>
                </c:ext>
              </c:extLst>
            </c:dLbl>
            <c:dLbl>
              <c:idx val="8"/>
              <c:tx>
                <c:rich>
                  <a:bodyPr/>
                  <a:lstStyle/>
                  <a:p>
                    <a:fld id="{6D964D2F-0B6F-4C21-ABBC-E53AC745BCA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BB8E-4E8E-8B4E-783CD135CB4D}"/>
                </c:ext>
              </c:extLst>
            </c:dLbl>
            <c:dLbl>
              <c:idx val="9"/>
              <c:tx>
                <c:rich>
                  <a:bodyPr/>
                  <a:lstStyle/>
                  <a:p>
                    <a:fld id="{1EED901D-D2A9-4923-BF31-F08BC5A27C5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BB8E-4E8E-8B4E-783CD135CB4D}"/>
                </c:ext>
              </c:extLst>
            </c:dLbl>
            <c:dLbl>
              <c:idx val="10"/>
              <c:tx>
                <c:rich>
                  <a:bodyPr/>
                  <a:lstStyle/>
                  <a:p>
                    <a:fld id="{67D34B59-87BA-47E9-8B6E-39577383BE8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BB8E-4E8E-8B4E-783CD135CB4D}"/>
                </c:ext>
              </c:extLst>
            </c:dLbl>
            <c:dLbl>
              <c:idx val="11"/>
              <c:tx>
                <c:rich>
                  <a:bodyPr/>
                  <a:lstStyle/>
                  <a:p>
                    <a:fld id="{5F8E482E-906F-4937-8958-6EF71A61429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BB8E-4E8E-8B4E-783CD135CB4D}"/>
                </c:ext>
              </c:extLst>
            </c:dLbl>
            <c:dLbl>
              <c:idx val="12"/>
              <c:tx>
                <c:rich>
                  <a:bodyPr/>
                  <a:lstStyle/>
                  <a:p>
                    <a:fld id="{2F2CA5E5-AD91-43A0-BDE0-77874F8D92B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BB8E-4E8E-8B4E-783CD135CB4D}"/>
                </c:ext>
              </c:extLst>
            </c:dLbl>
            <c:dLbl>
              <c:idx val="13"/>
              <c:tx>
                <c:rich>
                  <a:bodyPr/>
                  <a:lstStyle/>
                  <a:p>
                    <a:fld id="{30A5C871-738C-4E44-8774-1605481DEF1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BB8E-4E8E-8B4E-783CD135CB4D}"/>
                </c:ext>
              </c:extLst>
            </c:dLbl>
            <c:dLbl>
              <c:idx val="14"/>
              <c:tx>
                <c:rich>
                  <a:bodyPr/>
                  <a:lstStyle/>
                  <a:p>
                    <a:fld id="{1D49DED2-9EB9-479E-8265-F7F8F7D04D9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BB8E-4E8E-8B4E-783CD135CB4D}"/>
                </c:ext>
              </c:extLst>
            </c:dLbl>
            <c:dLbl>
              <c:idx val="15"/>
              <c:tx>
                <c:rich>
                  <a:bodyPr/>
                  <a:lstStyle/>
                  <a:p>
                    <a:fld id="{2A40308A-E4FC-4EE1-BC15-E528BB5A6E4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BB8E-4E8E-8B4E-783CD135CB4D}"/>
                </c:ext>
              </c:extLst>
            </c:dLbl>
            <c:dLbl>
              <c:idx val="16"/>
              <c:tx>
                <c:rich>
                  <a:bodyPr/>
                  <a:lstStyle/>
                  <a:p>
                    <a:fld id="{D933589F-F060-493E-9ABF-DCE662DD490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BB8E-4E8E-8B4E-783CD135CB4D}"/>
                </c:ext>
              </c:extLst>
            </c:dLbl>
            <c:dLbl>
              <c:idx val="17"/>
              <c:tx>
                <c:rich>
                  <a:bodyPr/>
                  <a:lstStyle/>
                  <a:p>
                    <a:fld id="{B77C1793-7320-4C2E-8074-1B81F3E4D32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BB8E-4E8E-8B4E-783CD135CB4D}"/>
                </c:ext>
              </c:extLst>
            </c:dLbl>
            <c:dLbl>
              <c:idx val="18"/>
              <c:tx>
                <c:rich>
                  <a:bodyPr/>
                  <a:lstStyle/>
                  <a:p>
                    <a:fld id="{4A850D68-EC9F-4F6B-BFB0-45985151159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BB8E-4E8E-8B4E-783CD135CB4D}"/>
                </c:ext>
              </c:extLst>
            </c:dLbl>
            <c:dLbl>
              <c:idx val="19"/>
              <c:tx>
                <c:rich>
                  <a:bodyPr/>
                  <a:lstStyle/>
                  <a:p>
                    <a:fld id="{9C6B4A1F-B9A9-4A4B-8B74-0AE96B1BDF3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BB8E-4E8E-8B4E-783CD135CB4D}"/>
                </c:ext>
              </c:extLst>
            </c:dLbl>
            <c:dLbl>
              <c:idx val="20"/>
              <c:tx>
                <c:rich>
                  <a:bodyPr/>
                  <a:lstStyle/>
                  <a:p>
                    <a:fld id="{06EA460A-83EC-4C34-99D5-A5E26FAD8A8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BB8E-4E8E-8B4E-783CD135CB4D}"/>
                </c:ext>
              </c:extLst>
            </c:dLbl>
            <c:dLbl>
              <c:idx val="21"/>
              <c:tx>
                <c:rich>
                  <a:bodyPr/>
                  <a:lstStyle/>
                  <a:p>
                    <a:fld id="{58586154-7A78-4C56-8332-651DECC15DB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BB8E-4E8E-8B4E-783CD135CB4D}"/>
                </c:ext>
              </c:extLst>
            </c:dLbl>
            <c:dLbl>
              <c:idx val="22"/>
              <c:tx>
                <c:rich>
                  <a:bodyPr/>
                  <a:lstStyle/>
                  <a:p>
                    <a:fld id="{17166574-9483-4A51-8FFE-4DC802E4D5F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BB8E-4E8E-8B4E-783CD135CB4D}"/>
                </c:ext>
              </c:extLst>
            </c:dLbl>
            <c:dLbl>
              <c:idx val="23"/>
              <c:tx>
                <c:rich>
                  <a:bodyPr/>
                  <a:lstStyle/>
                  <a:p>
                    <a:fld id="{0FDFFEF5-931E-404D-A4A2-6DF0FB57C3C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BB8E-4E8E-8B4E-783CD135CB4D}"/>
                </c:ext>
              </c:extLst>
            </c:dLbl>
            <c:dLbl>
              <c:idx val="24"/>
              <c:tx>
                <c:rich>
                  <a:bodyPr/>
                  <a:lstStyle/>
                  <a:p>
                    <a:fld id="{8068E0EE-CDC1-4BA0-9C3D-757D99DFD37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BB8E-4E8E-8B4E-783CD135CB4D}"/>
                </c:ext>
              </c:extLst>
            </c:dLbl>
            <c:dLbl>
              <c:idx val="25"/>
              <c:tx>
                <c:rich>
                  <a:bodyPr/>
                  <a:lstStyle/>
                  <a:p>
                    <a:fld id="{1F49CD2D-3920-48B1-8045-F5AE91C88AB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BB8E-4E8E-8B4E-783CD135CB4D}"/>
                </c:ext>
              </c:extLst>
            </c:dLbl>
            <c:dLbl>
              <c:idx val="26"/>
              <c:tx>
                <c:rich>
                  <a:bodyPr/>
                  <a:lstStyle/>
                  <a:p>
                    <a:fld id="{62E49D14-705E-467F-94BA-48D59E5A5AB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BB8E-4E8E-8B4E-783CD135CB4D}"/>
                </c:ext>
              </c:extLst>
            </c:dLbl>
            <c:dLbl>
              <c:idx val="27"/>
              <c:tx>
                <c:rich>
                  <a:bodyPr/>
                  <a:lstStyle/>
                  <a:p>
                    <a:fld id="{605CC153-DA12-401F-BB26-55E4837BF09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BB8E-4E8E-8B4E-783CD135CB4D}"/>
                </c:ext>
              </c:extLst>
            </c:dLbl>
            <c:dLbl>
              <c:idx val="28"/>
              <c:tx>
                <c:rich>
                  <a:bodyPr/>
                  <a:lstStyle/>
                  <a:p>
                    <a:fld id="{D188960A-CF19-4B9F-B0FC-CD4EBD71912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BB8E-4E8E-8B4E-783CD135CB4D}"/>
                </c:ext>
              </c:extLst>
            </c:dLbl>
            <c:dLbl>
              <c:idx val="29"/>
              <c:tx>
                <c:rich>
                  <a:bodyPr/>
                  <a:lstStyle/>
                  <a:p>
                    <a:fld id="{5359FD4C-58A3-4983-A4B3-6A8667209D6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BB8E-4E8E-8B4E-783CD135CB4D}"/>
                </c:ext>
              </c:extLst>
            </c:dLbl>
            <c:dLbl>
              <c:idx val="30"/>
              <c:tx>
                <c:rich>
                  <a:bodyPr/>
                  <a:lstStyle/>
                  <a:p>
                    <a:fld id="{22D12144-C4A3-4736-9C74-A882DB12153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BB8E-4E8E-8B4E-783CD135CB4D}"/>
                </c:ext>
              </c:extLst>
            </c:dLbl>
            <c:dLbl>
              <c:idx val="31"/>
              <c:tx>
                <c:rich>
                  <a:bodyPr/>
                  <a:lstStyle/>
                  <a:p>
                    <a:fld id="{E4BD07CA-7E40-47C0-A83B-A91C15F6134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BB8E-4E8E-8B4E-783CD135CB4D}"/>
                </c:ext>
              </c:extLst>
            </c:dLbl>
            <c:dLbl>
              <c:idx val="32"/>
              <c:tx>
                <c:rich>
                  <a:bodyPr/>
                  <a:lstStyle/>
                  <a:p>
                    <a:fld id="{5A596C48-DE69-4A7E-A7DB-449B6494F36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BB8E-4E8E-8B4E-783CD135CB4D}"/>
                </c:ext>
              </c:extLst>
            </c:dLbl>
            <c:dLbl>
              <c:idx val="33"/>
              <c:tx>
                <c:rich>
                  <a:bodyPr/>
                  <a:lstStyle/>
                  <a:p>
                    <a:fld id="{086966F1-D8F5-444E-92E4-7A1F16A6F62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BB8E-4E8E-8B4E-783CD135CB4D}"/>
                </c:ext>
              </c:extLst>
            </c:dLbl>
            <c:dLbl>
              <c:idx val="34"/>
              <c:tx>
                <c:rich>
                  <a:bodyPr/>
                  <a:lstStyle/>
                  <a:p>
                    <a:fld id="{C8F79C7D-7F64-47C4-BE2A-465096DCE82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BB8E-4E8E-8B4E-783CD135CB4D}"/>
                </c:ext>
              </c:extLst>
            </c:dLbl>
            <c:dLbl>
              <c:idx val="35"/>
              <c:tx>
                <c:rich>
                  <a:bodyPr/>
                  <a:lstStyle/>
                  <a:p>
                    <a:fld id="{9FABC6EB-EAEC-493E-9767-0F3811FC0A8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BB8E-4E8E-8B4E-783CD135CB4D}"/>
                </c:ext>
              </c:extLst>
            </c:dLbl>
            <c:dLbl>
              <c:idx val="36"/>
              <c:tx>
                <c:rich>
                  <a:bodyPr/>
                  <a:lstStyle/>
                  <a:p>
                    <a:fld id="{CB58DA7C-820A-4692-A953-10049CA05A9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BB8E-4E8E-8B4E-783CD135CB4D}"/>
                </c:ext>
              </c:extLst>
            </c:dLbl>
            <c:dLbl>
              <c:idx val="37"/>
              <c:tx>
                <c:rich>
                  <a:bodyPr/>
                  <a:lstStyle/>
                  <a:p>
                    <a:fld id="{A6F8C846-18F7-48C1-AE1E-BD5BB3A3DFE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BB8E-4E8E-8B4E-783CD135CB4D}"/>
                </c:ext>
              </c:extLst>
            </c:dLbl>
            <c:dLbl>
              <c:idx val="38"/>
              <c:tx>
                <c:rich>
                  <a:bodyPr/>
                  <a:lstStyle/>
                  <a:p>
                    <a:fld id="{C5AAA9D8-7E76-47F5-BDB5-98D42E1CF17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BB8E-4E8E-8B4E-783CD135CB4D}"/>
                </c:ext>
              </c:extLst>
            </c:dLbl>
            <c:dLbl>
              <c:idx val="39"/>
              <c:tx>
                <c:rich>
                  <a:bodyPr/>
                  <a:lstStyle/>
                  <a:p>
                    <a:fld id="{2D7EF39A-582F-4A01-AEAE-F31BA12AC0D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BB8E-4E8E-8B4E-783CD135CB4D}"/>
                </c:ext>
              </c:extLst>
            </c:dLbl>
            <c:dLbl>
              <c:idx val="40"/>
              <c:tx>
                <c:rich>
                  <a:bodyPr/>
                  <a:lstStyle/>
                  <a:p>
                    <a:fld id="{2EA4CC0F-4BED-4FD1-9CC7-6080EDCD799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BB8E-4E8E-8B4E-783CD135CB4D}"/>
                </c:ext>
              </c:extLst>
            </c:dLbl>
            <c:dLbl>
              <c:idx val="41"/>
              <c:tx>
                <c:rich>
                  <a:bodyPr/>
                  <a:lstStyle/>
                  <a:p>
                    <a:fld id="{4461D366-E831-4E4A-8BF9-5617F1521EC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BB8E-4E8E-8B4E-783CD135CB4D}"/>
                </c:ext>
              </c:extLst>
            </c:dLbl>
            <c:dLbl>
              <c:idx val="42"/>
              <c:tx>
                <c:rich>
                  <a:bodyPr/>
                  <a:lstStyle/>
                  <a:p>
                    <a:fld id="{49BEAC08-0EE8-48C6-8101-1B61BBD82FC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BB8E-4E8E-8B4E-783CD135CB4D}"/>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graf'!$AQ$44:$AQ$86</c:f>
              <c:numCache>
                <c:formatCode>General</c:formatCode>
                <c:ptCount val="4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numCache>
            </c:numRef>
          </c:val>
          <c:smooth val="0"/>
          <c:extLst>
            <c:ext xmlns:c15="http://schemas.microsoft.com/office/drawing/2012/chart" uri="{02D57815-91ED-43cb-92C2-25804820EDAC}">
              <c15:datalabelsRange>
                <c15:f>'Prerađivačka_FS graf'!$B$44:$B$86</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0-BB8E-4E8E-8B4E-783CD135CB4D}"/>
            </c:ext>
          </c:extLst>
        </c:ser>
        <c:ser>
          <c:idx val="0"/>
          <c:order val="2"/>
          <c:tx>
            <c:strRef>
              <c:f>'Prerađivačka_FS graf'!$AR$7</c:f>
              <c:strCache>
                <c:ptCount val="1"/>
                <c:pt idx="0">
                  <c:v>y</c:v>
                </c:pt>
              </c:strCache>
            </c:strRef>
          </c:tx>
          <c:spPr>
            <a:ln w="12700" cap="rnd">
              <a:solidFill>
                <a:srgbClr val="7F3F98"/>
              </a:solidFill>
              <a:prstDash val="sysDash"/>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graf'!$AR$44:$AR$86</c:f>
              <c:numCache>
                <c:formatCode>0.0</c:formatCode>
                <c:ptCount val="43"/>
                <c:pt idx="0">
                  <c:v>106.44403453699999</c:v>
                </c:pt>
                <c:pt idx="1">
                  <c:v>115.64060093400001</c:v>
                </c:pt>
                <c:pt idx="2">
                  <c:v>94.671999639000006</c:v>
                </c:pt>
                <c:pt idx="3">
                  <c:v>25.552721554000001</c:v>
                </c:pt>
                <c:pt idx="4">
                  <c:v>45.392784564999999</c:v>
                </c:pt>
                <c:pt idx="5">
                  <c:v>73.549594589999998</c:v>
                </c:pt>
                <c:pt idx="6">
                  <c:v>88.459666514999995</c:v>
                </c:pt>
                <c:pt idx="7">
                  <c:v>72.464319782999993</c:v>
                </c:pt>
                <c:pt idx="8">
                  <c:v>124.187205323</c:v>
                </c:pt>
                <c:pt idx="9">
                  <c:v>128.66577052400001</c:v>
                </c:pt>
                <c:pt idx="10">
                  <c:v>122.99889900300001</c:v>
                </c:pt>
                <c:pt idx="11">
                  <c:v>110.561243839</c:v>
                </c:pt>
                <c:pt idx="12">
                  <c:v>89.509873049000007</c:v>
                </c:pt>
                <c:pt idx="13">
                  <c:v>106.27386525999999</c:v>
                </c:pt>
                <c:pt idx="14">
                  <c:v>128.81806024599999</c:v>
                </c:pt>
                <c:pt idx="15">
                  <c:v>105.68129611800001</c:v>
                </c:pt>
                <c:pt idx="16">
                  <c:v>96.049883840999996</c:v>
                </c:pt>
                <c:pt idx="17">
                  <c:v>105.90309740799999</c:v>
                </c:pt>
                <c:pt idx="18">
                  <c:v>90.100395943999999</c:v>
                </c:pt>
                <c:pt idx="19">
                  <c:v>62.117686210999999</c:v>
                </c:pt>
                <c:pt idx="20">
                  <c:v>103.18547574599999</c:v>
                </c:pt>
                <c:pt idx="21">
                  <c:v>111.202595211</c:v>
                </c:pt>
                <c:pt idx="22">
                  <c:v>113.59678856799999</c:v>
                </c:pt>
                <c:pt idx="23">
                  <c:v>81.672233344000006</c:v>
                </c:pt>
                <c:pt idx="24">
                  <c:v>92.592934868</c:v>
                </c:pt>
                <c:pt idx="25">
                  <c:v>100.458317428</c:v>
                </c:pt>
                <c:pt idx="26">
                  <c:v>100.758220874</c:v>
                </c:pt>
                <c:pt idx="27">
                  <c:v>96.100190498000003</c:v>
                </c:pt>
                <c:pt idx="28">
                  <c:v>105.918214862</c:v>
                </c:pt>
                <c:pt idx="29">
                  <c:v>101.48514851500001</c:v>
                </c:pt>
                <c:pt idx="30">
                  <c:v>86.606334841999995</c:v>
                </c:pt>
                <c:pt idx="31">
                  <c:v>84.816461918000002</c:v>
                </c:pt>
                <c:pt idx="32">
                  <c:v>111.30118972699999</c:v>
                </c:pt>
                <c:pt idx="33">
                  <c:v>110.873739219</c:v>
                </c:pt>
                <c:pt idx="34">
                  <c:v>118.755053664</c:v>
                </c:pt>
                <c:pt idx="35">
                  <c:v>90.380981735000006</c:v>
                </c:pt>
                <c:pt idx="36">
                  <c:v>100.461904804</c:v>
                </c:pt>
                <c:pt idx="37">
                  <c:v>116.137699505</c:v>
                </c:pt>
                <c:pt idx="38">
                  <c:v>131.68334557899999</c:v>
                </c:pt>
                <c:pt idx="39">
                  <c:v>105.72844282</c:v>
                </c:pt>
                <c:pt idx="40">
                  <c:v>119.3</c:v>
                </c:pt>
                <c:pt idx="41">
                  <c:v>123</c:v>
                </c:pt>
                <c:pt idx="42">
                  <c:v>95.7</c:v>
                </c:pt>
              </c:numCache>
            </c:numRef>
          </c:val>
          <c:smooth val="0"/>
          <c:extLst>
            <c:ext xmlns:c16="http://schemas.microsoft.com/office/drawing/2014/chart" uri="{C3380CC4-5D6E-409C-BE32-E72D297353CC}">
              <c16:uniqueId val="{00000031-BB8E-4E8E-8B4E-783CD135CB4D}"/>
            </c:ext>
          </c:extLst>
        </c:ser>
        <c:ser>
          <c:idx val="1"/>
          <c:order val="3"/>
          <c:tx>
            <c:strRef>
              <c:f>'Prerađivačka_FS graf'!$AS$7</c:f>
              <c:strCache>
                <c:ptCount val="1"/>
                <c:pt idx="0">
                  <c:v>sa</c:v>
                </c:pt>
              </c:strCache>
            </c:strRef>
          </c:tx>
          <c:spPr>
            <a:ln w="22225" cap="rnd">
              <a:solidFill>
                <a:srgbClr val="25AAE1"/>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graf'!$AS$44:$AS$86</c:f>
              <c:numCache>
                <c:formatCode>0.0</c:formatCode>
                <c:ptCount val="43"/>
                <c:pt idx="0">
                  <c:v>109.42590879399999</c:v>
                </c:pt>
                <c:pt idx="1">
                  <c:v>102.609158744</c:v>
                </c:pt>
                <c:pt idx="2">
                  <c:v>81.058139421999996</c:v>
                </c:pt>
                <c:pt idx="3">
                  <c:v>23.761439462999999</c:v>
                </c:pt>
                <c:pt idx="4">
                  <c:v>42.920955935999999</c:v>
                </c:pt>
                <c:pt idx="5">
                  <c:v>67.517580976999994</c:v>
                </c:pt>
                <c:pt idx="6">
                  <c:v>105.448935332</c:v>
                </c:pt>
                <c:pt idx="7">
                  <c:v>109.972229454</c:v>
                </c:pt>
                <c:pt idx="8">
                  <c:v>110.918407351</c:v>
                </c:pt>
                <c:pt idx="9">
                  <c:v>114.123139408</c:v>
                </c:pt>
                <c:pt idx="10">
                  <c:v>115.911284858</c:v>
                </c:pt>
                <c:pt idx="11">
                  <c:v>129.280811446</c:v>
                </c:pt>
                <c:pt idx="12">
                  <c:v>96.874912710000004</c:v>
                </c:pt>
                <c:pt idx="13">
                  <c:v>100.37753819</c:v>
                </c:pt>
                <c:pt idx="14">
                  <c:v>108.55678428900001</c:v>
                </c:pt>
                <c:pt idx="15">
                  <c:v>96.512582906999995</c:v>
                </c:pt>
                <c:pt idx="16">
                  <c:v>91.485502990000001</c:v>
                </c:pt>
                <c:pt idx="17">
                  <c:v>98.491319058000002</c:v>
                </c:pt>
                <c:pt idx="18">
                  <c:v>107.416408469</c:v>
                </c:pt>
                <c:pt idx="19">
                  <c:v>90.109854799999994</c:v>
                </c:pt>
                <c:pt idx="20">
                  <c:v>92.254687000999994</c:v>
                </c:pt>
                <c:pt idx="21">
                  <c:v>101.366116504</c:v>
                </c:pt>
                <c:pt idx="22">
                  <c:v>100.001513062</c:v>
                </c:pt>
                <c:pt idx="23">
                  <c:v>94.103880760999999</c:v>
                </c:pt>
                <c:pt idx="24">
                  <c:v>96.473455404999996</c:v>
                </c:pt>
                <c:pt idx="25">
                  <c:v>95.412913500000002</c:v>
                </c:pt>
                <c:pt idx="26">
                  <c:v>85.649793711000001</c:v>
                </c:pt>
                <c:pt idx="27">
                  <c:v>96.656263968000005</c:v>
                </c:pt>
                <c:pt idx="28">
                  <c:v>98.456217383999999</c:v>
                </c:pt>
                <c:pt idx="29">
                  <c:v>95.312013769999993</c:v>
                </c:pt>
                <c:pt idx="30">
                  <c:v>104.199462367</c:v>
                </c:pt>
                <c:pt idx="31">
                  <c:v>117.58085993</c:v>
                </c:pt>
                <c:pt idx="32">
                  <c:v>100.24732810499999</c:v>
                </c:pt>
                <c:pt idx="33">
                  <c:v>99.810889832000001</c:v>
                </c:pt>
                <c:pt idx="34">
                  <c:v>103.280466649</c:v>
                </c:pt>
                <c:pt idx="35">
                  <c:v>107.881271441</c:v>
                </c:pt>
                <c:pt idx="36">
                  <c:v>101.665762669</c:v>
                </c:pt>
                <c:pt idx="37">
                  <c:v>110.489646681</c:v>
                </c:pt>
                <c:pt idx="38">
                  <c:v>112.914333132</c:v>
                </c:pt>
                <c:pt idx="39">
                  <c:v>111.259051453</c:v>
                </c:pt>
                <c:pt idx="40">
                  <c:v>113.18482424699999</c:v>
                </c:pt>
                <c:pt idx="41">
                  <c:v>116.056607473</c:v>
                </c:pt>
                <c:pt idx="42">
                  <c:v>113.092866562</c:v>
                </c:pt>
              </c:numCache>
            </c:numRef>
          </c:val>
          <c:smooth val="0"/>
          <c:extLst>
            <c:ext xmlns:c16="http://schemas.microsoft.com/office/drawing/2014/chart" uri="{C3380CC4-5D6E-409C-BE32-E72D297353CC}">
              <c16:uniqueId val="{00000032-BB8E-4E8E-8B4E-783CD135CB4D}"/>
            </c:ext>
          </c:extLst>
        </c:ser>
        <c:ser>
          <c:idx val="2"/>
          <c:order val="4"/>
          <c:tx>
            <c:strRef>
              <c:f>'Prerađivačka_FS graf'!$AT$7</c:f>
              <c:strCache>
                <c:ptCount val="1"/>
                <c:pt idx="0">
                  <c:v>t</c:v>
                </c:pt>
              </c:strCache>
            </c:strRef>
          </c:tx>
          <c:spPr>
            <a:ln w="25400" cap="rnd">
              <a:solidFill>
                <a:srgbClr val="FF0000"/>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graf'!$AT$44:$AT$86</c:f>
              <c:numCache>
                <c:formatCode>0.0</c:formatCode>
                <c:ptCount val="43"/>
                <c:pt idx="0">
                  <c:v>105.29201701700001</c:v>
                </c:pt>
                <c:pt idx="1">
                  <c:v>101.532276873</c:v>
                </c:pt>
                <c:pt idx="2">
                  <c:v>98.537544777999997</c:v>
                </c:pt>
                <c:pt idx="3">
                  <c:v>96.979156825999993</c:v>
                </c:pt>
                <c:pt idx="4">
                  <c:v>97.303099504000002</c:v>
                </c:pt>
                <c:pt idx="5">
                  <c:v>99.717757317999997</c:v>
                </c:pt>
                <c:pt idx="6">
                  <c:v>103.74652453500001</c:v>
                </c:pt>
                <c:pt idx="7">
                  <c:v>108.204407906</c:v>
                </c:pt>
                <c:pt idx="8">
                  <c:v>111.38312369099999</c:v>
                </c:pt>
                <c:pt idx="9">
                  <c:v>112.675876772</c:v>
                </c:pt>
                <c:pt idx="10">
                  <c:v>112.156759898</c:v>
                </c:pt>
                <c:pt idx="11">
                  <c:v>110.061507135</c:v>
                </c:pt>
                <c:pt idx="12">
                  <c:v>106.95684005699999</c:v>
                </c:pt>
                <c:pt idx="13">
                  <c:v>103.79267349</c:v>
                </c:pt>
                <c:pt idx="14">
                  <c:v>101.110635387</c:v>
                </c:pt>
                <c:pt idx="15">
                  <c:v>98.933453115999995</c:v>
                </c:pt>
                <c:pt idx="16">
                  <c:v>97.254525678999997</c:v>
                </c:pt>
                <c:pt idx="17">
                  <c:v>96.147780175999998</c:v>
                </c:pt>
                <c:pt idx="18">
                  <c:v>95.603322423999998</c:v>
                </c:pt>
                <c:pt idx="19">
                  <c:v>95.682055629000004</c:v>
                </c:pt>
                <c:pt idx="20">
                  <c:v>96.333140107000006</c:v>
                </c:pt>
                <c:pt idx="21">
                  <c:v>96.887417193000005</c:v>
                </c:pt>
                <c:pt idx="22">
                  <c:v>96.740405562000007</c:v>
                </c:pt>
                <c:pt idx="23">
                  <c:v>96.209199585999997</c:v>
                </c:pt>
                <c:pt idx="24">
                  <c:v>95.364998456999999</c:v>
                </c:pt>
                <c:pt idx="25">
                  <c:v>94.422381348000002</c:v>
                </c:pt>
                <c:pt idx="26">
                  <c:v>94.092508331000005</c:v>
                </c:pt>
                <c:pt idx="27">
                  <c:v>95.029403768999998</c:v>
                </c:pt>
                <c:pt idx="28">
                  <c:v>96.839313078999993</c:v>
                </c:pt>
                <c:pt idx="29">
                  <c:v>98.660611822000007</c:v>
                </c:pt>
                <c:pt idx="30">
                  <c:v>100.229195913</c:v>
                </c:pt>
                <c:pt idx="31">
                  <c:v>101.299131477</c:v>
                </c:pt>
                <c:pt idx="32">
                  <c:v>101.809583733</c:v>
                </c:pt>
                <c:pt idx="33">
                  <c:v>102.27029386300001</c:v>
                </c:pt>
                <c:pt idx="34">
                  <c:v>103.211895525</c:v>
                </c:pt>
                <c:pt idx="35">
                  <c:v>104.627573183</c:v>
                </c:pt>
                <c:pt idx="36">
                  <c:v>106.575307366</c:v>
                </c:pt>
                <c:pt idx="37">
                  <c:v>108.789098659</c:v>
                </c:pt>
                <c:pt idx="38">
                  <c:v>110.773161272</c:v>
                </c:pt>
                <c:pt idx="39">
                  <c:v>112.47309374</c:v>
                </c:pt>
                <c:pt idx="40">
                  <c:v>113.86290871200001</c:v>
                </c:pt>
                <c:pt idx="41">
                  <c:v>114.652535801</c:v>
                </c:pt>
                <c:pt idx="42">
                  <c:v>114.647200431</c:v>
                </c:pt>
              </c:numCache>
            </c:numRef>
          </c:val>
          <c:smooth val="0"/>
          <c:extLst>
            <c:ext xmlns:c16="http://schemas.microsoft.com/office/drawing/2014/chart" uri="{C3380CC4-5D6E-409C-BE32-E72D297353CC}">
              <c16:uniqueId val="{00000033-BB8E-4E8E-8B4E-783CD135CB4D}"/>
            </c:ext>
          </c:extLst>
        </c:ser>
        <c:dLbls>
          <c:showLegendKey val="0"/>
          <c:showVal val="0"/>
          <c:showCatName val="0"/>
          <c:showSerName val="0"/>
          <c:showPercent val="0"/>
          <c:showBubbleSize val="0"/>
        </c:dLbls>
        <c:marker val="1"/>
        <c:smooth val="0"/>
        <c:axId val="2092167600"/>
        <c:axId val="2092172496"/>
      </c:lineChart>
      <c:dateAx>
        <c:axId val="209216760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2496"/>
        <c:crosses val="autoZero"/>
        <c:auto val="1"/>
        <c:lblOffset val="0"/>
        <c:baseTimeUnit val="months"/>
        <c:majorUnit val="12"/>
        <c:majorTimeUnit val="months"/>
      </c:dateAx>
      <c:valAx>
        <c:axId val="2092172496"/>
        <c:scaling>
          <c:orientation val="minMax"/>
          <c:max val="165"/>
          <c:min val="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67600"/>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graf'!$BA$7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29926270900859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3B6-4EE0-AA69-B966F2807725}"/>
                </c:ext>
              </c:extLst>
            </c:dLbl>
            <c:dLbl>
              <c:idx val="12"/>
              <c:layout>
                <c:manualLayout>
                  <c:x val="7.078404730482976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3B6-4EE0-AA69-B966F2807725}"/>
                </c:ext>
              </c:extLst>
            </c:dLbl>
            <c:dLbl>
              <c:idx val="24"/>
              <c:layout>
                <c:manualLayout>
                  <c:x val="7.20180348269542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3B6-4EE0-AA69-B966F2807725}"/>
                </c:ext>
              </c:extLst>
            </c:dLbl>
            <c:dLbl>
              <c:idx val="36"/>
              <c:layout>
                <c:manualLayout>
                  <c:x val="3.1036127851004282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3B6-4EE0-AA69-B966F2807725}"/>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graf'!$BA$44:$BA$86</c:f>
              <c:numCache>
                <c:formatCode>General</c:formatCode>
                <c:ptCount val="43"/>
                <c:pt idx="0">
                  <c:v>40</c:v>
                </c:pt>
                <c:pt idx="12">
                  <c:v>40</c:v>
                </c:pt>
                <c:pt idx="24">
                  <c:v>40</c:v>
                </c:pt>
                <c:pt idx="36">
                  <c:v>40</c:v>
                </c:pt>
              </c:numCache>
            </c:numRef>
          </c:val>
          <c:smooth val="0"/>
          <c:extLst>
            <c:ext xmlns:c16="http://schemas.microsoft.com/office/drawing/2014/chart" uri="{C3380CC4-5D6E-409C-BE32-E72D297353CC}">
              <c16:uniqueId val="{00000004-D3B6-4EE0-AA69-B966F2807725}"/>
            </c:ext>
          </c:extLst>
        </c:ser>
        <c:ser>
          <c:idx val="4"/>
          <c:order val="1"/>
          <c:tx>
            <c:strRef>
              <c:f>'Prerađivačka_FS graf'!$BB$7</c:f>
              <c:strCache>
                <c:ptCount val="1"/>
                <c:pt idx="0">
                  <c:v>Series5</c:v>
                </c:pt>
              </c:strCache>
            </c:strRef>
          </c:tx>
          <c:spPr>
            <a:ln w="25400" cap="rnd">
              <a:noFill/>
              <a:round/>
            </a:ln>
            <a:effectLst/>
          </c:spPr>
          <c:marker>
            <c:symbol val="none"/>
          </c:marker>
          <c:dLbls>
            <c:dLbl>
              <c:idx val="0"/>
              <c:tx>
                <c:rich>
                  <a:bodyPr/>
                  <a:lstStyle/>
                  <a:p>
                    <a:fld id="{C0B44746-C8E8-462C-98F6-60F4828BC86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D3B6-4EE0-AA69-B966F2807725}"/>
                </c:ext>
              </c:extLst>
            </c:dLbl>
            <c:dLbl>
              <c:idx val="1"/>
              <c:tx>
                <c:rich>
                  <a:bodyPr/>
                  <a:lstStyle/>
                  <a:p>
                    <a:fld id="{3C3DAA4E-3337-453F-8889-DCF6501333A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D3B6-4EE0-AA69-B966F2807725}"/>
                </c:ext>
              </c:extLst>
            </c:dLbl>
            <c:dLbl>
              <c:idx val="2"/>
              <c:tx>
                <c:rich>
                  <a:bodyPr/>
                  <a:lstStyle/>
                  <a:p>
                    <a:fld id="{FF5FCCED-8983-4AA1-AF77-949384F6DC1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D3B6-4EE0-AA69-B966F2807725}"/>
                </c:ext>
              </c:extLst>
            </c:dLbl>
            <c:dLbl>
              <c:idx val="3"/>
              <c:tx>
                <c:rich>
                  <a:bodyPr/>
                  <a:lstStyle/>
                  <a:p>
                    <a:fld id="{68335B33-3A97-432C-A6AA-354EDEB639B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D3B6-4EE0-AA69-B966F2807725}"/>
                </c:ext>
              </c:extLst>
            </c:dLbl>
            <c:dLbl>
              <c:idx val="4"/>
              <c:tx>
                <c:rich>
                  <a:bodyPr/>
                  <a:lstStyle/>
                  <a:p>
                    <a:fld id="{D40A0DC4-D6CF-4514-BD60-19F2EBDDECF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D3B6-4EE0-AA69-B966F2807725}"/>
                </c:ext>
              </c:extLst>
            </c:dLbl>
            <c:dLbl>
              <c:idx val="5"/>
              <c:tx>
                <c:rich>
                  <a:bodyPr/>
                  <a:lstStyle/>
                  <a:p>
                    <a:fld id="{A62E1CBB-177B-488E-9CF8-094DD51A1CF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D3B6-4EE0-AA69-B966F2807725}"/>
                </c:ext>
              </c:extLst>
            </c:dLbl>
            <c:dLbl>
              <c:idx val="6"/>
              <c:tx>
                <c:rich>
                  <a:bodyPr/>
                  <a:lstStyle/>
                  <a:p>
                    <a:fld id="{055AC233-D585-4333-9E33-1696FE42162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D3B6-4EE0-AA69-B966F2807725}"/>
                </c:ext>
              </c:extLst>
            </c:dLbl>
            <c:dLbl>
              <c:idx val="7"/>
              <c:tx>
                <c:rich>
                  <a:bodyPr/>
                  <a:lstStyle/>
                  <a:p>
                    <a:fld id="{BEF80DF1-8F0D-4688-A718-D123C2D5E2F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D3B6-4EE0-AA69-B966F2807725}"/>
                </c:ext>
              </c:extLst>
            </c:dLbl>
            <c:dLbl>
              <c:idx val="8"/>
              <c:tx>
                <c:rich>
                  <a:bodyPr/>
                  <a:lstStyle/>
                  <a:p>
                    <a:fld id="{9704C9F1-DF6F-4CC6-8142-11FE4565130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D3B6-4EE0-AA69-B966F2807725}"/>
                </c:ext>
              </c:extLst>
            </c:dLbl>
            <c:dLbl>
              <c:idx val="9"/>
              <c:tx>
                <c:rich>
                  <a:bodyPr/>
                  <a:lstStyle/>
                  <a:p>
                    <a:fld id="{51555BDA-3B01-4CE0-902A-D207CB20FC6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D3B6-4EE0-AA69-B966F2807725}"/>
                </c:ext>
              </c:extLst>
            </c:dLbl>
            <c:dLbl>
              <c:idx val="10"/>
              <c:tx>
                <c:rich>
                  <a:bodyPr/>
                  <a:lstStyle/>
                  <a:p>
                    <a:fld id="{04B4DAD2-76F9-43F4-BD10-14406D2EBC4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D3B6-4EE0-AA69-B966F2807725}"/>
                </c:ext>
              </c:extLst>
            </c:dLbl>
            <c:dLbl>
              <c:idx val="11"/>
              <c:tx>
                <c:rich>
                  <a:bodyPr/>
                  <a:lstStyle/>
                  <a:p>
                    <a:fld id="{4F790D36-9969-4512-8FA0-4AA5971CB11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D3B6-4EE0-AA69-B966F2807725}"/>
                </c:ext>
              </c:extLst>
            </c:dLbl>
            <c:dLbl>
              <c:idx val="12"/>
              <c:tx>
                <c:rich>
                  <a:bodyPr/>
                  <a:lstStyle/>
                  <a:p>
                    <a:fld id="{CCEF7D5B-6E69-4DA2-A937-F44FC31B930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D3B6-4EE0-AA69-B966F2807725}"/>
                </c:ext>
              </c:extLst>
            </c:dLbl>
            <c:dLbl>
              <c:idx val="13"/>
              <c:tx>
                <c:rich>
                  <a:bodyPr/>
                  <a:lstStyle/>
                  <a:p>
                    <a:fld id="{01E49947-68BB-4ADD-BA59-79576711A7E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D3B6-4EE0-AA69-B966F2807725}"/>
                </c:ext>
              </c:extLst>
            </c:dLbl>
            <c:dLbl>
              <c:idx val="14"/>
              <c:tx>
                <c:rich>
                  <a:bodyPr/>
                  <a:lstStyle/>
                  <a:p>
                    <a:fld id="{399E5732-4491-4027-B6A6-4206F5B6524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D3B6-4EE0-AA69-B966F2807725}"/>
                </c:ext>
              </c:extLst>
            </c:dLbl>
            <c:dLbl>
              <c:idx val="15"/>
              <c:tx>
                <c:rich>
                  <a:bodyPr/>
                  <a:lstStyle/>
                  <a:p>
                    <a:fld id="{8E729A26-BE9F-4358-8926-85783A91EE2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D3B6-4EE0-AA69-B966F2807725}"/>
                </c:ext>
              </c:extLst>
            </c:dLbl>
            <c:dLbl>
              <c:idx val="16"/>
              <c:tx>
                <c:rich>
                  <a:bodyPr/>
                  <a:lstStyle/>
                  <a:p>
                    <a:fld id="{DB2AD8DE-CBCE-44C0-97F6-77849EFEFB2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D3B6-4EE0-AA69-B966F2807725}"/>
                </c:ext>
              </c:extLst>
            </c:dLbl>
            <c:dLbl>
              <c:idx val="17"/>
              <c:tx>
                <c:rich>
                  <a:bodyPr/>
                  <a:lstStyle/>
                  <a:p>
                    <a:fld id="{606DAB84-EF4A-4B1A-BFA5-B223DED5600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D3B6-4EE0-AA69-B966F2807725}"/>
                </c:ext>
              </c:extLst>
            </c:dLbl>
            <c:dLbl>
              <c:idx val="18"/>
              <c:tx>
                <c:rich>
                  <a:bodyPr/>
                  <a:lstStyle/>
                  <a:p>
                    <a:fld id="{B1E68036-5FA8-4EA2-870B-0944AF425D2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D3B6-4EE0-AA69-B966F2807725}"/>
                </c:ext>
              </c:extLst>
            </c:dLbl>
            <c:dLbl>
              <c:idx val="19"/>
              <c:tx>
                <c:rich>
                  <a:bodyPr/>
                  <a:lstStyle/>
                  <a:p>
                    <a:fld id="{3FF42E55-7B9E-4CBC-973D-D8D984A3278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D3B6-4EE0-AA69-B966F2807725}"/>
                </c:ext>
              </c:extLst>
            </c:dLbl>
            <c:dLbl>
              <c:idx val="20"/>
              <c:tx>
                <c:rich>
                  <a:bodyPr/>
                  <a:lstStyle/>
                  <a:p>
                    <a:fld id="{881D4A15-2A3D-4FF9-9497-51F7BFB4554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D3B6-4EE0-AA69-B966F2807725}"/>
                </c:ext>
              </c:extLst>
            </c:dLbl>
            <c:dLbl>
              <c:idx val="21"/>
              <c:tx>
                <c:rich>
                  <a:bodyPr/>
                  <a:lstStyle/>
                  <a:p>
                    <a:fld id="{D0CD7913-1C4C-4AC4-BB94-AA7AA0136D3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D3B6-4EE0-AA69-B966F2807725}"/>
                </c:ext>
              </c:extLst>
            </c:dLbl>
            <c:dLbl>
              <c:idx val="22"/>
              <c:tx>
                <c:rich>
                  <a:bodyPr/>
                  <a:lstStyle/>
                  <a:p>
                    <a:fld id="{0AB582FC-B80B-4572-9089-E86DCABF064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D3B6-4EE0-AA69-B966F2807725}"/>
                </c:ext>
              </c:extLst>
            </c:dLbl>
            <c:dLbl>
              <c:idx val="23"/>
              <c:tx>
                <c:rich>
                  <a:bodyPr/>
                  <a:lstStyle/>
                  <a:p>
                    <a:fld id="{3BE0AD0B-DF1D-4EB0-873C-5BA88E70163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D3B6-4EE0-AA69-B966F2807725}"/>
                </c:ext>
              </c:extLst>
            </c:dLbl>
            <c:dLbl>
              <c:idx val="24"/>
              <c:tx>
                <c:rich>
                  <a:bodyPr/>
                  <a:lstStyle/>
                  <a:p>
                    <a:fld id="{6E4D792F-FDA0-4EC6-9057-43DA42A5B59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D3B6-4EE0-AA69-B966F2807725}"/>
                </c:ext>
              </c:extLst>
            </c:dLbl>
            <c:dLbl>
              <c:idx val="25"/>
              <c:tx>
                <c:rich>
                  <a:bodyPr/>
                  <a:lstStyle/>
                  <a:p>
                    <a:fld id="{F533AE93-F466-4763-8A64-E149D6D3311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D3B6-4EE0-AA69-B966F2807725}"/>
                </c:ext>
              </c:extLst>
            </c:dLbl>
            <c:dLbl>
              <c:idx val="26"/>
              <c:tx>
                <c:rich>
                  <a:bodyPr/>
                  <a:lstStyle/>
                  <a:p>
                    <a:fld id="{32CF1D3C-3376-4E6B-BBB1-11B0B9AB3F9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D3B6-4EE0-AA69-B966F2807725}"/>
                </c:ext>
              </c:extLst>
            </c:dLbl>
            <c:dLbl>
              <c:idx val="27"/>
              <c:tx>
                <c:rich>
                  <a:bodyPr/>
                  <a:lstStyle/>
                  <a:p>
                    <a:fld id="{23489EB6-EB50-4790-82A5-2D7182966CB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D3B6-4EE0-AA69-B966F2807725}"/>
                </c:ext>
              </c:extLst>
            </c:dLbl>
            <c:dLbl>
              <c:idx val="28"/>
              <c:tx>
                <c:rich>
                  <a:bodyPr/>
                  <a:lstStyle/>
                  <a:p>
                    <a:fld id="{EA7A58CC-2C16-4E90-B71D-824FC879385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D3B6-4EE0-AA69-B966F2807725}"/>
                </c:ext>
              </c:extLst>
            </c:dLbl>
            <c:dLbl>
              <c:idx val="29"/>
              <c:tx>
                <c:rich>
                  <a:bodyPr/>
                  <a:lstStyle/>
                  <a:p>
                    <a:fld id="{7B28B184-B81E-4D95-8820-C2AC92A4E93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D3B6-4EE0-AA69-B966F2807725}"/>
                </c:ext>
              </c:extLst>
            </c:dLbl>
            <c:dLbl>
              <c:idx val="30"/>
              <c:tx>
                <c:rich>
                  <a:bodyPr/>
                  <a:lstStyle/>
                  <a:p>
                    <a:fld id="{53706F07-E072-4058-B3A7-A0DFE133806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D3B6-4EE0-AA69-B966F2807725}"/>
                </c:ext>
              </c:extLst>
            </c:dLbl>
            <c:dLbl>
              <c:idx val="31"/>
              <c:tx>
                <c:rich>
                  <a:bodyPr/>
                  <a:lstStyle/>
                  <a:p>
                    <a:fld id="{497570E3-5F38-429A-A5A6-2B5D4182B59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D3B6-4EE0-AA69-B966F2807725}"/>
                </c:ext>
              </c:extLst>
            </c:dLbl>
            <c:dLbl>
              <c:idx val="32"/>
              <c:tx>
                <c:rich>
                  <a:bodyPr/>
                  <a:lstStyle/>
                  <a:p>
                    <a:fld id="{28C08923-0579-4286-BAA8-2DB04929451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D3B6-4EE0-AA69-B966F2807725}"/>
                </c:ext>
              </c:extLst>
            </c:dLbl>
            <c:dLbl>
              <c:idx val="33"/>
              <c:tx>
                <c:rich>
                  <a:bodyPr/>
                  <a:lstStyle/>
                  <a:p>
                    <a:fld id="{14606CB0-289D-49F1-8F5E-7A920881C08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D3B6-4EE0-AA69-B966F2807725}"/>
                </c:ext>
              </c:extLst>
            </c:dLbl>
            <c:dLbl>
              <c:idx val="34"/>
              <c:tx>
                <c:rich>
                  <a:bodyPr/>
                  <a:lstStyle/>
                  <a:p>
                    <a:fld id="{8E9E0068-C507-4FE7-B251-E1A061A9684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D3B6-4EE0-AA69-B966F2807725}"/>
                </c:ext>
              </c:extLst>
            </c:dLbl>
            <c:dLbl>
              <c:idx val="35"/>
              <c:tx>
                <c:rich>
                  <a:bodyPr/>
                  <a:lstStyle/>
                  <a:p>
                    <a:fld id="{7EB83B25-A8E5-4D8B-9534-4901082CFD5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D3B6-4EE0-AA69-B966F2807725}"/>
                </c:ext>
              </c:extLst>
            </c:dLbl>
            <c:dLbl>
              <c:idx val="36"/>
              <c:tx>
                <c:rich>
                  <a:bodyPr/>
                  <a:lstStyle/>
                  <a:p>
                    <a:fld id="{F4284DFA-F22A-4B74-AB96-E88583C32AF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D3B6-4EE0-AA69-B966F2807725}"/>
                </c:ext>
              </c:extLst>
            </c:dLbl>
            <c:dLbl>
              <c:idx val="37"/>
              <c:tx>
                <c:rich>
                  <a:bodyPr/>
                  <a:lstStyle/>
                  <a:p>
                    <a:fld id="{E0B882D6-74AF-485B-B4F6-251D8C47430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D3B6-4EE0-AA69-B966F2807725}"/>
                </c:ext>
              </c:extLst>
            </c:dLbl>
            <c:dLbl>
              <c:idx val="38"/>
              <c:tx>
                <c:rich>
                  <a:bodyPr/>
                  <a:lstStyle/>
                  <a:p>
                    <a:fld id="{22592E96-D6F5-454A-B4E8-20D6625E681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D3B6-4EE0-AA69-B966F2807725}"/>
                </c:ext>
              </c:extLst>
            </c:dLbl>
            <c:dLbl>
              <c:idx val="39"/>
              <c:tx>
                <c:rich>
                  <a:bodyPr/>
                  <a:lstStyle/>
                  <a:p>
                    <a:fld id="{A954ADBE-363F-467E-AAF6-FCDF2077DEB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D3B6-4EE0-AA69-B966F2807725}"/>
                </c:ext>
              </c:extLst>
            </c:dLbl>
            <c:dLbl>
              <c:idx val="40"/>
              <c:tx>
                <c:rich>
                  <a:bodyPr/>
                  <a:lstStyle/>
                  <a:p>
                    <a:fld id="{BA777B8B-0DFB-44FB-9AEB-70AE888BDCB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D3B6-4EE0-AA69-B966F2807725}"/>
                </c:ext>
              </c:extLst>
            </c:dLbl>
            <c:dLbl>
              <c:idx val="41"/>
              <c:tx>
                <c:rich>
                  <a:bodyPr/>
                  <a:lstStyle/>
                  <a:p>
                    <a:fld id="{4FCDFD03-6FC5-4251-AC44-A7D30BB2911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D3B6-4EE0-AA69-B966F2807725}"/>
                </c:ext>
              </c:extLst>
            </c:dLbl>
            <c:dLbl>
              <c:idx val="42"/>
              <c:tx>
                <c:rich>
                  <a:bodyPr/>
                  <a:lstStyle/>
                  <a:p>
                    <a:fld id="{1DCEFABB-0CE6-4ECA-9A3A-DDE5A490E83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D3B6-4EE0-AA69-B966F2807725}"/>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graf'!$BB$44:$BB$86</c:f>
              <c:numCache>
                <c:formatCode>General</c:formatCode>
                <c:ptCount val="43"/>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pt idx="40">
                  <c:v>40</c:v>
                </c:pt>
                <c:pt idx="41">
                  <c:v>40</c:v>
                </c:pt>
                <c:pt idx="42">
                  <c:v>40</c:v>
                </c:pt>
              </c:numCache>
            </c:numRef>
          </c:val>
          <c:smooth val="0"/>
          <c:extLst>
            <c:ext xmlns:c15="http://schemas.microsoft.com/office/drawing/2012/chart" uri="{02D57815-91ED-43cb-92C2-25804820EDAC}">
              <c15:datalabelsRange>
                <c15:f>'Prerađivačka_FS graf'!$B$44:$B$86</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0-D3B6-4EE0-AA69-B966F2807725}"/>
            </c:ext>
          </c:extLst>
        </c:ser>
        <c:ser>
          <c:idx val="0"/>
          <c:order val="2"/>
          <c:tx>
            <c:strRef>
              <c:f>'Prerađivačka_FS graf'!$BC$7</c:f>
              <c:strCache>
                <c:ptCount val="1"/>
                <c:pt idx="0">
                  <c:v>y</c:v>
                </c:pt>
              </c:strCache>
            </c:strRef>
          </c:tx>
          <c:spPr>
            <a:ln w="12700" cap="rnd">
              <a:solidFill>
                <a:srgbClr val="92278F"/>
              </a:solidFill>
              <a:prstDash val="sysDash"/>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graf'!$BC$44:$BC$86</c:f>
              <c:numCache>
                <c:formatCode>0.0</c:formatCode>
                <c:ptCount val="43"/>
                <c:pt idx="0">
                  <c:v>73.730248927657797</c:v>
                </c:pt>
                <c:pt idx="1">
                  <c:v>80.059725782806794</c:v>
                </c:pt>
                <c:pt idx="2">
                  <c:v>74.839512993816101</c:v>
                </c:pt>
                <c:pt idx="3">
                  <c:v>49.110820512112298</c:v>
                </c:pt>
                <c:pt idx="4">
                  <c:v>70.546321911870393</c:v>
                </c:pt>
                <c:pt idx="5">
                  <c:v>84.4724809696298</c:v>
                </c:pt>
                <c:pt idx="6">
                  <c:v>90.209343079018396</c:v>
                </c:pt>
                <c:pt idx="7">
                  <c:v>76.311421078247804</c:v>
                </c:pt>
                <c:pt idx="8">
                  <c:v>106.47578980123239</c:v>
                </c:pt>
                <c:pt idx="9">
                  <c:v>108.7925099198938</c:v>
                </c:pt>
                <c:pt idx="10">
                  <c:v>92.7458516048479</c:v>
                </c:pt>
                <c:pt idx="11">
                  <c:v>90.513521494267707</c:v>
                </c:pt>
                <c:pt idx="12">
                  <c:v>82.465915967235404</c:v>
                </c:pt>
                <c:pt idx="13">
                  <c:v>95.583085076711697</c:v>
                </c:pt>
                <c:pt idx="14">
                  <c:v>110.44297203731109</c:v>
                </c:pt>
                <c:pt idx="15">
                  <c:v>106.5173805762592</c:v>
                </c:pt>
                <c:pt idx="16">
                  <c:v>97.035305866753703</c:v>
                </c:pt>
                <c:pt idx="17">
                  <c:v>106.12150639689339</c:v>
                </c:pt>
                <c:pt idx="18">
                  <c:v>97.796987639233606</c:v>
                </c:pt>
                <c:pt idx="19">
                  <c:v>82.081461226799703</c:v>
                </c:pt>
                <c:pt idx="20">
                  <c:v>102.57571702020731</c:v>
                </c:pt>
                <c:pt idx="21">
                  <c:v>106.2718538148351</c:v>
                </c:pt>
                <c:pt idx="22">
                  <c:v>99.741607751114103</c:v>
                </c:pt>
                <c:pt idx="23">
                  <c:v>90.221074219262903</c:v>
                </c:pt>
                <c:pt idx="24">
                  <c:v>76.683631822090305</c:v>
                </c:pt>
                <c:pt idx="25">
                  <c:v>92.4307404139997</c:v>
                </c:pt>
                <c:pt idx="26">
                  <c:v>109.7201739377887</c:v>
                </c:pt>
                <c:pt idx="27">
                  <c:v>93.279780183531301</c:v>
                </c:pt>
                <c:pt idx="28">
                  <c:v>98.095740998146198</c:v>
                </c:pt>
                <c:pt idx="29">
                  <c:v>108.37487537387838</c:v>
                </c:pt>
                <c:pt idx="30">
                  <c:v>98.146128680479819</c:v>
                </c:pt>
                <c:pt idx="31">
                  <c:v>92.457577342862507</c:v>
                </c:pt>
                <c:pt idx="32">
                  <c:v>112.4109610616687</c:v>
                </c:pt>
                <c:pt idx="33">
                  <c:v>118.465554069321</c:v>
                </c:pt>
                <c:pt idx="34">
                  <c:v>108.5153536403531</c:v>
                </c:pt>
                <c:pt idx="35">
                  <c:v>91.452068808647994</c:v>
                </c:pt>
                <c:pt idx="36">
                  <c:v>83.952060692499998</c:v>
                </c:pt>
                <c:pt idx="37">
                  <c:v>97.799416242095205</c:v>
                </c:pt>
                <c:pt idx="38">
                  <c:v>115.48756784689721</c:v>
                </c:pt>
                <c:pt idx="39">
                  <c:v>94.844869651217806</c:v>
                </c:pt>
                <c:pt idx="40">
                  <c:v>105.4</c:v>
                </c:pt>
                <c:pt idx="41">
                  <c:v>108.8</c:v>
                </c:pt>
                <c:pt idx="42">
                  <c:v>90</c:v>
                </c:pt>
              </c:numCache>
            </c:numRef>
          </c:val>
          <c:smooth val="0"/>
          <c:extLst>
            <c:ext xmlns:c16="http://schemas.microsoft.com/office/drawing/2014/chart" uri="{C3380CC4-5D6E-409C-BE32-E72D297353CC}">
              <c16:uniqueId val="{00000031-D3B6-4EE0-AA69-B966F2807725}"/>
            </c:ext>
          </c:extLst>
        </c:ser>
        <c:ser>
          <c:idx val="1"/>
          <c:order val="3"/>
          <c:tx>
            <c:strRef>
              <c:f>'Prerađivačka_FS graf'!$BD$7</c:f>
              <c:strCache>
                <c:ptCount val="1"/>
                <c:pt idx="0">
                  <c:v>sa</c:v>
                </c:pt>
              </c:strCache>
            </c:strRef>
          </c:tx>
          <c:spPr>
            <a:ln w="22225" cap="rnd">
              <a:solidFill>
                <a:srgbClr val="25AAE1"/>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graf'!$BD$44:$BD$86</c:f>
              <c:numCache>
                <c:formatCode>0.0</c:formatCode>
                <c:ptCount val="43"/>
                <c:pt idx="0">
                  <c:v>92.085935505733843</c:v>
                </c:pt>
                <c:pt idx="1">
                  <c:v>83.819854970786807</c:v>
                </c:pt>
                <c:pt idx="2">
                  <c:v>71.311732142192398</c:v>
                </c:pt>
                <c:pt idx="3">
                  <c:v>50.366260200281836</c:v>
                </c:pt>
                <c:pt idx="4">
                  <c:v>70.047609002921277</c:v>
                </c:pt>
                <c:pt idx="5">
                  <c:v>77.332271931069698</c:v>
                </c:pt>
                <c:pt idx="6">
                  <c:v>86.01838697498917</c:v>
                </c:pt>
                <c:pt idx="7">
                  <c:v>87.082816318281303</c:v>
                </c:pt>
                <c:pt idx="8">
                  <c:v>95.605438714306516</c:v>
                </c:pt>
                <c:pt idx="9">
                  <c:v>94.806173469604431</c:v>
                </c:pt>
                <c:pt idx="10">
                  <c:v>89.089661921670427</c:v>
                </c:pt>
                <c:pt idx="11">
                  <c:v>98.003541410366495</c:v>
                </c:pt>
                <c:pt idx="12">
                  <c:v>103.96817410401981</c:v>
                </c:pt>
                <c:pt idx="13">
                  <c:v>101.49858693156168</c:v>
                </c:pt>
                <c:pt idx="14">
                  <c:v>101.64107010360969</c:v>
                </c:pt>
                <c:pt idx="15">
                  <c:v>106.8355637937847</c:v>
                </c:pt>
                <c:pt idx="16">
                  <c:v>96.707095789593026</c:v>
                </c:pt>
                <c:pt idx="17">
                  <c:v>98.110197144897853</c:v>
                </c:pt>
                <c:pt idx="18">
                  <c:v>96.090779153840614</c:v>
                </c:pt>
                <c:pt idx="19">
                  <c:v>92.789235599290606</c:v>
                </c:pt>
                <c:pt idx="20">
                  <c:v>92.414040071601988</c:v>
                </c:pt>
                <c:pt idx="21">
                  <c:v>93.907825682937158</c:v>
                </c:pt>
                <c:pt idx="22">
                  <c:v>94.335854811871585</c:v>
                </c:pt>
                <c:pt idx="23">
                  <c:v>97.635605845915165</c:v>
                </c:pt>
                <c:pt idx="24">
                  <c:v>93.712770560588524</c:v>
                </c:pt>
                <c:pt idx="25">
                  <c:v>97.134562025480193</c:v>
                </c:pt>
                <c:pt idx="26">
                  <c:v>99.719647405530537</c:v>
                </c:pt>
                <c:pt idx="27">
                  <c:v>96.764336407285484</c:v>
                </c:pt>
                <c:pt idx="28">
                  <c:v>96.591263684714548</c:v>
                </c:pt>
                <c:pt idx="29">
                  <c:v>100.43689996090602</c:v>
                </c:pt>
                <c:pt idx="30">
                  <c:v>99.219373022166778</c:v>
                </c:pt>
                <c:pt idx="31">
                  <c:v>102.96889837116537</c:v>
                </c:pt>
                <c:pt idx="32">
                  <c:v>101.62880596056401</c:v>
                </c:pt>
                <c:pt idx="33">
                  <c:v>104.50619864954984</c:v>
                </c:pt>
                <c:pt idx="34">
                  <c:v>102.95917294977681</c:v>
                </c:pt>
                <c:pt idx="35">
                  <c:v>100.72033105646436</c:v>
                </c:pt>
                <c:pt idx="36">
                  <c:v>100.66190362224741</c:v>
                </c:pt>
                <c:pt idx="37">
                  <c:v>102.38471262431729</c:v>
                </c:pt>
                <c:pt idx="38">
                  <c:v>103.86194844305642</c:v>
                </c:pt>
                <c:pt idx="39">
                  <c:v>100.11686986077909</c:v>
                </c:pt>
                <c:pt idx="40">
                  <c:v>104.70128551388444</c:v>
                </c:pt>
                <c:pt idx="41">
                  <c:v>100.6918767931714</c:v>
                </c:pt>
                <c:pt idx="42">
                  <c:v>91.831995059651732</c:v>
                </c:pt>
              </c:numCache>
            </c:numRef>
          </c:val>
          <c:smooth val="0"/>
          <c:extLst>
            <c:ext xmlns:c16="http://schemas.microsoft.com/office/drawing/2014/chart" uri="{C3380CC4-5D6E-409C-BE32-E72D297353CC}">
              <c16:uniqueId val="{00000032-D3B6-4EE0-AA69-B966F2807725}"/>
            </c:ext>
          </c:extLst>
        </c:ser>
        <c:ser>
          <c:idx val="2"/>
          <c:order val="4"/>
          <c:tx>
            <c:strRef>
              <c:f>'Prerađivačka_FS graf'!$BE$7</c:f>
              <c:strCache>
                <c:ptCount val="1"/>
                <c:pt idx="0">
                  <c:v>t</c:v>
                </c:pt>
              </c:strCache>
            </c:strRef>
          </c:tx>
          <c:spPr>
            <a:ln w="25400" cap="rnd">
              <a:solidFill>
                <a:srgbClr val="FF0000"/>
              </a:solidFill>
              <a:round/>
            </a:ln>
            <a:effectLst/>
          </c:spPr>
          <c:marker>
            <c:symbol val="none"/>
          </c:marker>
          <c:cat>
            <c:numRef>
              <c:f>'Prerađivačka_FS graf'!$C$44:$C$86</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'Prerađivačka_FS graf'!$BE$44:$BE$86</c:f>
              <c:numCache>
                <c:formatCode>0.0</c:formatCode>
                <c:ptCount val="43"/>
                <c:pt idx="0">
                  <c:v>79.526581995781186</c:v>
                </c:pt>
                <c:pt idx="1">
                  <c:v>79.485336040075822</c:v>
                </c:pt>
                <c:pt idx="2">
                  <c:v>79.068049456652162</c:v>
                </c:pt>
                <c:pt idx="3">
                  <c:v>78.924358847544767</c:v>
                </c:pt>
                <c:pt idx="4">
                  <c:v>79.714515262035675</c:v>
                </c:pt>
                <c:pt idx="5">
                  <c:v>81.658633410710166</c:v>
                </c:pt>
                <c:pt idx="6">
                  <c:v>84.457059238249741</c:v>
                </c:pt>
                <c:pt idx="7">
                  <c:v>87.833053986999033</c:v>
                </c:pt>
                <c:pt idx="8">
                  <c:v>91.289555886074211</c:v>
                </c:pt>
                <c:pt idx="9">
                  <c:v>94.307134950860572</c:v>
                </c:pt>
                <c:pt idx="10">
                  <c:v>96.9667484819674</c:v>
                </c:pt>
                <c:pt idx="11">
                  <c:v>99.233572877270461</c:v>
                </c:pt>
                <c:pt idx="12">
                  <c:v>101.02560233555259</c:v>
                </c:pt>
                <c:pt idx="13">
                  <c:v>102.21772514175932</c:v>
                </c:pt>
                <c:pt idx="14">
                  <c:v>102.48310555455255</c:v>
                </c:pt>
                <c:pt idx="15">
                  <c:v>101.67624481984485</c:v>
                </c:pt>
                <c:pt idx="16">
                  <c:v>99.874936432926859</c:v>
                </c:pt>
                <c:pt idx="17">
                  <c:v>97.595016712359026</c:v>
                </c:pt>
                <c:pt idx="18">
                  <c:v>95.583522979792392</c:v>
                </c:pt>
                <c:pt idx="19">
                  <c:v>94.198263185672346</c:v>
                </c:pt>
                <c:pt idx="20">
                  <c:v>93.51925986768569</c:v>
                </c:pt>
                <c:pt idx="21">
                  <c:v>93.66113564899338</c:v>
                </c:pt>
                <c:pt idx="22">
                  <c:v>94.396005315294232</c:v>
                </c:pt>
                <c:pt idx="23">
                  <c:v>95.267669522918254</c:v>
                </c:pt>
                <c:pt idx="24">
                  <c:v>96.162396441132216</c:v>
                </c:pt>
                <c:pt idx="25">
                  <c:v>96.800256925422673</c:v>
                </c:pt>
                <c:pt idx="26">
                  <c:v>97.272306622047495</c:v>
                </c:pt>
                <c:pt idx="27">
                  <c:v>97.754929240702324</c:v>
                </c:pt>
                <c:pt idx="28">
                  <c:v>98.424926147339036</c:v>
                </c:pt>
                <c:pt idx="29">
                  <c:v>99.380494076589159</c:v>
                </c:pt>
                <c:pt idx="30">
                  <c:v>100.53213788304626</c:v>
                </c:pt>
                <c:pt idx="31">
                  <c:v>101.59212680322722</c:v>
                </c:pt>
                <c:pt idx="32">
                  <c:v>102.34441395032482</c:v>
                </c:pt>
                <c:pt idx="33">
                  <c:v>102.64869426420178</c:v>
                </c:pt>
                <c:pt idx="34">
                  <c:v>102.478335783612</c:v>
                </c:pt>
                <c:pt idx="35">
                  <c:v>102.19298434661869</c:v>
                </c:pt>
                <c:pt idx="36">
                  <c:v>102.03287394615653</c:v>
                </c:pt>
                <c:pt idx="37">
                  <c:v>102.0263845598934</c:v>
                </c:pt>
                <c:pt idx="38">
                  <c:v>102.16296796412047</c:v>
                </c:pt>
                <c:pt idx="39">
                  <c:v>102.2492123564643</c:v>
                </c:pt>
                <c:pt idx="40">
                  <c:v>102.13107027682459</c:v>
                </c:pt>
                <c:pt idx="41">
                  <c:v>101.70170985545624</c:v>
                </c:pt>
                <c:pt idx="42">
                  <c:v>101.08049926954946</c:v>
                </c:pt>
              </c:numCache>
            </c:numRef>
          </c:val>
          <c:smooth val="0"/>
          <c:extLst>
            <c:ext xmlns:c16="http://schemas.microsoft.com/office/drawing/2014/chart" uri="{C3380CC4-5D6E-409C-BE32-E72D297353CC}">
              <c16:uniqueId val="{00000033-D3B6-4EE0-AA69-B966F2807725}"/>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649424030329543"/>
          <c:y val="8.7437669376693755E-2"/>
          <c:w val="0.82463728492271804"/>
          <c:h val="0.59909823848238486"/>
        </c:manualLayout>
      </c:layout>
      <c:barChart>
        <c:barDir val="col"/>
        <c:grouping val="clustered"/>
        <c:varyColors val="0"/>
        <c:ser>
          <c:idx val="1"/>
          <c:order val="1"/>
          <c:tx>
            <c:strRef>
              <c:f>'BDV usluga_dsz'!$G$11</c:f>
              <c:strCache>
                <c:ptCount val="1"/>
                <c:pt idx="0">
                  <c:v>Укупно</c:v>
                </c:pt>
              </c:strCache>
            </c:strRef>
          </c:tx>
          <c:spPr>
            <a:solidFill>
              <a:srgbClr val="002010"/>
            </a:solidFill>
            <a:ln w="19050">
              <a:noFill/>
            </a:ln>
            <a:effectLst/>
          </c:spPr>
          <c:invertIfNegative val="0"/>
          <c:cat>
            <c:strRef>
              <c:f>'BDV usluga_dsz'!$D$13:$D$28</c:f>
              <c:strCache>
                <c:ptCount val="15"/>
                <c:pt idx="1">
                  <c:v>2021 Q1</c:v>
                </c:pt>
                <c:pt idx="2">
                  <c:v>Q2</c:v>
                </c:pt>
                <c:pt idx="3">
                  <c:v>Q3</c:v>
                </c:pt>
                <c:pt idx="4">
                  <c:v>Q4</c:v>
                </c:pt>
                <c:pt idx="5">
                  <c:v>2022 Q1</c:v>
                </c:pt>
                <c:pt idx="6">
                  <c:v>Q2</c:v>
                </c:pt>
                <c:pt idx="7">
                  <c:v>Q3</c:v>
                </c:pt>
                <c:pt idx="8">
                  <c:v>Q4</c:v>
                </c:pt>
                <c:pt idx="9">
                  <c:v>2023 Q1</c:v>
                </c:pt>
                <c:pt idx="10">
                  <c:v>Q2</c:v>
                </c:pt>
                <c:pt idx="12">
                  <c:v>Укупно</c:v>
                </c:pt>
                <c:pt idx="13">
                  <c:v>Зграде</c:v>
                </c:pt>
                <c:pt idx="14">
                  <c:v>Ост. грађ.</c:v>
                </c:pt>
              </c:strCache>
            </c:strRef>
          </c:cat>
          <c:val>
            <c:numRef>
              <c:f>'BDV usluga_dsz'!$G$13:$G$28</c:f>
              <c:numCache>
                <c:formatCode>0.0</c:formatCode>
                <c:ptCount val="16"/>
                <c:pt idx="1">
                  <c:v>79.7</c:v>
                </c:pt>
                <c:pt idx="2">
                  <c:v>96.1</c:v>
                </c:pt>
                <c:pt idx="3">
                  <c:v>113.5</c:v>
                </c:pt>
                <c:pt idx="4">
                  <c:v>143.9</c:v>
                </c:pt>
                <c:pt idx="5">
                  <c:v>73.3</c:v>
                </c:pt>
                <c:pt idx="6">
                  <c:v>92</c:v>
                </c:pt>
                <c:pt idx="7">
                  <c:v>103.9</c:v>
                </c:pt>
                <c:pt idx="8">
                  <c:v>128.30000000000001</c:v>
                </c:pt>
                <c:pt idx="9">
                  <c:v>73</c:v>
                </c:pt>
                <c:pt idx="10">
                  <c:v>108.5</c:v>
                </c:pt>
              </c:numCache>
            </c:numRef>
          </c:val>
          <c:extLst>
            <c:ext xmlns:c16="http://schemas.microsoft.com/office/drawing/2014/chart" uri="{C3380CC4-5D6E-409C-BE32-E72D297353CC}">
              <c16:uniqueId val="{00000000-4B6C-45F6-930F-E7CAFF79C14C}"/>
            </c:ext>
          </c:extLst>
        </c:ser>
        <c:ser>
          <c:idx val="2"/>
          <c:order val="2"/>
          <c:tx>
            <c:strRef>
              <c:f>'BDV usluga_dsz'!$H$11</c:f>
              <c:strCache>
                <c:ptCount val="1"/>
                <c:pt idx="0">
                  <c:v>Зграде</c:v>
                </c:pt>
              </c:strCache>
            </c:strRef>
          </c:tx>
          <c:spPr>
            <a:solidFill>
              <a:srgbClr val="EC008C"/>
            </a:solidFill>
            <a:ln w="19050">
              <a:noFill/>
            </a:ln>
            <a:effectLst/>
          </c:spPr>
          <c:invertIfNegative val="0"/>
          <c:cat>
            <c:strRef>
              <c:f>'BDV usluga_dsz'!$D$13:$D$28</c:f>
              <c:strCache>
                <c:ptCount val="15"/>
                <c:pt idx="1">
                  <c:v>2021 Q1</c:v>
                </c:pt>
                <c:pt idx="2">
                  <c:v>Q2</c:v>
                </c:pt>
                <c:pt idx="3">
                  <c:v>Q3</c:v>
                </c:pt>
                <c:pt idx="4">
                  <c:v>Q4</c:v>
                </c:pt>
                <c:pt idx="5">
                  <c:v>2022 Q1</c:v>
                </c:pt>
                <c:pt idx="6">
                  <c:v>Q2</c:v>
                </c:pt>
                <c:pt idx="7">
                  <c:v>Q3</c:v>
                </c:pt>
                <c:pt idx="8">
                  <c:v>Q4</c:v>
                </c:pt>
                <c:pt idx="9">
                  <c:v>2023 Q1</c:v>
                </c:pt>
                <c:pt idx="10">
                  <c:v>Q2</c:v>
                </c:pt>
                <c:pt idx="12">
                  <c:v>Укупно</c:v>
                </c:pt>
                <c:pt idx="13">
                  <c:v>Зграде</c:v>
                </c:pt>
                <c:pt idx="14">
                  <c:v>Ост. грађ.</c:v>
                </c:pt>
              </c:strCache>
            </c:strRef>
          </c:cat>
          <c:val>
            <c:numRef>
              <c:f>'BDV usluga_dsz'!$H$13:$H$28</c:f>
              <c:numCache>
                <c:formatCode>0.0</c:formatCode>
                <c:ptCount val="16"/>
                <c:pt idx="1">
                  <c:v>88.2</c:v>
                </c:pt>
                <c:pt idx="2">
                  <c:v>100.7</c:v>
                </c:pt>
                <c:pt idx="3">
                  <c:v>112.6</c:v>
                </c:pt>
                <c:pt idx="4">
                  <c:v>146.1</c:v>
                </c:pt>
                <c:pt idx="5">
                  <c:v>80.8</c:v>
                </c:pt>
                <c:pt idx="6">
                  <c:v>92.4</c:v>
                </c:pt>
                <c:pt idx="7">
                  <c:v>94.9</c:v>
                </c:pt>
                <c:pt idx="8">
                  <c:v>130</c:v>
                </c:pt>
                <c:pt idx="9">
                  <c:v>63.6</c:v>
                </c:pt>
                <c:pt idx="10">
                  <c:v>104.4</c:v>
                </c:pt>
              </c:numCache>
            </c:numRef>
          </c:val>
          <c:extLst>
            <c:ext xmlns:c16="http://schemas.microsoft.com/office/drawing/2014/chart" uri="{C3380CC4-5D6E-409C-BE32-E72D297353CC}">
              <c16:uniqueId val="{00000001-4B6C-45F6-930F-E7CAFF79C14C}"/>
            </c:ext>
          </c:extLst>
        </c:ser>
        <c:ser>
          <c:idx val="5"/>
          <c:order val="3"/>
          <c:tx>
            <c:strRef>
              <c:f>'BDV usluga_dsz'!$I$11</c:f>
              <c:strCache>
                <c:ptCount val="1"/>
                <c:pt idx="0">
                  <c:v>Остале грађевине</c:v>
                </c:pt>
              </c:strCache>
            </c:strRef>
          </c:tx>
          <c:spPr>
            <a:solidFill>
              <a:srgbClr val="00A651"/>
            </a:solidFill>
            <a:ln w="22225">
              <a:noFill/>
            </a:ln>
            <a:effectLst/>
          </c:spPr>
          <c:invertIfNegative val="0"/>
          <c:cat>
            <c:strRef>
              <c:f>'BDV usluga_dsz'!$D$13:$D$28</c:f>
              <c:strCache>
                <c:ptCount val="15"/>
                <c:pt idx="1">
                  <c:v>2021 Q1</c:v>
                </c:pt>
                <c:pt idx="2">
                  <c:v>Q2</c:v>
                </c:pt>
                <c:pt idx="3">
                  <c:v>Q3</c:v>
                </c:pt>
                <c:pt idx="4">
                  <c:v>Q4</c:v>
                </c:pt>
                <c:pt idx="5">
                  <c:v>2022 Q1</c:v>
                </c:pt>
                <c:pt idx="6">
                  <c:v>Q2</c:v>
                </c:pt>
                <c:pt idx="7">
                  <c:v>Q3</c:v>
                </c:pt>
                <c:pt idx="8">
                  <c:v>Q4</c:v>
                </c:pt>
                <c:pt idx="9">
                  <c:v>2023 Q1</c:v>
                </c:pt>
                <c:pt idx="10">
                  <c:v>Q2</c:v>
                </c:pt>
                <c:pt idx="12">
                  <c:v>Укупно</c:v>
                </c:pt>
                <c:pt idx="13">
                  <c:v>Зграде</c:v>
                </c:pt>
                <c:pt idx="14">
                  <c:v>Ост. грађ.</c:v>
                </c:pt>
              </c:strCache>
            </c:strRef>
          </c:cat>
          <c:val>
            <c:numRef>
              <c:f>'BDV usluga_dsz'!$I$13:$I$28</c:f>
              <c:numCache>
                <c:formatCode>0.0</c:formatCode>
                <c:ptCount val="16"/>
                <c:pt idx="1">
                  <c:v>74.400000000000006</c:v>
                </c:pt>
                <c:pt idx="2">
                  <c:v>93.3</c:v>
                </c:pt>
                <c:pt idx="3">
                  <c:v>114</c:v>
                </c:pt>
                <c:pt idx="4">
                  <c:v>142.6</c:v>
                </c:pt>
                <c:pt idx="5">
                  <c:v>68.900000000000006</c:v>
                </c:pt>
                <c:pt idx="6">
                  <c:v>91.7</c:v>
                </c:pt>
                <c:pt idx="7">
                  <c:v>109.2</c:v>
                </c:pt>
                <c:pt idx="8">
                  <c:v>127.2</c:v>
                </c:pt>
                <c:pt idx="9">
                  <c:v>78.599999999999994</c:v>
                </c:pt>
                <c:pt idx="10">
                  <c:v>110.9</c:v>
                </c:pt>
              </c:numCache>
            </c:numRef>
          </c:val>
          <c:extLst>
            <c:ext xmlns:c16="http://schemas.microsoft.com/office/drawing/2014/chart" uri="{C3380CC4-5D6E-409C-BE32-E72D297353CC}">
              <c16:uniqueId val="{00000002-4B6C-45F6-930F-E7CAFF79C14C}"/>
            </c:ext>
          </c:extLst>
        </c:ser>
        <c:dLbls>
          <c:showLegendKey val="0"/>
          <c:showVal val="0"/>
          <c:showCatName val="0"/>
          <c:showSerName val="0"/>
          <c:showPercent val="0"/>
          <c:showBubbleSize val="0"/>
        </c:dLbls>
        <c:gapWidth val="80"/>
        <c:axId val="429350464"/>
        <c:axId val="429347552"/>
      </c:barChart>
      <c:barChart>
        <c:barDir val="col"/>
        <c:grouping val="clustered"/>
        <c:varyColors val="0"/>
        <c:ser>
          <c:idx val="3"/>
          <c:order val="4"/>
          <c:tx>
            <c:strRef>
              <c:f>'BDV usluga_dsz'!$J$11</c:f>
              <c:strCache>
                <c:ptCount val="1"/>
                <c:pt idx="0">
                  <c:v>Q1–Q2 2023/Q1–Q2 2022 (десна скала)</c:v>
                </c:pt>
              </c:strCache>
            </c:strRef>
          </c:tx>
          <c:spPr>
            <a:solidFill>
              <a:schemeClr val="accent4"/>
            </a:solidFill>
            <a:ln>
              <a:noFill/>
            </a:ln>
            <a:effectLst/>
          </c:spPr>
          <c:invertIfNegative val="0"/>
          <c:dPt>
            <c:idx val="12"/>
            <c:invertIfNegative val="0"/>
            <c:bubble3D val="0"/>
            <c:spPr>
              <a:solidFill>
                <a:srgbClr val="002010"/>
              </a:solidFill>
              <a:ln>
                <a:noFill/>
              </a:ln>
              <a:effectLst/>
            </c:spPr>
            <c:extLst>
              <c:ext xmlns:c16="http://schemas.microsoft.com/office/drawing/2014/chart" uri="{C3380CC4-5D6E-409C-BE32-E72D297353CC}">
                <c16:uniqueId val="{00000004-4B6C-45F6-930F-E7CAFF79C14C}"/>
              </c:ext>
            </c:extLst>
          </c:dPt>
          <c:dPt>
            <c:idx val="13"/>
            <c:invertIfNegative val="0"/>
            <c:bubble3D val="0"/>
            <c:spPr>
              <a:solidFill>
                <a:srgbClr val="EC008C"/>
              </a:solidFill>
              <a:ln>
                <a:noFill/>
              </a:ln>
              <a:effectLst/>
            </c:spPr>
            <c:extLst>
              <c:ext xmlns:c16="http://schemas.microsoft.com/office/drawing/2014/chart" uri="{C3380CC4-5D6E-409C-BE32-E72D297353CC}">
                <c16:uniqueId val="{00000006-4B6C-45F6-930F-E7CAFF79C14C}"/>
              </c:ext>
            </c:extLst>
          </c:dPt>
          <c:dPt>
            <c:idx val="14"/>
            <c:invertIfNegative val="0"/>
            <c:bubble3D val="0"/>
            <c:spPr>
              <a:solidFill>
                <a:srgbClr val="00A651"/>
              </a:solidFill>
              <a:ln>
                <a:noFill/>
              </a:ln>
              <a:effectLst/>
            </c:spPr>
            <c:extLst>
              <c:ext xmlns:c16="http://schemas.microsoft.com/office/drawing/2014/chart" uri="{C3380CC4-5D6E-409C-BE32-E72D297353CC}">
                <c16:uniqueId val="{00000008-4B6C-45F6-930F-E7CAFF79C14C}"/>
              </c:ext>
            </c:extLst>
          </c:dPt>
          <c:dLbls>
            <c:dLbl>
              <c:idx val="12"/>
              <c:spPr>
                <a:noFill/>
                <a:ln>
                  <a:noFill/>
                </a:ln>
                <a:effectLst/>
              </c:spPr>
              <c:txPr>
                <a:bodyPr rot="0" spcFirstLastPara="1" vertOverflow="ellipsis" vert="horz" wrap="square" anchor="ctr" anchorCtr="1"/>
                <a:lstStyle/>
                <a:p>
                  <a:pPr>
                    <a:defRPr sz="700" b="0" i="0" u="none" strike="noStrike" kern="1200" baseline="0">
                      <a:solidFill>
                        <a:srgbClr val="002010"/>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4-4B6C-45F6-930F-E7CAFF79C14C}"/>
                </c:ext>
              </c:extLst>
            </c:dLbl>
            <c:dLbl>
              <c:idx val="13"/>
              <c:spPr>
                <a:noFill/>
                <a:ln>
                  <a:noFill/>
                </a:ln>
                <a:effectLst/>
              </c:spPr>
              <c:txPr>
                <a:bodyPr rot="0" spcFirstLastPara="1" vertOverflow="ellipsis" vert="horz" wrap="square" anchor="ctr" anchorCtr="1"/>
                <a:lstStyle/>
                <a:p>
                  <a:pPr>
                    <a:defRPr sz="700" b="0" i="0" u="none" strike="noStrike" kern="1200" baseline="0">
                      <a:solidFill>
                        <a:srgbClr val="EC008C"/>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6-4B6C-45F6-930F-E7CAFF79C14C}"/>
                </c:ext>
              </c:extLst>
            </c:dLbl>
            <c:dLbl>
              <c:idx val="14"/>
              <c:layout>
                <c:manualLayout>
                  <c:x val="0"/>
                  <c:y val="1.7208672086720868E-2"/>
                </c:manualLayout>
              </c:layout>
              <c:spPr>
                <a:noFill/>
                <a:ln>
                  <a:noFill/>
                </a:ln>
                <a:effectLst/>
              </c:spPr>
              <c:txPr>
                <a:bodyPr rot="0" spcFirstLastPara="1" vertOverflow="ellipsis" vert="horz" wrap="square" anchor="ctr" anchorCtr="1"/>
                <a:lstStyle/>
                <a:p>
                  <a:pPr>
                    <a:defRPr sz="700" b="0" i="0" u="none" strike="noStrike" kern="1200" baseline="0">
                      <a:solidFill>
                        <a:srgbClr val="00A651"/>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B6C-45F6-930F-E7CAFF79C14C}"/>
                </c:ext>
              </c:extLst>
            </c:dLbl>
            <c:spPr>
              <a:noFill/>
              <a:ln>
                <a:noFill/>
              </a:ln>
              <a:effectLst/>
            </c:spPr>
            <c:txPr>
              <a:bodyPr rot="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'BDV usluga_dsz'!$D$13:$D$28</c:f>
              <c:strCache>
                <c:ptCount val="15"/>
                <c:pt idx="1">
                  <c:v>2021 Q1</c:v>
                </c:pt>
                <c:pt idx="2">
                  <c:v>Q2</c:v>
                </c:pt>
                <c:pt idx="3">
                  <c:v>Q3</c:v>
                </c:pt>
                <c:pt idx="4">
                  <c:v>Q4</c:v>
                </c:pt>
                <c:pt idx="5">
                  <c:v>2022 Q1</c:v>
                </c:pt>
                <c:pt idx="6">
                  <c:v>Q2</c:v>
                </c:pt>
                <c:pt idx="7">
                  <c:v>Q3</c:v>
                </c:pt>
                <c:pt idx="8">
                  <c:v>Q4</c:v>
                </c:pt>
                <c:pt idx="9">
                  <c:v>2023 Q1</c:v>
                </c:pt>
                <c:pt idx="10">
                  <c:v>Q2</c:v>
                </c:pt>
                <c:pt idx="12">
                  <c:v>Укупно</c:v>
                </c:pt>
                <c:pt idx="13">
                  <c:v>Зграде</c:v>
                </c:pt>
                <c:pt idx="14">
                  <c:v>Ост. грађ.</c:v>
                </c:pt>
              </c:strCache>
            </c:strRef>
          </c:cat>
          <c:val>
            <c:numRef>
              <c:f>'BDV usluga_dsz'!$J$13:$J$28</c:f>
              <c:numCache>
                <c:formatCode>General</c:formatCode>
                <c:ptCount val="16"/>
                <c:pt idx="12" formatCode="0.0">
                  <c:v>109.4</c:v>
                </c:pt>
                <c:pt idx="13" formatCode="0.0">
                  <c:v>96.8</c:v>
                </c:pt>
                <c:pt idx="14" formatCode="0.0">
                  <c:v>117.4</c:v>
                </c:pt>
              </c:numCache>
            </c:numRef>
          </c:val>
          <c:extLst>
            <c:ext xmlns:c16="http://schemas.microsoft.com/office/drawing/2014/chart" uri="{C3380CC4-5D6E-409C-BE32-E72D297353CC}">
              <c16:uniqueId val="{00000009-4B6C-45F6-930F-E7CAFF79C14C}"/>
            </c:ext>
          </c:extLst>
        </c:ser>
        <c:dLbls>
          <c:showLegendKey val="0"/>
          <c:showVal val="0"/>
          <c:showCatName val="0"/>
          <c:showSerName val="0"/>
          <c:showPercent val="0"/>
          <c:showBubbleSize val="0"/>
        </c:dLbls>
        <c:gapWidth val="30"/>
        <c:axId val="1942004127"/>
        <c:axId val="1941994975"/>
      </c:barChart>
      <c:lineChart>
        <c:grouping val="standard"/>
        <c:varyColors val="0"/>
        <c:ser>
          <c:idx val="0"/>
          <c:order val="0"/>
          <c:tx>
            <c:strRef>
              <c:f>'BDV usluga_dsz'!$F$11</c:f>
              <c:strCache>
                <c:ptCount val="1"/>
                <c:pt idx="0">
                  <c:v>100</c:v>
                </c:pt>
              </c:strCache>
            </c:strRef>
          </c:tx>
          <c:spPr>
            <a:ln w="6350" cap="rnd">
              <a:solidFill>
                <a:sysClr val="windowText" lastClr="000000"/>
              </a:solidFill>
              <a:round/>
            </a:ln>
            <a:effectLst/>
          </c:spPr>
          <c:marker>
            <c:symbol val="none"/>
          </c:marker>
          <c:cat>
            <c:strRef>
              <c:f>'BDV usluga_dsz'!$D$13:$D$28</c:f>
              <c:strCache>
                <c:ptCount val="15"/>
                <c:pt idx="1">
                  <c:v>2021 Q1</c:v>
                </c:pt>
                <c:pt idx="2">
                  <c:v>Q2</c:v>
                </c:pt>
                <c:pt idx="3">
                  <c:v>Q3</c:v>
                </c:pt>
                <c:pt idx="4">
                  <c:v>Q4</c:v>
                </c:pt>
                <c:pt idx="5">
                  <c:v>2022 Q1</c:v>
                </c:pt>
                <c:pt idx="6">
                  <c:v>Q2</c:v>
                </c:pt>
                <c:pt idx="7">
                  <c:v>Q3</c:v>
                </c:pt>
                <c:pt idx="8">
                  <c:v>Q4</c:v>
                </c:pt>
                <c:pt idx="9">
                  <c:v>2023 Q1</c:v>
                </c:pt>
                <c:pt idx="10">
                  <c:v>Q2</c:v>
                </c:pt>
                <c:pt idx="12">
                  <c:v>Укупно</c:v>
                </c:pt>
                <c:pt idx="13">
                  <c:v>Зграде</c:v>
                </c:pt>
                <c:pt idx="14">
                  <c:v>Ост. грађ.</c:v>
                </c:pt>
              </c:strCache>
            </c:strRef>
          </c:cat>
          <c:val>
            <c:numRef>
              <c:f>'BDV usluga_dsz'!$F$13:$F$28</c:f>
              <c:numCache>
                <c:formatCode>0</c:formatCode>
                <c:ptCount val="16"/>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100</c:v>
                </c:pt>
              </c:numCache>
            </c:numRef>
          </c:val>
          <c:smooth val="0"/>
          <c:extLst>
            <c:ext xmlns:c16="http://schemas.microsoft.com/office/drawing/2014/chart" uri="{C3380CC4-5D6E-409C-BE32-E72D297353CC}">
              <c16:uniqueId val="{0000000A-4B6C-45F6-930F-E7CAFF79C14C}"/>
            </c:ext>
          </c:extLst>
        </c:ser>
        <c:dLbls>
          <c:showLegendKey val="0"/>
          <c:showVal val="0"/>
          <c:showCatName val="0"/>
          <c:showSerName val="0"/>
          <c:showPercent val="0"/>
          <c:showBubbleSize val="0"/>
        </c:dLbls>
        <c:marker val="1"/>
        <c:smooth val="0"/>
        <c:axId val="429350464"/>
        <c:axId val="429347552"/>
      </c:lineChart>
      <c:catAx>
        <c:axId val="42935046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5400000" spcFirstLastPara="1" vertOverflow="ellipsis" wrap="square" anchor="ctr" anchorCtr="1"/>
          <a:lstStyle/>
          <a:p>
            <a:pPr>
              <a:defRPr sz="700" b="0" i="0" u="none" strike="noStrike" kern="1200" baseline="0">
                <a:solidFill>
                  <a:schemeClr val="tx2"/>
                </a:solidFill>
                <a:latin typeface="+mn-lt"/>
                <a:ea typeface="+mn-ea"/>
                <a:cs typeface="+mn-cs"/>
              </a:defRPr>
            </a:pPr>
            <a:endParaRPr lang="sr-Latn-RS"/>
          </a:p>
        </c:txPr>
        <c:crossAx val="429347552"/>
        <c:crosses val="autoZero"/>
        <c:auto val="1"/>
        <c:lblAlgn val="ctr"/>
        <c:lblOffset val="0"/>
        <c:tickLblSkip val="1"/>
        <c:noMultiLvlLbl val="1"/>
      </c:catAx>
      <c:valAx>
        <c:axId val="429347552"/>
        <c:scaling>
          <c:orientation val="minMax"/>
          <c:min val="40"/>
        </c:scaling>
        <c:delete val="0"/>
        <c:axPos val="l"/>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a:t>Индекси, </a:t>
                </a:r>
                <a:r>
                  <a:rPr lang="en-GB"/>
                  <a:t>Ø2022=100</a:t>
                </a:r>
              </a:p>
            </c:rich>
          </c:tx>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crossAx val="429350464"/>
        <c:crosses val="autoZero"/>
        <c:crossBetween val="between"/>
        <c:majorUnit val="20"/>
      </c:valAx>
      <c:valAx>
        <c:axId val="1941994975"/>
        <c:scaling>
          <c:orientation val="minMax"/>
          <c:max val="160"/>
          <c:min val="40"/>
        </c:scaling>
        <c:delete val="0"/>
        <c:axPos val="r"/>
        <c:numFmt formatCode="0" sourceLinked="0"/>
        <c:majorTickMark val="out"/>
        <c:minorTickMark val="none"/>
        <c:tickLblPos val="none"/>
        <c:spPr>
          <a:noFill/>
          <a:ln>
            <a:noFill/>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crossAx val="1942004127"/>
        <c:crosses val="max"/>
        <c:crossBetween val="between"/>
        <c:majorUnit val="20"/>
      </c:valAx>
      <c:catAx>
        <c:axId val="1942004127"/>
        <c:scaling>
          <c:orientation val="minMax"/>
        </c:scaling>
        <c:delete val="1"/>
        <c:axPos val="b"/>
        <c:numFmt formatCode="General" sourceLinked="1"/>
        <c:majorTickMark val="out"/>
        <c:minorTickMark val="none"/>
        <c:tickLblPos val="nextTo"/>
        <c:crossAx val="1941994975"/>
        <c:crosses val="autoZero"/>
        <c:auto val="1"/>
        <c:lblAlgn val="ctr"/>
        <c:lblOffset val="100"/>
        <c:noMultiLvlLbl val="0"/>
      </c:catAx>
      <c:spPr>
        <a:noFill/>
        <a:ln>
          <a:noFill/>
        </a:ln>
        <a:effectLst/>
      </c:spPr>
    </c:plotArea>
    <c:legend>
      <c:legendPos val="b"/>
      <c:legendEntry>
        <c:idx val="3"/>
        <c:delete val="1"/>
      </c:legendEntry>
      <c:legendEntry>
        <c:idx val="4"/>
        <c:delete val="1"/>
      </c:legendEntry>
      <c:layout>
        <c:manualLayout>
          <c:xMode val="edge"/>
          <c:yMode val="edge"/>
          <c:x val="7.5787037037037042E-2"/>
          <c:y val="0.92302439024390248"/>
          <c:w val="0.82630577427821528"/>
          <c:h val="7.0806233062330637E-2"/>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00">
          <a:solidFill>
            <a:schemeClr val="tx2"/>
          </a:solidFill>
        </a:defRPr>
      </a:pPr>
      <a:endParaRPr lang="sr-Latn-RS"/>
    </a:p>
  </c:txPr>
  <c:externalData r:id="rId4">
    <c:autoUpdate val="0"/>
  </c:externalData>
  <c:userShapes r:id="rId5"/>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285870516185475"/>
          <c:y val="6.1624649859943981E-2"/>
          <c:w val="0.73050925925925914"/>
          <c:h val="0.6002984496124032"/>
        </c:manualLayout>
      </c:layout>
      <c:barChart>
        <c:barDir val="col"/>
        <c:grouping val="clustered"/>
        <c:varyColors val="0"/>
        <c:ser>
          <c:idx val="3"/>
          <c:order val="4"/>
          <c:tx>
            <c:strRef>
              <c:f>'BDV usluga_dsz'!$J$67</c:f>
              <c:strCache>
                <c:ptCount val="1"/>
                <c:pt idx="0">
                  <c:v>Q1–Q2 2023/Q1–Q2 2022 (десна скала)</c:v>
                </c:pt>
              </c:strCache>
            </c:strRef>
          </c:tx>
          <c:spPr>
            <a:solidFill>
              <a:schemeClr val="accent4"/>
            </a:solidFill>
            <a:ln>
              <a:noFill/>
            </a:ln>
            <a:effectLst/>
          </c:spPr>
          <c:invertIfNegative val="0"/>
          <c:dPt>
            <c:idx val="19"/>
            <c:invertIfNegative val="0"/>
            <c:bubble3D val="0"/>
            <c:spPr>
              <a:solidFill>
                <a:srgbClr val="002010"/>
              </a:solidFill>
              <a:ln>
                <a:noFill/>
              </a:ln>
              <a:effectLst/>
            </c:spPr>
            <c:extLst>
              <c:ext xmlns:c16="http://schemas.microsoft.com/office/drawing/2014/chart" uri="{C3380CC4-5D6E-409C-BE32-E72D297353CC}">
                <c16:uniqueId val="{00000001-CED4-4133-BBD7-5263A390DCFE}"/>
              </c:ext>
            </c:extLst>
          </c:dPt>
          <c:dPt>
            <c:idx val="20"/>
            <c:invertIfNegative val="0"/>
            <c:bubble3D val="0"/>
            <c:spPr>
              <a:solidFill>
                <a:srgbClr val="EC008C"/>
              </a:solidFill>
              <a:ln>
                <a:noFill/>
              </a:ln>
              <a:effectLst/>
            </c:spPr>
            <c:extLst>
              <c:ext xmlns:c16="http://schemas.microsoft.com/office/drawing/2014/chart" uri="{C3380CC4-5D6E-409C-BE32-E72D297353CC}">
                <c16:uniqueId val="{00000003-CED4-4133-BBD7-5263A390DCFE}"/>
              </c:ext>
            </c:extLst>
          </c:dPt>
          <c:dPt>
            <c:idx val="21"/>
            <c:invertIfNegative val="0"/>
            <c:bubble3D val="0"/>
            <c:spPr>
              <a:solidFill>
                <a:srgbClr val="00A651"/>
              </a:solidFill>
              <a:ln>
                <a:noFill/>
              </a:ln>
              <a:effectLst/>
            </c:spPr>
            <c:extLst>
              <c:ext xmlns:c16="http://schemas.microsoft.com/office/drawing/2014/chart" uri="{C3380CC4-5D6E-409C-BE32-E72D297353CC}">
                <c16:uniqueId val="{00000005-CED4-4133-BBD7-5263A390DCFE}"/>
              </c:ext>
            </c:extLst>
          </c:dPt>
          <c:dLbls>
            <c:dLbl>
              <c:idx val="19"/>
              <c:numFmt formatCode="#,##0.0" sourceLinked="0"/>
              <c:spPr>
                <a:noFill/>
                <a:ln>
                  <a:noFill/>
                </a:ln>
                <a:effectLst/>
              </c:spPr>
              <c:txPr>
                <a:bodyPr rot="0" spcFirstLastPara="1" vertOverflow="ellipsis" vert="horz" wrap="square" anchor="ctr" anchorCtr="1"/>
                <a:lstStyle/>
                <a:p>
                  <a:pPr>
                    <a:defRPr sz="700" b="0" i="0" u="none" strike="noStrike" kern="1200" baseline="0">
                      <a:solidFill>
                        <a:srgbClr val="00201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ED4-4133-BBD7-5263A390DCFE}"/>
                </c:ext>
              </c:extLst>
            </c:dLbl>
            <c:dLbl>
              <c:idx val="20"/>
              <c:layout>
                <c:manualLayout>
                  <c:x val="8.4875562720133283E-17"/>
                  <c:y val="1.2828282828282821E-2"/>
                </c:manualLayout>
              </c:layout>
              <c:numFmt formatCode="#,##0.0" sourceLinked="0"/>
              <c:spPr>
                <a:noFill/>
                <a:ln>
                  <a:noFill/>
                </a:ln>
                <a:effectLst/>
              </c:spPr>
              <c:txPr>
                <a:bodyPr rot="0" spcFirstLastPara="1" vertOverflow="ellipsis" vert="horz" wrap="square" anchor="ctr" anchorCtr="1"/>
                <a:lstStyle/>
                <a:p>
                  <a:pPr>
                    <a:defRPr sz="700" b="0" i="0" u="none" strike="noStrike" kern="1200" baseline="0">
                      <a:solidFill>
                        <a:srgbClr val="EC008C"/>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ED4-4133-BBD7-5263A390DCFE}"/>
                </c:ext>
              </c:extLst>
            </c:dLbl>
            <c:dLbl>
              <c:idx val="21"/>
              <c:layout>
                <c:manualLayout>
                  <c:x val="0"/>
                  <c:y val="1.9242424242424359E-2"/>
                </c:manualLayout>
              </c:layout>
              <c:numFmt formatCode="#,##0.0" sourceLinked="0"/>
              <c:spPr>
                <a:noFill/>
                <a:ln>
                  <a:noFill/>
                </a:ln>
                <a:effectLst/>
              </c:spPr>
              <c:txPr>
                <a:bodyPr rot="0" spcFirstLastPara="1" vertOverflow="ellipsis" vert="horz" wrap="square" anchor="ctr" anchorCtr="1"/>
                <a:lstStyle/>
                <a:p>
                  <a:pPr>
                    <a:defRPr sz="700" b="0" i="0" u="none" strike="noStrike" kern="1200" baseline="0">
                      <a:solidFill>
                        <a:srgbClr val="00A651"/>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ED4-4133-BBD7-5263A390DCFE}"/>
                </c:ext>
              </c:extLst>
            </c:dLbl>
            <c:numFmt formatCode="#,##0.0" sourceLinked="0"/>
            <c:spPr>
              <a:noFill/>
              <a:ln>
                <a:noFill/>
              </a:ln>
              <a:effectLst/>
            </c:spPr>
            <c:txPr>
              <a:bodyPr rot="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'BDV usluga_dsz'!$D$69:$D$91</c:f>
              <c:strCache>
                <c:ptCount val="22"/>
                <c:pt idx="0">
                  <c:v>2019 Q1</c:v>
                </c:pt>
                <c:pt idx="1">
                  <c:v>Q2</c:v>
                </c:pt>
                <c:pt idx="2">
                  <c:v>Q3</c:v>
                </c:pt>
                <c:pt idx="3">
                  <c:v>Q4</c:v>
                </c:pt>
                <c:pt idx="4">
                  <c:v>2020 Q1</c:v>
                </c:pt>
                <c:pt idx="5">
                  <c:v>Q2</c:v>
                </c:pt>
                <c:pt idx="6">
                  <c:v>Q3</c:v>
                </c:pt>
                <c:pt idx="7">
                  <c:v>Q4</c:v>
                </c:pt>
                <c:pt idx="8">
                  <c:v>2021 Q1</c:v>
                </c:pt>
                <c:pt idx="9">
                  <c:v>Q2</c:v>
                </c:pt>
                <c:pt idx="10">
                  <c:v>Q3</c:v>
                </c:pt>
                <c:pt idx="11">
                  <c:v>Q4</c:v>
                </c:pt>
                <c:pt idx="12">
                  <c:v>2022 Q1</c:v>
                </c:pt>
                <c:pt idx="13">
                  <c:v>Q2</c:v>
                </c:pt>
                <c:pt idx="14">
                  <c:v>Q3</c:v>
                </c:pt>
                <c:pt idx="15">
                  <c:v>Q4</c:v>
                </c:pt>
                <c:pt idx="16">
                  <c:v>2023 Q1</c:v>
                </c:pt>
                <c:pt idx="17">
                  <c:v>Q2</c:v>
                </c:pt>
                <c:pt idx="19">
                  <c:v>Укупно</c:v>
                </c:pt>
                <c:pt idx="20">
                  <c:v>Путнички</c:v>
                </c:pt>
                <c:pt idx="21">
                  <c:v>Теретни</c:v>
                </c:pt>
              </c:strCache>
            </c:strRef>
          </c:cat>
          <c:val>
            <c:numRef>
              <c:f>'BDV usluga_dsz'!$J$69:$J$91</c:f>
              <c:numCache>
                <c:formatCode>General</c:formatCode>
                <c:ptCount val="23"/>
                <c:pt idx="19" formatCode="0.0">
                  <c:v>26.9</c:v>
                </c:pt>
                <c:pt idx="20" formatCode="0.0">
                  <c:v>53.6</c:v>
                </c:pt>
                <c:pt idx="21" formatCode="0.0">
                  <c:v>-7.8</c:v>
                </c:pt>
              </c:numCache>
            </c:numRef>
          </c:val>
          <c:extLst>
            <c:ext xmlns:c16="http://schemas.microsoft.com/office/drawing/2014/chart" uri="{C3380CC4-5D6E-409C-BE32-E72D297353CC}">
              <c16:uniqueId val="{00000006-CED4-4133-BBD7-5263A390DCFE}"/>
            </c:ext>
          </c:extLst>
        </c:ser>
        <c:dLbls>
          <c:showLegendKey val="0"/>
          <c:showVal val="0"/>
          <c:showCatName val="0"/>
          <c:showSerName val="0"/>
          <c:showPercent val="0"/>
          <c:showBubbleSize val="0"/>
        </c:dLbls>
        <c:gapWidth val="30"/>
        <c:axId val="1942004127"/>
        <c:axId val="1941994975"/>
      </c:barChart>
      <c:lineChart>
        <c:grouping val="standard"/>
        <c:varyColors val="0"/>
        <c:ser>
          <c:idx val="0"/>
          <c:order val="0"/>
          <c:tx>
            <c:strRef>
              <c:f>'BDV usluga_dsz'!$F$67</c:f>
              <c:strCache>
                <c:ptCount val="1"/>
                <c:pt idx="0">
                  <c:v>100</c:v>
                </c:pt>
              </c:strCache>
            </c:strRef>
          </c:tx>
          <c:spPr>
            <a:ln w="6350" cap="rnd">
              <a:solidFill>
                <a:sysClr val="windowText" lastClr="000000"/>
              </a:solidFill>
              <a:round/>
            </a:ln>
            <a:effectLst/>
          </c:spPr>
          <c:marker>
            <c:symbol val="none"/>
          </c:marker>
          <c:cat>
            <c:strRef>
              <c:f>'BDV usluga_dsz'!$D$69:$D$91</c:f>
              <c:strCache>
                <c:ptCount val="22"/>
                <c:pt idx="0">
                  <c:v>2019 Q1</c:v>
                </c:pt>
                <c:pt idx="1">
                  <c:v>Q2</c:v>
                </c:pt>
                <c:pt idx="2">
                  <c:v>Q3</c:v>
                </c:pt>
                <c:pt idx="3">
                  <c:v>Q4</c:v>
                </c:pt>
                <c:pt idx="4">
                  <c:v>2020 Q1</c:v>
                </c:pt>
                <c:pt idx="5">
                  <c:v>Q2</c:v>
                </c:pt>
                <c:pt idx="6">
                  <c:v>Q3</c:v>
                </c:pt>
                <c:pt idx="7">
                  <c:v>Q4</c:v>
                </c:pt>
                <c:pt idx="8">
                  <c:v>2021 Q1</c:v>
                </c:pt>
                <c:pt idx="9">
                  <c:v>Q2</c:v>
                </c:pt>
                <c:pt idx="10">
                  <c:v>Q3</c:v>
                </c:pt>
                <c:pt idx="11">
                  <c:v>Q4</c:v>
                </c:pt>
                <c:pt idx="12">
                  <c:v>2022 Q1</c:v>
                </c:pt>
                <c:pt idx="13">
                  <c:v>Q2</c:v>
                </c:pt>
                <c:pt idx="14">
                  <c:v>Q3</c:v>
                </c:pt>
                <c:pt idx="15">
                  <c:v>Q4</c:v>
                </c:pt>
                <c:pt idx="16">
                  <c:v>2023 Q1</c:v>
                </c:pt>
                <c:pt idx="17">
                  <c:v>Q2</c:v>
                </c:pt>
                <c:pt idx="19">
                  <c:v>Укупно</c:v>
                </c:pt>
                <c:pt idx="20">
                  <c:v>Путнички</c:v>
                </c:pt>
                <c:pt idx="21">
                  <c:v>Теретни</c:v>
                </c:pt>
              </c:strCache>
            </c:strRef>
          </c:cat>
          <c:val>
            <c:numRef>
              <c:f>'BDV usluga_dsz'!$F$69:$F$91</c:f>
              <c:numCache>
                <c:formatCode>0.0</c:formatCode>
                <c:ptCount val="23"/>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100</c:v>
                </c:pt>
                <c:pt idx="16">
                  <c:v>100</c:v>
                </c:pt>
                <c:pt idx="17">
                  <c:v>100</c:v>
                </c:pt>
              </c:numCache>
            </c:numRef>
          </c:val>
          <c:smooth val="0"/>
          <c:extLst>
            <c:ext xmlns:c16="http://schemas.microsoft.com/office/drawing/2014/chart" uri="{C3380CC4-5D6E-409C-BE32-E72D297353CC}">
              <c16:uniqueId val="{00000007-CED4-4133-BBD7-5263A390DCFE}"/>
            </c:ext>
          </c:extLst>
        </c:ser>
        <c:ser>
          <c:idx val="1"/>
          <c:order val="1"/>
          <c:tx>
            <c:strRef>
              <c:f>'BDV usluga_dsz'!$G$67</c:f>
              <c:strCache>
                <c:ptCount val="1"/>
                <c:pt idx="0">
                  <c:v>Укупно</c:v>
                </c:pt>
              </c:strCache>
            </c:strRef>
          </c:tx>
          <c:spPr>
            <a:ln w="19050" cap="rnd">
              <a:solidFill>
                <a:srgbClr val="002010"/>
              </a:solidFill>
              <a:round/>
            </a:ln>
            <a:effectLst/>
          </c:spPr>
          <c:marker>
            <c:symbol val="none"/>
          </c:marker>
          <c:cat>
            <c:strRef>
              <c:f>'BDV usluga_dsz'!$D$69:$D$91</c:f>
              <c:strCache>
                <c:ptCount val="22"/>
                <c:pt idx="0">
                  <c:v>2019 Q1</c:v>
                </c:pt>
                <c:pt idx="1">
                  <c:v>Q2</c:v>
                </c:pt>
                <c:pt idx="2">
                  <c:v>Q3</c:v>
                </c:pt>
                <c:pt idx="3">
                  <c:v>Q4</c:v>
                </c:pt>
                <c:pt idx="4">
                  <c:v>2020 Q1</c:v>
                </c:pt>
                <c:pt idx="5">
                  <c:v>Q2</c:v>
                </c:pt>
                <c:pt idx="6">
                  <c:v>Q3</c:v>
                </c:pt>
                <c:pt idx="7">
                  <c:v>Q4</c:v>
                </c:pt>
                <c:pt idx="8">
                  <c:v>2021 Q1</c:v>
                </c:pt>
                <c:pt idx="9">
                  <c:v>Q2</c:v>
                </c:pt>
                <c:pt idx="10">
                  <c:v>Q3</c:v>
                </c:pt>
                <c:pt idx="11">
                  <c:v>Q4</c:v>
                </c:pt>
                <c:pt idx="12">
                  <c:v>2022 Q1</c:v>
                </c:pt>
                <c:pt idx="13">
                  <c:v>Q2</c:v>
                </c:pt>
                <c:pt idx="14">
                  <c:v>Q3</c:v>
                </c:pt>
                <c:pt idx="15">
                  <c:v>Q4</c:v>
                </c:pt>
                <c:pt idx="16">
                  <c:v>2023 Q1</c:v>
                </c:pt>
                <c:pt idx="17">
                  <c:v>Q2</c:v>
                </c:pt>
                <c:pt idx="19">
                  <c:v>Укупно</c:v>
                </c:pt>
                <c:pt idx="20">
                  <c:v>Путнички</c:v>
                </c:pt>
                <c:pt idx="21">
                  <c:v>Теретни</c:v>
                </c:pt>
              </c:strCache>
            </c:strRef>
          </c:cat>
          <c:val>
            <c:numRef>
              <c:f>'BDV usluga_dsz'!$G$69:$G$91</c:f>
              <c:numCache>
                <c:formatCode>0.0</c:formatCode>
                <c:ptCount val="23"/>
                <c:pt idx="0">
                  <c:v>73.538186687959296</c:v>
                </c:pt>
                <c:pt idx="1">
                  <c:v>95.195855645977247</c:v>
                </c:pt>
                <c:pt idx="2">
                  <c:v>120.70785552025268</c:v>
                </c:pt>
                <c:pt idx="3">
                  <c:v>92.99338083668728</c:v>
                </c:pt>
                <c:pt idx="4">
                  <c:v>75.05645657975775</c:v>
                </c:pt>
                <c:pt idx="5">
                  <c:v>40.073906795319232</c:v>
                </c:pt>
                <c:pt idx="6">
                  <c:v>69.472387600082115</c:v>
                </c:pt>
                <c:pt idx="7">
                  <c:v>60.110860192978855</c:v>
                </c:pt>
                <c:pt idx="8">
                  <c:v>61.1</c:v>
                </c:pt>
                <c:pt idx="9">
                  <c:v>81.3</c:v>
                </c:pt>
                <c:pt idx="10">
                  <c:v>105.4</c:v>
                </c:pt>
                <c:pt idx="11">
                  <c:v>82.6</c:v>
                </c:pt>
                <c:pt idx="12">
                  <c:v>74.599999999999994</c:v>
                </c:pt>
                <c:pt idx="13">
                  <c:v>97.2</c:v>
                </c:pt>
                <c:pt idx="14">
                  <c:v>126.3</c:v>
                </c:pt>
                <c:pt idx="15">
                  <c:v>101.9</c:v>
                </c:pt>
                <c:pt idx="16">
                  <c:v>94.5</c:v>
                </c:pt>
                <c:pt idx="17">
                  <c:v>123.5</c:v>
                </c:pt>
              </c:numCache>
            </c:numRef>
          </c:val>
          <c:smooth val="0"/>
          <c:extLst>
            <c:ext xmlns:c16="http://schemas.microsoft.com/office/drawing/2014/chart" uri="{C3380CC4-5D6E-409C-BE32-E72D297353CC}">
              <c16:uniqueId val="{00000008-CED4-4133-BBD7-5263A390DCFE}"/>
            </c:ext>
          </c:extLst>
        </c:ser>
        <c:ser>
          <c:idx val="2"/>
          <c:order val="2"/>
          <c:tx>
            <c:strRef>
              <c:f>'BDV usluga_dsz'!$H$67</c:f>
              <c:strCache>
                <c:ptCount val="1"/>
                <c:pt idx="0">
                  <c:v>Путнички</c:v>
                </c:pt>
              </c:strCache>
            </c:strRef>
          </c:tx>
          <c:spPr>
            <a:ln w="19050" cap="rnd">
              <a:solidFill>
                <a:srgbClr val="EC008C"/>
              </a:solidFill>
              <a:round/>
            </a:ln>
            <a:effectLst/>
          </c:spPr>
          <c:marker>
            <c:symbol val="none"/>
          </c:marker>
          <c:cat>
            <c:strRef>
              <c:f>'BDV usluga_dsz'!$D$69:$D$91</c:f>
              <c:strCache>
                <c:ptCount val="22"/>
                <c:pt idx="0">
                  <c:v>2019 Q1</c:v>
                </c:pt>
                <c:pt idx="1">
                  <c:v>Q2</c:v>
                </c:pt>
                <c:pt idx="2">
                  <c:v>Q3</c:v>
                </c:pt>
                <c:pt idx="3">
                  <c:v>Q4</c:v>
                </c:pt>
                <c:pt idx="4">
                  <c:v>2020 Q1</c:v>
                </c:pt>
                <c:pt idx="5">
                  <c:v>Q2</c:v>
                </c:pt>
                <c:pt idx="6">
                  <c:v>Q3</c:v>
                </c:pt>
                <c:pt idx="7">
                  <c:v>Q4</c:v>
                </c:pt>
                <c:pt idx="8">
                  <c:v>2021 Q1</c:v>
                </c:pt>
                <c:pt idx="9">
                  <c:v>Q2</c:v>
                </c:pt>
                <c:pt idx="10">
                  <c:v>Q3</c:v>
                </c:pt>
                <c:pt idx="11">
                  <c:v>Q4</c:v>
                </c:pt>
                <c:pt idx="12">
                  <c:v>2022 Q1</c:v>
                </c:pt>
                <c:pt idx="13">
                  <c:v>Q2</c:v>
                </c:pt>
                <c:pt idx="14">
                  <c:v>Q3</c:v>
                </c:pt>
                <c:pt idx="15">
                  <c:v>Q4</c:v>
                </c:pt>
                <c:pt idx="16">
                  <c:v>2023 Q1</c:v>
                </c:pt>
                <c:pt idx="17">
                  <c:v>Q2</c:v>
                </c:pt>
                <c:pt idx="19">
                  <c:v>Укупно</c:v>
                </c:pt>
                <c:pt idx="20">
                  <c:v>Путнички</c:v>
                </c:pt>
                <c:pt idx="21">
                  <c:v>Теретни</c:v>
                </c:pt>
              </c:strCache>
            </c:strRef>
          </c:cat>
          <c:val>
            <c:numRef>
              <c:f>'BDV usluga_dsz'!$H$69:$H$91</c:f>
              <c:numCache>
                <c:formatCode>0.0</c:formatCode>
                <c:ptCount val="23"/>
                <c:pt idx="0">
                  <c:v>69.431529353418881</c:v>
                </c:pt>
                <c:pt idx="1">
                  <c:v>103.04520626261376</c:v>
                </c:pt>
                <c:pt idx="2">
                  <c:v>141.96894241528796</c:v>
                </c:pt>
                <c:pt idx="3">
                  <c:v>95.230402092964866</c:v>
                </c:pt>
                <c:pt idx="4">
                  <c:v>73.074204946996474</c:v>
                </c:pt>
                <c:pt idx="5">
                  <c:v>18.586572438162545</c:v>
                </c:pt>
                <c:pt idx="6">
                  <c:v>59.081272084805647</c:v>
                </c:pt>
                <c:pt idx="7">
                  <c:v>49.68197879858657</c:v>
                </c:pt>
                <c:pt idx="8">
                  <c:v>41.8</c:v>
                </c:pt>
                <c:pt idx="9">
                  <c:v>68.7</c:v>
                </c:pt>
                <c:pt idx="10">
                  <c:v>106.7</c:v>
                </c:pt>
                <c:pt idx="11">
                  <c:v>65.5</c:v>
                </c:pt>
                <c:pt idx="12">
                  <c:v>59.5</c:v>
                </c:pt>
                <c:pt idx="13">
                  <c:v>94.8</c:v>
                </c:pt>
                <c:pt idx="14">
                  <c:v>142.5</c:v>
                </c:pt>
                <c:pt idx="15">
                  <c:v>103.2</c:v>
                </c:pt>
                <c:pt idx="16">
                  <c:v>96.3</c:v>
                </c:pt>
                <c:pt idx="17">
                  <c:v>140.6</c:v>
                </c:pt>
              </c:numCache>
            </c:numRef>
          </c:val>
          <c:smooth val="0"/>
          <c:extLst>
            <c:ext xmlns:c16="http://schemas.microsoft.com/office/drawing/2014/chart" uri="{C3380CC4-5D6E-409C-BE32-E72D297353CC}">
              <c16:uniqueId val="{00000009-CED4-4133-BBD7-5263A390DCFE}"/>
            </c:ext>
          </c:extLst>
        </c:ser>
        <c:ser>
          <c:idx val="5"/>
          <c:order val="3"/>
          <c:tx>
            <c:strRef>
              <c:f>'BDV usluga_dsz'!$I$67</c:f>
              <c:strCache>
                <c:ptCount val="1"/>
                <c:pt idx="0">
                  <c:v>Теретни</c:v>
                </c:pt>
              </c:strCache>
            </c:strRef>
          </c:tx>
          <c:spPr>
            <a:ln w="19050" cap="rnd">
              <a:solidFill>
                <a:srgbClr val="00A651"/>
              </a:solidFill>
              <a:round/>
            </a:ln>
            <a:effectLst/>
          </c:spPr>
          <c:marker>
            <c:symbol val="none"/>
          </c:marker>
          <c:cat>
            <c:strRef>
              <c:f>'BDV usluga_dsz'!$D$69:$D$91</c:f>
              <c:strCache>
                <c:ptCount val="22"/>
                <c:pt idx="0">
                  <c:v>2019 Q1</c:v>
                </c:pt>
                <c:pt idx="1">
                  <c:v>Q2</c:v>
                </c:pt>
                <c:pt idx="2">
                  <c:v>Q3</c:v>
                </c:pt>
                <c:pt idx="3">
                  <c:v>Q4</c:v>
                </c:pt>
                <c:pt idx="4">
                  <c:v>2020 Q1</c:v>
                </c:pt>
                <c:pt idx="5">
                  <c:v>Q2</c:v>
                </c:pt>
                <c:pt idx="6">
                  <c:v>Q3</c:v>
                </c:pt>
                <c:pt idx="7">
                  <c:v>Q4</c:v>
                </c:pt>
                <c:pt idx="8">
                  <c:v>2021 Q1</c:v>
                </c:pt>
                <c:pt idx="9">
                  <c:v>Q2</c:v>
                </c:pt>
                <c:pt idx="10">
                  <c:v>Q3</c:v>
                </c:pt>
                <c:pt idx="11">
                  <c:v>Q4</c:v>
                </c:pt>
                <c:pt idx="12">
                  <c:v>2022 Q1</c:v>
                </c:pt>
                <c:pt idx="13">
                  <c:v>Q2</c:v>
                </c:pt>
                <c:pt idx="14">
                  <c:v>Q3</c:v>
                </c:pt>
                <c:pt idx="15">
                  <c:v>Q4</c:v>
                </c:pt>
                <c:pt idx="16">
                  <c:v>2023 Q1</c:v>
                </c:pt>
                <c:pt idx="17">
                  <c:v>Q2</c:v>
                </c:pt>
                <c:pt idx="19">
                  <c:v>Укупно</c:v>
                </c:pt>
                <c:pt idx="20">
                  <c:v>Путнички</c:v>
                </c:pt>
                <c:pt idx="21">
                  <c:v>Теретни</c:v>
                </c:pt>
              </c:strCache>
            </c:strRef>
          </c:cat>
          <c:val>
            <c:numRef>
              <c:f>'BDV usluga_dsz'!$I$69:$I$91</c:f>
              <c:numCache>
                <c:formatCode>0.0</c:formatCode>
                <c:ptCount val="23"/>
                <c:pt idx="0">
                  <c:v>80.270525963986927</c:v>
                </c:pt>
                <c:pt idx="1">
                  <c:v>82.176057737612751</c:v>
                </c:pt>
                <c:pt idx="2">
                  <c:v>85.590135498692305</c:v>
                </c:pt>
                <c:pt idx="3">
                  <c:v>89.242404731475105</c:v>
                </c:pt>
                <c:pt idx="4">
                  <c:v>78.425435276305834</c:v>
                </c:pt>
                <c:pt idx="5">
                  <c:v>75.498359828412802</c:v>
                </c:pt>
                <c:pt idx="6">
                  <c:v>86.500126167045167</c:v>
                </c:pt>
                <c:pt idx="7">
                  <c:v>77.113298006560697</c:v>
                </c:pt>
                <c:pt idx="8">
                  <c:v>94.2</c:v>
                </c:pt>
                <c:pt idx="9">
                  <c:v>102.8</c:v>
                </c:pt>
                <c:pt idx="10">
                  <c:v>103.3</c:v>
                </c:pt>
                <c:pt idx="11">
                  <c:v>111.6</c:v>
                </c:pt>
                <c:pt idx="12">
                  <c:v>100.4</c:v>
                </c:pt>
                <c:pt idx="13">
                  <c:v>101.2</c:v>
                </c:pt>
                <c:pt idx="14">
                  <c:v>98.5</c:v>
                </c:pt>
                <c:pt idx="15">
                  <c:v>99.8</c:v>
                </c:pt>
                <c:pt idx="16">
                  <c:v>91.4</c:v>
                </c:pt>
                <c:pt idx="17">
                  <c:v>94.4</c:v>
                </c:pt>
              </c:numCache>
            </c:numRef>
          </c:val>
          <c:smooth val="0"/>
          <c:extLst>
            <c:ext xmlns:c16="http://schemas.microsoft.com/office/drawing/2014/chart" uri="{C3380CC4-5D6E-409C-BE32-E72D297353CC}">
              <c16:uniqueId val="{0000000A-CED4-4133-BBD7-5263A390DCFE}"/>
            </c:ext>
          </c:extLst>
        </c:ser>
        <c:dLbls>
          <c:showLegendKey val="0"/>
          <c:showVal val="0"/>
          <c:showCatName val="0"/>
          <c:showSerName val="0"/>
          <c:showPercent val="0"/>
          <c:showBubbleSize val="0"/>
        </c:dLbls>
        <c:marker val="1"/>
        <c:smooth val="0"/>
        <c:axId val="429350464"/>
        <c:axId val="429347552"/>
      </c:lineChart>
      <c:lineChart>
        <c:grouping val="standard"/>
        <c:varyColors val="0"/>
        <c:ser>
          <c:idx val="4"/>
          <c:order val="5"/>
          <c:tx>
            <c:strRef>
              <c:f>'BDV usluga_dsz'!$K$67</c:f>
              <c:strCache>
                <c:ptCount val="1"/>
                <c:pt idx="0">
                  <c:v>0</c:v>
                </c:pt>
              </c:strCache>
            </c:strRef>
          </c:tx>
          <c:spPr>
            <a:ln w="6350" cap="rnd">
              <a:solidFill>
                <a:sysClr val="windowText" lastClr="000000"/>
              </a:solidFill>
              <a:round/>
            </a:ln>
            <a:effectLst/>
          </c:spPr>
          <c:marker>
            <c:symbol val="none"/>
          </c:marker>
          <c:cat>
            <c:strRef>
              <c:f>'BDV usluga_dsz'!$D$69:$D$91</c:f>
              <c:strCache>
                <c:ptCount val="22"/>
                <c:pt idx="0">
                  <c:v>2019 Q1</c:v>
                </c:pt>
                <c:pt idx="1">
                  <c:v>Q2</c:v>
                </c:pt>
                <c:pt idx="2">
                  <c:v>Q3</c:v>
                </c:pt>
                <c:pt idx="3">
                  <c:v>Q4</c:v>
                </c:pt>
                <c:pt idx="4">
                  <c:v>2020 Q1</c:v>
                </c:pt>
                <c:pt idx="5">
                  <c:v>Q2</c:v>
                </c:pt>
                <c:pt idx="6">
                  <c:v>Q3</c:v>
                </c:pt>
                <c:pt idx="7">
                  <c:v>Q4</c:v>
                </c:pt>
                <c:pt idx="8">
                  <c:v>2021 Q1</c:v>
                </c:pt>
                <c:pt idx="9">
                  <c:v>Q2</c:v>
                </c:pt>
                <c:pt idx="10">
                  <c:v>Q3</c:v>
                </c:pt>
                <c:pt idx="11">
                  <c:v>Q4</c:v>
                </c:pt>
                <c:pt idx="12">
                  <c:v>2022 Q1</c:v>
                </c:pt>
                <c:pt idx="13">
                  <c:v>Q2</c:v>
                </c:pt>
                <c:pt idx="14">
                  <c:v>Q3</c:v>
                </c:pt>
                <c:pt idx="15">
                  <c:v>Q4</c:v>
                </c:pt>
                <c:pt idx="16">
                  <c:v>2023 Q1</c:v>
                </c:pt>
                <c:pt idx="17">
                  <c:v>Q2</c:v>
                </c:pt>
                <c:pt idx="19">
                  <c:v>Укупно</c:v>
                </c:pt>
                <c:pt idx="20">
                  <c:v>Путнички</c:v>
                </c:pt>
                <c:pt idx="21">
                  <c:v>Теретни</c:v>
                </c:pt>
              </c:strCache>
            </c:strRef>
          </c:cat>
          <c:val>
            <c:numRef>
              <c:f>'BDV usluga_dsz'!$K$69:$K$91</c:f>
              <c:numCache>
                <c:formatCode>General</c:formatCode>
                <c:ptCount val="23"/>
                <c:pt idx="18" formatCode="0.0">
                  <c:v>0</c:v>
                </c:pt>
                <c:pt idx="19" formatCode="0.0">
                  <c:v>0</c:v>
                </c:pt>
                <c:pt idx="20" formatCode="0.0">
                  <c:v>0</c:v>
                </c:pt>
                <c:pt idx="21" formatCode="0.0">
                  <c:v>0</c:v>
                </c:pt>
                <c:pt idx="22" formatCode="0.0">
                  <c:v>0</c:v>
                </c:pt>
              </c:numCache>
            </c:numRef>
          </c:val>
          <c:smooth val="0"/>
          <c:extLst>
            <c:ext xmlns:c16="http://schemas.microsoft.com/office/drawing/2014/chart" uri="{C3380CC4-5D6E-409C-BE32-E72D297353CC}">
              <c16:uniqueId val="{0000000B-CED4-4133-BBD7-5263A390DCFE}"/>
            </c:ext>
          </c:extLst>
        </c:ser>
        <c:dLbls>
          <c:showLegendKey val="0"/>
          <c:showVal val="0"/>
          <c:showCatName val="0"/>
          <c:showSerName val="0"/>
          <c:showPercent val="0"/>
          <c:showBubbleSize val="0"/>
        </c:dLbls>
        <c:marker val="1"/>
        <c:smooth val="0"/>
        <c:axId val="1942004127"/>
        <c:axId val="1941994975"/>
      </c:lineChart>
      <c:catAx>
        <c:axId val="42935046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5400000" spcFirstLastPara="1" vertOverflow="ellipsis" wrap="square" anchor="ctr" anchorCtr="1"/>
          <a:lstStyle/>
          <a:p>
            <a:pPr>
              <a:defRPr sz="700" b="0" i="0" u="none" strike="noStrike" kern="1200" baseline="0">
                <a:solidFill>
                  <a:schemeClr val="tx2"/>
                </a:solidFill>
                <a:latin typeface="+mn-lt"/>
                <a:ea typeface="+mn-ea"/>
                <a:cs typeface="+mn-cs"/>
              </a:defRPr>
            </a:pPr>
            <a:endParaRPr lang="sr-Latn-RS"/>
          </a:p>
        </c:txPr>
        <c:crossAx val="429347552"/>
        <c:crosses val="autoZero"/>
        <c:auto val="1"/>
        <c:lblAlgn val="ctr"/>
        <c:lblOffset val="0"/>
        <c:tickLblSkip val="1"/>
        <c:noMultiLvlLbl val="1"/>
      </c:catAx>
      <c:valAx>
        <c:axId val="429347552"/>
        <c:scaling>
          <c:orientation val="minMax"/>
          <c:min val="0"/>
        </c:scaling>
        <c:delete val="0"/>
        <c:axPos val="l"/>
        <c:title>
          <c:tx>
            <c:rich>
              <a:bodyPr rot="-5400000" spcFirstLastPara="1" vertOverflow="ellipsis" vert="horz" wrap="square" anchor="ctr" anchorCtr="1"/>
              <a:lstStyle/>
              <a:p>
                <a:pPr>
                  <a:defRPr sz="650" b="0" i="0" u="none" strike="noStrike" kern="1200" baseline="0">
                    <a:solidFill>
                      <a:schemeClr val="tx2"/>
                    </a:solidFill>
                    <a:latin typeface="+mn-lt"/>
                    <a:ea typeface="+mn-ea"/>
                    <a:cs typeface="+mn-cs"/>
                  </a:defRPr>
                </a:pPr>
                <a:r>
                  <a:rPr lang="sr-Cyrl-RS" sz="650"/>
                  <a:t>Индекси, </a:t>
                </a:r>
                <a:r>
                  <a:rPr lang="en-GB" sz="650"/>
                  <a:t>Ø2022=100</a:t>
                </a:r>
              </a:p>
            </c:rich>
          </c:tx>
          <c:overlay val="0"/>
          <c:spPr>
            <a:noFill/>
            <a:ln>
              <a:noFill/>
            </a:ln>
            <a:effectLst/>
          </c:spPr>
          <c:txPr>
            <a:bodyPr rot="-5400000" spcFirstLastPara="1" vertOverflow="ellipsis" vert="horz" wrap="square" anchor="ctr" anchorCtr="1"/>
            <a:lstStyle/>
            <a:p>
              <a:pPr>
                <a:defRPr sz="650" b="0" i="0" u="none" strike="noStrike" kern="1200" baseline="0">
                  <a:solidFill>
                    <a:schemeClr val="tx2"/>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crossAx val="429350464"/>
        <c:crosses val="autoZero"/>
        <c:crossBetween val="between"/>
        <c:majorUnit val="40"/>
      </c:valAx>
      <c:valAx>
        <c:axId val="1941994975"/>
        <c:scaling>
          <c:orientation val="minMax"/>
          <c:max val="70"/>
          <c:min val="-20"/>
        </c:scaling>
        <c:delete val="0"/>
        <c:axPos val="r"/>
        <c:title>
          <c:tx>
            <c:rich>
              <a:bodyPr rot="-5400000" spcFirstLastPara="1" vertOverflow="ellipsis" vert="horz" wrap="square" anchor="ctr" anchorCtr="1"/>
              <a:lstStyle/>
              <a:p>
                <a:pPr>
                  <a:defRPr sz="650" b="0" i="0" u="none" strike="noStrike" kern="1200" baseline="0">
                    <a:solidFill>
                      <a:schemeClr val="tx2"/>
                    </a:solidFill>
                    <a:latin typeface="+mn-lt"/>
                    <a:ea typeface="+mn-ea"/>
                    <a:cs typeface="+mn-cs"/>
                  </a:defRPr>
                </a:pPr>
                <a:r>
                  <a:rPr lang="en-GB" sz="650"/>
                  <a:t>Q1–Q2 </a:t>
                </a:r>
                <a:r>
                  <a:rPr lang="sr-Cyrl-RS" sz="650"/>
                  <a:t>202</a:t>
                </a:r>
                <a:r>
                  <a:rPr lang="en-GB" sz="650"/>
                  <a:t>3</a:t>
                </a:r>
                <a:r>
                  <a:rPr lang="sr-Cyrl-RS" sz="650"/>
                  <a:t>/</a:t>
                </a:r>
                <a:r>
                  <a:rPr lang="en-GB" sz="650"/>
                  <a:t>Q1–Q2 </a:t>
                </a:r>
                <a:r>
                  <a:rPr lang="sr-Cyrl-RS" sz="650"/>
                  <a:t>20</a:t>
                </a:r>
                <a:r>
                  <a:rPr lang="en-GB" sz="650"/>
                  <a:t>22</a:t>
                </a:r>
                <a:r>
                  <a:rPr lang="sr-Cyrl-RS" sz="650"/>
                  <a:t>, у %</a:t>
                </a:r>
                <a:endParaRPr lang="en-GB" sz="650"/>
              </a:p>
            </c:rich>
          </c:tx>
          <c:layout>
            <c:manualLayout>
              <c:xMode val="edge"/>
              <c:yMode val="edge"/>
              <c:x val="0.94192111402741319"/>
              <c:y val="3.7012273901808786E-2"/>
            </c:manualLayout>
          </c:layout>
          <c:overlay val="0"/>
          <c:spPr>
            <a:noFill/>
            <a:ln>
              <a:noFill/>
            </a:ln>
            <a:effectLst/>
          </c:spPr>
          <c:txPr>
            <a:bodyPr rot="-5400000" spcFirstLastPara="1" vertOverflow="ellipsis" vert="horz" wrap="square" anchor="ctr" anchorCtr="1"/>
            <a:lstStyle/>
            <a:p>
              <a:pPr>
                <a:defRPr sz="650" b="0" i="0" u="none" strike="noStrike" kern="1200" baseline="0">
                  <a:solidFill>
                    <a:schemeClr val="tx2"/>
                  </a:solidFill>
                  <a:latin typeface="+mn-lt"/>
                  <a:ea typeface="+mn-ea"/>
                  <a:cs typeface="+mn-cs"/>
                </a:defRPr>
              </a:pPr>
              <a:endParaRPr lang="sr-Latn-R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crossAx val="1942004127"/>
        <c:crosses val="max"/>
        <c:crossBetween val="between"/>
        <c:majorUnit val="20"/>
      </c:valAx>
      <c:catAx>
        <c:axId val="1942004127"/>
        <c:scaling>
          <c:orientation val="minMax"/>
        </c:scaling>
        <c:delete val="1"/>
        <c:axPos val="b"/>
        <c:numFmt formatCode="General" sourceLinked="1"/>
        <c:majorTickMark val="out"/>
        <c:minorTickMark val="none"/>
        <c:tickLblPos val="nextTo"/>
        <c:crossAx val="1941994975"/>
        <c:crosses val="autoZero"/>
        <c:auto val="1"/>
        <c:lblAlgn val="ctr"/>
        <c:lblOffset val="100"/>
        <c:noMultiLvlLbl val="0"/>
      </c:catAx>
      <c:spPr>
        <a:noFill/>
        <a:ln>
          <a:noFill/>
        </a:ln>
        <a:effectLst/>
      </c:spPr>
    </c:plotArea>
    <c:legend>
      <c:legendPos val="b"/>
      <c:legendEntry>
        <c:idx val="0"/>
        <c:delete val="1"/>
      </c:legendEntry>
      <c:legendEntry>
        <c:idx val="1"/>
        <c:delete val="1"/>
      </c:legendEntry>
      <c:legendEntry>
        <c:idx val="5"/>
        <c:delete val="1"/>
      </c:legendEntry>
      <c:layout>
        <c:manualLayout>
          <c:xMode val="edge"/>
          <c:yMode val="edge"/>
          <c:x val="7.5787037037037042E-2"/>
          <c:y val="0.89721161616161627"/>
          <c:w val="0.82630577427821528"/>
          <c:h val="9.6619191919191924E-2"/>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00">
          <a:solidFill>
            <a:schemeClr val="tx2"/>
          </a:solidFill>
        </a:defRPr>
      </a:pPr>
      <a:endParaRPr lang="sr-Latn-RS"/>
    </a:p>
  </c:txPr>
  <c:externalData r:id="rId4">
    <c:autoUpdate val="0"/>
  </c:externalData>
  <c:userShapes r:id="rId5"/>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33333333333E-2"/>
          <c:y val="4.3644144144144144E-2"/>
          <c:w val="0.86257083333333318"/>
          <c:h val="0.8328986486486486"/>
        </c:manualLayout>
      </c:layout>
      <c:lineChart>
        <c:grouping val="standard"/>
        <c:varyColors val="0"/>
        <c:ser>
          <c:idx val="0"/>
          <c:order val="0"/>
          <c:tx>
            <c:strRef>
              <c:f>'BoP_izvoz usluga'!$Z$5</c:f>
              <c:strCache>
                <c:ptCount val="1"/>
                <c:pt idx="0">
                  <c:v>y</c:v>
                </c:pt>
              </c:strCache>
            </c:strRef>
          </c:tx>
          <c:spPr>
            <a:ln w="12700" cap="rnd">
              <a:solidFill>
                <a:srgbClr val="7F3F98"/>
              </a:solidFill>
              <a:prstDash val="sysDash"/>
              <a:round/>
            </a:ln>
            <a:effectLst/>
          </c:spPr>
          <c:marker>
            <c:symbol val="none"/>
          </c:marker>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usluga'!$Z$102:$Z$144</c:f>
              <c:numCache>
                <c:formatCode>0.0</c:formatCode>
                <c:ptCount val="43"/>
                <c:pt idx="0">
                  <c:v>63.542139149</c:v>
                </c:pt>
                <c:pt idx="1">
                  <c:v>57.176597411000003</c:v>
                </c:pt>
                <c:pt idx="2">
                  <c:v>55.346907883999997</c:v>
                </c:pt>
                <c:pt idx="3">
                  <c:v>47.052320254000001</c:v>
                </c:pt>
                <c:pt idx="4">
                  <c:v>43.974260417000004</c:v>
                </c:pt>
                <c:pt idx="5">
                  <c:v>49.305797884</c:v>
                </c:pt>
                <c:pt idx="6">
                  <c:v>54.664675762000002</c:v>
                </c:pt>
                <c:pt idx="7">
                  <c:v>49.807778657</c:v>
                </c:pt>
                <c:pt idx="8">
                  <c:v>52.562094735000002</c:v>
                </c:pt>
                <c:pt idx="9">
                  <c:v>60.673913902999999</c:v>
                </c:pt>
                <c:pt idx="10">
                  <c:v>59.507930205999997</c:v>
                </c:pt>
                <c:pt idx="11">
                  <c:v>75.871978206999998</c:v>
                </c:pt>
                <c:pt idx="12">
                  <c:v>56.140138491999998</c:v>
                </c:pt>
                <c:pt idx="13">
                  <c:v>53.741504237000001</c:v>
                </c:pt>
                <c:pt idx="14">
                  <c:v>64.754996797999993</c:v>
                </c:pt>
                <c:pt idx="15">
                  <c:v>64.609131500999993</c:v>
                </c:pt>
                <c:pt idx="16">
                  <c:v>63.908772331000002</c:v>
                </c:pt>
                <c:pt idx="17">
                  <c:v>69.226769082999994</c:v>
                </c:pt>
                <c:pt idx="18">
                  <c:v>79.731121965</c:v>
                </c:pt>
                <c:pt idx="19">
                  <c:v>75.824006112999996</c:v>
                </c:pt>
                <c:pt idx="20">
                  <c:v>72.401235276999998</c:v>
                </c:pt>
                <c:pt idx="21">
                  <c:v>70.175067056000003</c:v>
                </c:pt>
                <c:pt idx="22">
                  <c:v>77.868189356000002</c:v>
                </c:pt>
                <c:pt idx="23">
                  <c:v>95.034237305999994</c:v>
                </c:pt>
                <c:pt idx="24">
                  <c:v>74.494688815999993</c:v>
                </c:pt>
                <c:pt idx="25">
                  <c:v>71.746154622000006</c:v>
                </c:pt>
                <c:pt idx="26">
                  <c:v>89.299826146000001</c:v>
                </c:pt>
                <c:pt idx="27">
                  <c:v>85.961383744000003</c:v>
                </c:pt>
                <c:pt idx="28">
                  <c:v>91.510073590999994</c:v>
                </c:pt>
                <c:pt idx="29">
                  <c:v>97.498326822999999</c:v>
                </c:pt>
                <c:pt idx="30">
                  <c:v>112.844402093</c:v>
                </c:pt>
                <c:pt idx="31">
                  <c:v>114.42221861599999</c:v>
                </c:pt>
                <c:pt idx="32">
                  <c:v>110.457951322</c:v>
                </c:pt>
                <c:pt idx="33">
                  <c:v>109.139878935</c:v>
                </c:pt>
                <c:pt idx="34">
                  <c:v>109.726844508</c:v>
                </c:pt>
                <c:pt idx="35">
                  <c:v>132.898250784</c:v>
                </c:pt>
                <c:pt idx="36">
                  <c:v>102.58695642399999</c:v>
                </c:pt>
                <c:pt idx="37">
                  <c:v>99.673692353000007</c:v>
                </c:pt>
                <c:pt idx="38">
                  <c:v>113.449384373</c:v>
                </c:pt>
                <c:pt idx="39">
                  <c:v>103.504631217</c:v>
                </c:pt>
                <c:pt idx="40">
                  <c:v>116.36948868499999</c:v>
                </c:pt>
                <c:pt idx="41">
                  <c:v>116.150034019</c:v>
                </c:pt>
                <c:pt idx="42">
                  <c:v>120.27537402900001</c:v>
                </c:pt>
              </c:numCache>
            </c:numRef>
          </c:val>
          <c:smooth val="0"/>
          <c:extLst>
            <c:ext xmlns:c16="http://schemas.microsoft.com/office/drawing/2014/chart" uri="{C3380CC4-5D6E-409C-BE32-E72D297353CC}">
              <c16:uniqueId val="{00000000-CF65-44C6-AE43-83FB0DF8AF92}"/>
            </c:ext>
          </c:extLst>
        </c:ser>
        <c:ser>
          <c:idx val="1"/>
          <c:order val="1"/>
          <c:tx>
            <c:strRef>
              <c:f>'BoP_izvoz usluga'!$AA$5</c:f>
              <c:strCache>
                <c:ptCount val="1"/>
                <c:pt idx="0">
                  <c:v>sa</c:v>
                </c:pt>
              </c:strCache>
            </c:strRef>
          </c:tx>
          <c:spPr>
            <a:ln w="22225" cap="rnd">
              <a:solidFill>
                <a:srgbClr val="25AAE1"/>
              </a:solidFill>
              <a:round/>
            </a:ln>
            <a:effectLst/>
          </c:spPr>
          <c:marker>
            <c:symbol val="none"/>
          </c:marker>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usluga'!$AA$102:$AA$144</c:f>
              <c:numCache>
                <c:formatCode>0.0</c:formatCode>
                <c:ptCount val="43"/>
                <c:pt idx="0">
                  <c:v>67.96650108</c:v>
                </c:pt>
                <c:pt idx="1">
                  <c:v>69.195763872000001</c:v>
                </c:pt>
                <c:pt idx="2">
                  <c:v>57.646824080000002</c:v>
                </c:pt>
                <c:pt idx="3">
                  <c:v>48.497292280000003</c:v>
                </c:pt>
                <c:pt idx="4">
                  <c:v>47.756429242999999</c:v>
                </c:pt>
                <c:pt idx="5">
                  <c:v>48.914543033000001</c:v>
                </c:pt>
                <c:pt idx="6">
                  <c:v>46.278732132999998</c:v>
                </c:pt>
                <c:pt idx="7">
                  <c:v>48.641163167000002</c:v>
                </c:pt>
                <c:pt idx="8">
                  <c:v>51.299337127000001</c:v>
                </c:pt>
                <c:pt idx="9">
                  <c:v>60.155367757999997</c:v>
                </c:pt>
                <c:pt idx="10">
                  <c:v>61.637137875000001</c:v>
                </c:pt>
                <c:pt idx="11">
                  <c:v>62.608266956000001</c:v>
                </c:pt>
                <c:pt idx="12">
                  <c:v>64.485691119999998</c:v>
                </c:pt>
                <c:pt idx="13">
                  <c:v>63.981889705999997</c:v>
                </c:pt>
                <c:pt idx="14">
                  <c:v>65.017308486999994</c:v>
                </c:pt>
                <c:pt idx="15">
                  <c:v>66.242707187999997</c:v>
                </c:pt>
                <c:pt idx="16">
                  <c:v>69.022716136</c:v>
                </c:pt>
                <c:pt idx="17">
                  <c:v>69.280324343999993</c:v>
                </c:pt>
                <c:pt idx="18">
                  <c:v>70.085063304000002</c:v>
                </c:pt>
                <c:pt idx="19">
                  <c:v>71.156564747000004</c:v>
                </c:pt>
                <c:pt idx="20">
                  <c:v>71.090261987000005</c:v>
                </c:pt>
                <c:pt idx="21">
                  <c:v>72.357675979000007</c:v>
                </c:pt>
                <c:pt idx="22">
                  <c:v>77.152256699000006</c:v>
                </c:pt>
                <c:pt idx="23">
                  <c:v>78.756744404000003</c:v>
                </c:pt>
                <c:pt idx="24">
                  <c:v>84.999101980000006</c:v>
                </c:pt>
                <c:pt idx="25">
                  <c:v>85.244622200999999</c:v>
                </c:pt>
                <c:pt idx="26">
                  <c:v>89.888766312000001</c:v>
                </c:pt>
                <c:pt idx="27">
                  <c:v>92.019620810999996</c:v>
                </c:pt>
                <c:pt idx="28">
                  <c:v>94.087488168999997</c:v>
                </c:pt>
                <c:pt idx="29">
                  <c:v>98.060379721000004</c:v>
                </c:pt>
                <c:pt idx="30">
                  <c:v>103.166595933</c:v>
                </c:pt>
                <c:pt idx="31">
                  <c:v>104.32330001</c:v>
                </c:pt>
                <c:pt idx="32">
                  <c:v>108.227224362</c:v>
                </c:pt>
                <c:pt idx="33">
                  <c:v>111.93385895500001</c:v>
                </c:pt>
                <c:pt idx="34">
                  <c:v>109.712640393</c:v>
                </c:pt>
                <c:pt idx="35">
                  <c:v>114.09005228700001</c:v>
                </c:pt>
                <c:pt idx="36">
                  <c:v>111.33765079600001</c:v>
                </c:pt>
                <c:pt idx="37">
                  <c:v>118.285848676</c:v>
                </c:pt>
                <c:pt idx="38">
                  <c:v>114.861798177</c:v>
                </c:pt>
                <c:pt idx="39">
                  <c:v>115.168534378</c:v>
                </c:pt>
                <c:pt idx="40">
                  <c:v>115.824310032</c:v>
                </c:pt>
                <c:pt idx="41">
                  <c:v>116.220933035</c:v>
                </c:pt>
                <c:pt idx="42">
                  <c:v>109.435193967</c:v>
                </c:pt>
              </c:numCache>
            </c:numRef>
          </c:val>
          <c:smooth val="0"/>
          <c:extLst>
            <c:ext xmlns:c16="http://schemas.microsoft.com/office/drawing/2014/chart" uri="{C3380CC4-5D6E-409C-BE32-E72D297353CC}">
              <c16:uniqueId val="{00000001-CF65-44C6-AE43-83FB0DF8AF92}"/>
            </c:ext>
          </c:extLst>
        </c:ser>
        <c:ser>
          <c:idx val="2"/>
          <c:order val="2"/>
          <c:tx>
            <c:strRef>
              <c:f>'BoP_izvoz usluga'!$AB$5</c:f>
              <c:strCache>
                <c:ptCount val="1"/>
                <c:pt idx="0">
                  <c:v>t</c:v>
                </c:pt>
              </c:strCache>
            </c:strRef>
          </c:tx>
          <c:spPr>
            <a:ln w="25400" cap="rnd">
              <a:solidFill>
                <a:srgbClr val="FF0000"/>
              </a:solidFill>
              <a:round/>
            </a:ln>
            <a:effectLst/>
          </c:spPr>
          <c:marker>
            <c:symbol val="none"/>
          </c:marker>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usluga'!$AB$102:$AB$144</c:f>
              <c:numCache>
                <c:formatCode>0.0</c:formatCode>
                <c:ptCount val="43"/>
                <c:pt idx="0">
                  <c:v>68.048163392000006</c:v>
                </c:pt>
                <c:pt idx="1">
                  <c:v>68.929804242000003</c:v>
                </c:pt>
                <c:pt idx="2">
                  <c:v>47.399849301000003</c:v>
                </c:pt>
                <c:pt idx="3">
                  <c:v>47.813614364999999</c:v>
                </c:pt>
                <c:pt idx="4">
                  <c:v>48.165644084</c:v>
                </c:pt>
                <c:pt idx="5">
                  <c:v>48.547670846000003</c:v>
                </c:pt>
                <c:pt idx="6">
                  <c:v>48.995414937</c:v>
                </c:pt>
                <c:pt idx="7">
                  <c:v>49.608954834000002</c:v>
                </c:pt>
                <c:pt idx="8">
                  <c:v>50.402608014999998</c:v>
                </c:pt>
                <c:pt idx="9">
                  <c:v>60.52581146</c:v>
                </c:pt>
                <c:pt idx="10">
                  <c:v>61.597552174</c:v>
                </c:pt>
                <c:pt idx="11">
                  <c:v>62.591775095000003</c:v>
                </c:pt>
                <c:pt idx="12">
                  <c:v>63.555364244000003</c:v>
                </c:pt>
                <c:pt idx="13">
                  <c:v>64.534635007000006</c:v>
                </c:pt>
                <c:pt idx="14">
                  <c:v>65.625473830999994</c:v>
                </c:pt>
                <c:pt idx="15">
                  <c:v>66.805237861999998</c:v>
                </c:pt>
                <c:pt idx="16">
                  <c:v>67.908625841000003</c:v>
                </c:pt>
                <c:pt idx="17">
                  <c:v>68.925792512000001</c:v>
                </c:pt>
                <c:pt idx="18">
                  <c:v>69.871689598000003</c:v>
                </c:pt>
                <c:pt idx="19">
                  <c:v>70.890475147999993</c:v>
                </c:pt>
                <c:pt idx="20">
                  <c:v>72.159238940999998</c:v>
                </c:pt>
                <c:pt idx="21">
                  <c:v>73.932593656999998</c:v>
                </c:pt>
                <c:pt idx="22">
                  <c:v>76.331428994000007</c:v>
                </c:pt>
                <c:pt idx="23">
                  <c:v>79.242146443999999</c:v>
                </c:pt>
                <c:pt idx="24">
                  <c:v>82.376621525000004</c:v>
                </c:pt>
                <c:pt idx="25">
                  <c:v>85.594332725000001</c:v>
                </c:pt>
                <c:pt idx="26">
                  <c:v>88.796711666999997</c:v>
                </c:pt>
                <c:pt idx="27">
                  <c:v>91.963927002000005</c:v>
                </c:pt>
                <c:pt idx="28">
                  <c:v>95.261442978999995</c:v>
                </c:pt>
                <c:pt idx="29">
                  <c:v>98.632100836000006</c:v>
                </c:pt>
                <c:pt idx="30">
                  <c:v>101.98955393</c:v>
                </c:pt>
                <c:pt idx="31">
                  <c:v>105.155218741</c:v>
                </c:pt>
                <c:pt idx="32">
                  <c:v>107.885078178</c:v>
                </c:pt>
                <c:pt idx="33">
                  <c:v>110.034024616</c:v>
                </c:pt>
                <c:pt idx="34">
                  <c:v>111.56261939300001</c:v>
                </c:pt>
                <c:pt idx="35">
                  <c:v>112.627924248</c:v>
                </c:pt>
                <c:pt idx="36">
                  <c:v>113.43279973</c:v>
                </c:pt>
                <c:pt idx="37">
                  <c:v>114.07405024400001</c:v>
                </c:pt>
                <c:pt idx="38">
                  <c:v>114.62660614000001</c:v>
                </c:pt>
                <c:pt idx="39">
                  <c:v>115.161335728</c:v>
                </c:pt>
                <c:pt idx="40">
                  <c:v>115.664222262</c:v>
                </c:pt>
                <c:pt idx="41">
                  <c:v>116.20063616100001</c:v>
                </c:pt>
                <c:pt idx="42">
                  <c:v>116.91352253700001</c:v>
                </c:pt>
              </c:numCache>
            </c:numRef>
          </c:val>
          <c:smooth val="0"/>
          <c:extLst>
            <c:ext xmlns:c16="http://schemas.microsoft.com/office/drawing/2014/chart" uri="{C3380CC4-5D6E-409C-BE32-E72D297353CC}">
              <c16:uniqueId val="{00000002-CF65-44C6-AE43-83FB0DF8AF92}"/>
            </c:ext>
          </c:extLst>
        </c:ser>
        <c:ser>
          <c:idx val="3"/>
          <c:order val="3"/>
          <c:tx>
            <c:strRef>
              <c:f>'BoP_izvoz usluga'!$AC$5</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6.6059959322165268E-2"/>
                  <c:y val="5.7207207207207206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F65-44C6-AE43-83FB0DF8AF92}"/>
                </c:ext>
              </c:extLst>
            </c:dLbl>
            <c:dLbl>
              <c:idx val="12"/>
              <c:layout>
                <c:manualLayout>
                  <c:x val="6.607310799280007E-2"/>
                  <c:y val="5.7207207207207206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F65-44C6-AE43-83FB0DF8AF92}"/>
                </c:ext>
              </c:extLst>
            </c:dLbl>
            <c:dLbl>
              <c:idx val="24"/>
              <c:layout>
                <c:manualLayout>
                  <c:x val="6.6114284092945882E-2"/>
                  <c:y val="5.7207207207207206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F65-44C6-AE43-83FB0DF8AF92}"/>
                </c:ext>
              </c:extLst>
            </c:dLbl>
            <c:dLbl>
              <c:idx val="36"/>
              <c:layout>
                <c:manualLayout>
                  <c:x val="3.049294854895206E-3"/>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F65-44C6-AE43-83FB0DF8AF92}"/>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usluga'!$AC$102:$AC$144</c:f>
              <c:numCache>
                <c:formatCode>General</c:formatCode>
                <c:ptCount val="43"/>
                <c:pt idx="0">
                  <c:v>20</c:v>
                </c:pt>
                <c:pt idx="12">
                  <c:v>20</c:v>
                </c:pt>
                <c:pt idx="24">
                  <c:v>20</c:v>
                </c:pt>
                <c:pt idx="36">
                  <c:v>20</c:v>
                </c:pt>
              </c:numCache>
            </c:numRef>
          </c:val>
          <c:smooth val="0"/>
          <c:extLst>
            <c:ext xmlns:c16="http://schemas.microsoft.com/office/drawing/2014/chart" uri="{C3380CC4-5D6E-409C-BE32-E72D297353CC}">
              <c16:uniqueId val="{00000007-CF65-44C6-AE43-83FB0DF8AF92}"/>
            </c:ext>
          </c:extLst>
        </c:ser>
        <c:ser>
          <c:idx val="4"/>
          <c:order val="4"/>
          <c:tx>
            <c:strRef>
              <c:f>'BoP_izvoz usluga'!$AD$5</c:f>
              <c:strCache>
                <c:ptCount val="1"/>
                <c:pt idx="0">
                  <c:v>Series5</c:v>
                </c:pt>
              </c:strCache>
            </c:strRef>
          </c:tx>
          <c:spPr>
            <a:ln w="28575" cap="rnd">
              <a:noFill/>
              <a:round/>
            </a:ln>
            <a:effectLst/>
          </c:spPr>
          <c:marker>
            <c:symbol val="none"/>
          </c:marker>
          <c:dLbls>
            <c:dLbl>
              <c:idx val="0"/>
              <c:tx>
                <c:rich>
                  <a:bodyPr/>
                  <a:lstStyle/>
                  <a:p>
                    <a:fld id="{A104BD20-8EEC-45DF-8EE9-BC646D291CE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CF65-44C6-AE43-83FB0DF8AF92}"/>
                </c:ext>
              </c:extLst>
            </c:dLbl>
            <c:dLbl>
              <c:idx val="1"/>
              <c:tx>
                <c:rich>
                  <a:bodyPr/>
                  <a:lstStyle/>
                  <a:p>
                    <a:fld id="{C0C0D1A5-82C4-49A6-A3C5-2FA4E75E4DA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CF65-44C6-AE43-83FB0DF8AF92}"/>
                </c:ext>
              </c:extLst>
            </c:dLbl>
            <c:dLbl>
              <c:idx val="2"/>
              <c:tx>
                <c:rich>
                  <a:bodyPr/>
                  <a:lstStyle/>
                  <a:p>
                    <a:fld id="{62B57730-200A-40A0-A6BA-ABBBD5E830D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CF65-44C6-AE43-83FB0DF8AF92}"/>
                </c:ext>
              </c:extLst>
            </c:dLbl>
            <c:dLbl>
              <c:idx val="3"/>
              <c:tx>
                <c:rich>
                  <a:bodyPr/>
                  <a:lstStyle/>
                  <a:p>
                    <a:fld id="{9C6EE560-D8DD-49BB-B3DB-77DA20BB831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CF65-44C6-AE43-83FB0DF8AF92}"/>
                </c:ext>
              </c:extLst>
            </c:dLbl>
            <c:dLbl>
              <c:idx val="4"/>
              <c:tx>
                <c:rich>
                  <a:bodyPr/>
                  <a:lstStyle/>
                  <a:p>
                    <a:fld id="{777FC820-97C4-417B-A55A-110F51ABC69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CF65-44C6-AE43-83FB0DF8AF92}"/>
                </c:ext>
              </c:extLst>
            </c:dLbl>
            <c:dLbl>
              <c:idx val="5"/>
              <c:tx>
                <c:rich>
                  <a:bodyPr/>
                  <a:lstStyle/>
                  <a:p>
                    <a:fld id="{2C3A259F-E1AB-49CA-A427-27E4A90B19B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CF65-44C6-AE43-83FB0DF8AF92}"/>
                </c:ext>
              </c:extLst>
            </c:dLbl>
            <c:dLbl>
              <c:idx val="6"/>
              <c:tx>
                <c:rich>
                  <a:bodyPr/>
                  <a:lstStyle/>
                  <a:p>
                    <a:fld id="{22DEBBF6-C1D3-43A3-99A2-D1685F65116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CF65-44C6-AE43-83FB0DF8AF92}"/>
                </c:ext>
              </c:extLst>
            </c:dLbl>
            <c:dLbl>
              <c:idx val="7"/>
              <c:tx>
                <c:rich>
                  <a:bodyPr/>
                  <a:lstStyle/>
                  <a:p>
                    <a:fld id="{2A198584-15CB-4877-BE47-5AEEC707DD3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CF65-44C6-AE43-83FB0DF8AF92}"/>
                </c:ext>
              </c:extLst>
            </c:dLbl>
            <c:dLbl>
              <c:idx val="8"/>
              <c:tx>
                <c:rich>
                  <a:bodyPr/>
                  <a:lstStyle/>
                  <a:p>
                    <a:fld id="{FC3D7FCC-355E-4F4C-A209-D91DD0B1A2F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CF65-44C6-AE43-83FB0DF8AF92}"/>
                </c:ext>
              </c:extLst>
            </c:dLbl>
            <c:dLbl>
              <c:idx val="9"/>
              <c:tx>
                <c:rich>
                  <a:bodyPr/>
                  <a:lstStyle/>
                  <a:p>
                    <a:fld id="{F2C2D94C-409A-4E0C-A36F-BA0F37A750A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CF65-44C6-AE43-83FB0DF8AF92}"/>
                </c:ext>
              </c:extLst>
            </c:dLbl>
            <c:dLbl>
              <c:idx val="10"/>
              <c:tx>
                <c:rich>
                  <a:bodyPr/>
                  <a:lstStyle/>
                  <a:p>
                    <a:fld id="{DC32C4BF-4085-4B9A-9B43-2749B8E0A83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CF65-44C6-AE43-83FB0DF8AF92}"/>
                </c:ext>
              </c:extLst>
            </c:dLbl>
            <c:dLbl>
              <c:idx val="11"/>
              <c:tx>
                <c:rich>
                  <a:bodyPr/>
                  <a:lstStyle/>
                  <a:p>
                    <a:fld id="{D15115C1-3A56-402E-B0E9-BF35082EFC2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CF65-44C6-AE43-83FB0DF8AF92}"/>
                </c:ext>
              </c:extLst>
            </c:dLbl>
            <c:dLbl>
              <c:idx val="12"/>
              <c:tx>
                <c:rich>
                  <a:bodyPr/>
                  <a:lstStyle/>
                  <a:p>
                    <a:fld id="{B8FB7D1F-6101-4321-8E74-7EA4F4D457E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CF65-44C6-AE43-83FB0DF8AF92}"/>
                </c:ext>
              </c:extLst>
            </c:dLbl>
            <c:dLbl>
              <c:idx val="13"/>
              <c:tx>
                <c:rich>
                  <a:bodyPr/>
                  <a:lstStyle/>
                  <a:p>
                    <a:fld id="{04827D62-9946-4933-AAB8-5C2CC0B67F4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CF65-44C6-AE43-83FB0DF8AF92}"/>
                </c:ext>
              </c:extLst>
            </c:dLbl>
            <c:dLbl>
              <c:idx val="14"/>
              <c:tx>
                <c:rich>
                  <a:bodyPr/>
                  <a:lstStyle/>
                  <a:p>
                    <a:fld id="{8979E840-40EA-447C-98F1-2F5BEFD0ED2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CF65-44C6-AE43-83FB0DF8AF92}"/>
                </c:ext>
              </c:extLst>
            </c:dLbl>
            <c:dLbl>
              <c:idx val="15"/>
              <c:tx>
                <c:rich>
                  <a:bodyPr/>
                  <a:lstStyle/>
                  <a:p>
                    <a:fld id="{684CB286-B63B-4788-92DB-7DA2A8CB6A9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CF65-44C6-AE43-83FB0DF8AF92}"/>
                </c:ext>
              </c:extLst>
            </c:dLbl>
            <c:dLbl>
              <c:idx val="16"/>
              <c:tx>
                <c:rich>
                  <a:bodyPr/>
                  <a:lstStyle/>
                  <a:p>
                    <a:fld id="{91C99058-643C-4926-A7E7-DC51FCDCE02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CF65-44C6-AE43-83FB0DF8AF92}"/>
                </c:ext>
              </c:extLst>
            </c:dLbl>
            <c:dLbl>
              <c:idx val="17"/>
              <c:tx>
                <c:rich>
                  <a:bodyPr/>
                  <a:lstStyle/>
                  <a:p>
                    <a:fld id="{2D9BA921-EAF3-4EEE-B2B3-636F3A01856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CF65-44C6-AE43-83FB0DF8AF92}"/>
                </c:ext>
              </c:extLst>
            </c:dLbl>
            <c:dLbl>
              <c:idx val="18"/>
              <c:tx>
                <c:rich>
                  <a:bodyPr/>
                  <a:lstStyle/>
                  <a:p>
                    <a:fld id="{095F291A-8B63-420B-B7AB-9AAB63AEC7E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CF65-44C6-AE43-83FB0DF8AF92}"/>
                </c:ext>
              </c:extLst>
            </c:dLbl>
            <c:dLbl>
              <c:idx val="19"/>
              <c:tx>
                <c:rich>
                  <a:bodyPr/>
                  <a:lstStyle/>
                  <a:p>
                    <a:fld id="{34B9C251-1095-4102-9318-D5F3BD1B7D1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CF65-44C6-AE43-83FB0DF8AF92}"/>
                </c:ext>
              </c:extLst>
            </c:dLbl>
            <c:dLbl>
              <c:idx val="20"/>
              <c:tx>
                <c:rich>
                  <a:bodyPr/>
                  <a:lstStyle/>
                  <a:p>
                    <a:fld id="{BA9851E7-DAD3-48B5-BFAA-3EF58DEC438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CF65-44C6-AE43-83FB0DF8AF92}"/>
                </c:ext>
              </c:extLst>
            </c:dLbl>
            <c:dLbl>
              <c:idx val="21"/>
              <c:tx>
                <c:rich>
                  <a:bodyPr/>
                  <a:lstStyle/>
                  <a:p>
                    <a:fld id="{3C555D3B-481D-4BE5-A3AF-617E19CB9B7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CF65-44C6-AE43-83FB0DF8AF92}"/>
                </c:ext>
              </c:extLst>
            </c:dLbl>
            <c:dLbl>
              <c:idx val="22"/>
              <c:tx>
                <c:rich>
                  <a:bodyPr/>
                  <a:lstStyle/>
                  <a:p>
                    <a:fld id="{BB58D703-3164-4338-8A25-2D75D882C27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CF65-44C6-AE43-83FB0DF8AF92}"/>
                </c:ext>
              </c:extLst>
            </c:dLbl>
            <c:dLbl>
              <c:idx val="23"/>
              <c:tx>
                <c:rich>
                  <a:bodyPr/>
                  <a:lstStyle/>
                  <a:p>
                    <a:fld id="{18C49C43-07E4-414C-A4A7-9F7E2EB28F2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CF65-44C6-AE43-83FB0DF8AF92}"/>
                </c:ext>
              </c:extLst>
            </c:dLbl>
            <c:dLbl>
              <c:idx val="24"/>
              <c:tx>
                <c:rich>
                  <a:bodyPr/>
                  <a:lstStyle/>
                  <a:p>
                    <a:fld id="{19F5BDBC-65EF-46F8-9602-9F2608DD461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CF65-44C6-AE43-83FB0DF8AF92}"/>
                </c:ext>
              </c:extLst>
            </c:dLbl>
            <c:dLbl>
              <c:idx val="25"/>
              <c:tx>
                <c:rich>
                  <a:bodyPr/>
                  <a:lstStyle/>
                  <a:p>
                    <a:fld id="{504D0AD3-CC2D-4BFA-A860-FA893B568C9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CF65-44C6-AE43-83FB0DF8AF92}"/>
                </c:ext>
              </c:extLst>
            </c:dLbl>
            <c:dLbl>
              <c:idx val="26"/>
              <c:tx>
                <c:rich>
                  <a:bodyPr/>
                  <a:lstStyle/>
                  <a:p>
                    <a:fld id="{9539037A-1EE2-4F6D-A139-944009776E4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CF65-44C6-AE43-83FB0DF8AF92}"/>
                </c:ext>
              </c:extLst>
            </c:dLbl>
            <c:dLbl>
              <c:idx val="27"/>
              <c:tx>
                <c:rich>
                  <a:bodyPr/>
                  <a:lstStyle/>
                  <a:p>
                    <a:fld id="{93F859F9-B481-470A-91F1-67F9B8568DA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CF65-44C6-AE43-83FB0DF8AF92}"/>
                </c:ext>
              </c:extLst>
            </c:dLbl>
            <c:dLbl>
              <c:idx val="28"/>
              <c:tx>
                <c:rich>
                  <a:bodyPr/>
                  <a:lstStyle/>
                  <a:p>
                    <a:fld id="{44D05CF1-B54F-4C9B-B9EB-9E7F9FFAB7E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CF65-44C6-AE43-83FB0DF8AF92}"/>
                </c:ext>
              </c:extLst>
            </c:dLbl>
            <c:dLbl>
              <c:idx val="29"/>
              <c:tx>
                <c:rich>
                  <a:bodyPr/>
                  <a:lstStyle/>
                  <a:p>
                    <a:fld id="{6D16CA79-71D3-42A5-9409-282048F065B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CF65-44C6-AE43-83FB0DF8AF92}"/>
                </c:ext>
              </c:extLst>
            </c:dLbl>
            <c:dLbl>
              <c:idx val="30"/>
              <c:tx>
                <c:rich>
                  <a:bodyPr/>
                  <a:lstStyle/>
                  <a:p>
                    <a:fld id="{C0EE10DE-0DEC-4E74-8561-ED2978C0998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CF65-44C6-AE43-83FB0DF8AF92}"/>
                </c:ext>
              </c:extLst>
            </c:dLbl>
            <c:dLbl>
              <c:idx val="31"/>
              <c:tx>
                <c:rich>
                  <a:bodyPr/>
                  <a:lstStyle/>
                  <a:p>
                    <a:fld id="{B5BC517A-CEA8-4BCC-863C-E97E5D49D75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CF65-44C6-AE43-83FB0DF8AF92}"/>
                </c:ext>
              </c:extLst>
            </c:dLbl>
            <c:dLbl>
              <c:idx val="32"/>
              <c:tx>
                <c:rich>
                  <a:bodyPr/>
                  <a:lstStyle/>
                  <a:p>
                    <a:fld id="{2E723B77-43F6-425B-9989-E3847A1F781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CF65-44C6-AE43-83FB0DF8AF92}"/>
                </c:ext>
              </c:extLst>
            </c:dLbl>
            <c:dLbl>
              <c:idx val="33"/>
              <c:tx>
                <c:rich>
                  <a:bodyPr/>
                  <a:lstStyle/>
                  <a:p>
                    <a:fld id="{03B5F876-26E1-4543-A03E-E3DEE6F4ADA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CF65-44C6-AE43-83FB0DF8AF92}"/>
                </c:ext>
              </c:extLst>
            </c:dLbl>
            <c:dLbl>
              <c:idx val="34"/>
              <c:tx>
                <c:rich>
                  <a:bodyPr/>
                  <a:lstStyle/>
                  <a:p>
                    <a:fld id="{9F9947EA-1210-4129-87A6-46B4CAAA50A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CF65-44C6-AE43-83FB0DF8AF92}"/>
                </c:ext>
              </c:extLst>
            </c:dLbl>
            <c:dLbl>
              <c:idx val="35"/>
              <c:tx>
                <c:rich>
                  <a:bodyPr/>
                  <a:lstStyle/>
                  <a:p>
                    <a:fld id="{498CAC3C-CA7A-4B45-B785-FC34E62881C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CF65-44C6-AE43-83FB0DF8AF92}"/>
                </c:ext>
              </c:extLst>
            </c:dLbl>
            <c:dLbl>
              <c:idx val="36"/>
              <c:tx>
                <c:rich>
                  <a:bodyPr/>
                  <a:lstStyle/>
                  <a:p>
                    <a:fld id="{FA7B9DCB-6736-415E-BA24-73FA73AB5BF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CF65-44C6-AE43-83FB0DF8AF92}"/>
                </c:ext>
              </c:extLst>
            </c:dLbl>
            <c:dLbl>
              <c:idx val="37"/>
              <c:tx>
                <c:rich>
                  <a:bodyPr/>
                  <a:lstStyle/>
                  <a:p>
                    <a:fld id="{F4F0CC98-939F-4D5D-8DAD-300895CB251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CF65-44C6-AE43-83FB0DF8AF92}"/>
                </c:ext>
              </c:extLst>
            </c:dLbl>
            <c:dLbl>
              <c:idx val="38"/>
              <c:tx>
                <c:rich>
                  <a:bodyPr/>
                  <a:lstStyle/>
                  <a:p>
                    <a:fld id="{2BDAE944-5D97-445C-9725-DA27F65808A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CF65-44C6-AE43-83FB0DF8AF92}"/>
                </c:ext>
              </c:extLst>
            </c:dLbl>
            <c:dLbl>
              <c:idx val="39"/>
              <c:tx>
                <c:rich>
                  <a:bodyPr/>
                  <a:lstStyle/>
                  <a:p>
                    <a:fld id="{FEFE0FC2-D7DC-46BE-8645-26B76255F3B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CF65-44C6-AE43-83FB0DF8AF92}"/>
                </c:ext>
              </c:extLst>
            </c:dLbl>
            <c:dLbl>
              <c:idx val="40"/>
              <c:tx>
                <c:rich>
                  <a:bodyPr/>
                  <a:lstStyle/>
                  <a:p>
                    <a:fld id="{B5CE4E03-7431-4C06-91C4-C6070B31547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CF65-44C6-AE43-83FB0DF8AF92}"/>
                </c:ext>
              </c:extLst>
            </c:dLbl>
            <c:dLbl>
              <c:idx val="41"/>
              <c:tx>
                <c:rich>
                  <a:bodyPr/>
                  <a:lstStyle/>
                  <a:p>
                    <a:fld id="{4F029178-3D2F-48F6-AE02-1BEC52B9E1F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CF65-44C6-AE43-83FB0DF8AF92}"/>
                </c:ext>
              </c:extLst>
            </c:dLbl>
            <c:dLbl>
              <c:idx val="42"/>
              <c:tx>
                <c:rich>
                  <a:bodyPr/>
                  <a:lstStyle/>
                  <a:p>
                    <a:fld id="{1B062FA2-8288-4247-A1B5-06A345A04A6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CF65-44C6-AE43-83FB0DF8AF92}"/>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usluga'!$AD$102:$AD$144</c:f>
              <c:numCache>
                <c:formatCode>General</c:formatCode>
                <c:ptCount val="43"/>
                <c:pt idx="0">
                  <c:v>20</c:v>
                </c:pt>
                <c:pt idx="1">
                  <c:v>20</c:v>
                </c:pt>
                <c:pt idx="2">
                  <c:v>20</c:v>
                </c:pt>
                <c:pt idx="3">
                  <c:v>20</c:v>
                </c:pt>
                <c:pt idx="4">
                  <c:v>20</c:v>
                </c:pt>
                <c:pt idx="5">
                  <c:v>20</c:v>
                </c:pt>
                <c:pt idx="6">
                  <c:v>20</c:v>
                </c:pt>
                <c:pt idx="7">
                  <c:v>20</c:v>
                </c:pt>
                <c:pt idx="8">
                  <c:v>20</c:v>
                </c:pt>
                <c:pt idx="9">
                  <c:v>20</c:v>
                </c:pt>
                <c:pt idx="10">
                  <c:v>20</c:v>
                </c:pt>
                <c:pt idx="11">
                  <c:v>20</c:v>
                </c:pt>
                <c:pt idx="12">
                  <c:v>20</c:v>
                </c:pt>
                <c:pt idx="13">
                  <c:v>20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pt idx="38">
                  <c:v>20</c:v>
                </c:pt>
                <c:pt idx="39">
                  <c:v>20</c:v>
                </c:pt>
                <c:pt idx="40">
                  <c:v>20</c:v>
                </c:pt>
                <c:pt idx="41">
                  <c:v>20</c:v>
                </c:pt>
                <c:pt idx="42">
                  <c:v>20</c:v>
                </c:pt>
              </c:numCache>
            </c:numRef>
          </c:val>
          <c:smooth val="0"/>
          <c:extLst>
            <c:ext xmlns:c15="http://schemas.microsoft.com/office/drawing/2012/chart" uri="{02D57815-91ED-43cb-92C2-25804820EDAC}">
              <c15:datalabelsRange>
                <c15:f>'BoP_izvoz usluga'!$J$102:$J$144</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3-CF65-44C6-AE43-83FB0DF8AF92}"/>
            </c:ext>
          </c:extLst>
        </c:ser>
        <c:dLbls>
          <c:showLegendKey val="0"/>
          <c:showVal val="0"/>
          <c:showCatName val="0"/>
          <c:showSerName val="0"/>
          <c:showPercent val="0"/>
          <c:showBubbleSize val="0"/>
        </c:dLbls>
        <c:smooth val="0"/>
        <c:axId val="1828932656"/>
        <c:axId val="1828929936"/>
      </c:lineChart>
      <c:dateAx>
        <c:axId val="1828932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9936"/>
        <c:crosses val="autoZero"/>
        <c:auto val="1"/>
        <c:lblOffset val="0"/>
        <c:baseTimeUnit val="months"/>
      </c:dateAx>
      <c:valAx>
        <c:axId val="1828929936"/>
        <c:scaling>
          <c:orientation val="minMax"/>
          <c:max val="140"/>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2656"/>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33333333333E-2"/>
          <c:y val="6.2713213213213215E-2"/>
          <c:w val="0.86257083333333318"/>
          <c:h val="0.8328986486486486"/>
        </c:manualLayout>
      </c:layout>
      <c:lineChart>
        <c:grouping val="standard"/>
        <c:varyColors val="0"/>
        <c:ser>
          <c:idx val="0"/>
          <c:order val="0"/>
          <c:tx>
            <c:strRef>
              <c:f>'BoP_izvoz usluga'!$S$5</c:f>
              <c:strCache>
                <c:ptCount val="1"/>
                <c:pt idx="0">
                  <c:v>y</c:v>
                </c:pt>
              </c:strCache>
            </c:strRef>
          </c:tx>
          <c:spPr>
            <a:ln w="12700" cap="rnd">
              <a:solidFill>
                <a:srgbClr val="7F3F98"/>
              </a:solidFill>
              <a:prstDash val="sysDash"/>
              <a:round/>
            </a:ln>
            <a:effectLst/>
          </c:spPr>
          <c:marker>
            <c:symbol val="none"/>
          </c:marker>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usluga'!$S$102:$S$144</c:f>
              <c:numCache>
                <c:formatCode>0.0</c:formatCode>
                <c:ptCount val="43"/>
                <c:pt idx="0">
                  <c:v>54.066272578386062</c:v>
                </c:pt>
                <c:pt idx="1">
                  <c:v>58.442931953806998</c:v>
                </c:pt>
                <c:pt idx="2">
                  <c:v>51.005280200426341</c:v>
                </c:pt>
                <c:pt idx="3">
                  <c:v>50.190187998358113</c:v>
                </c:pt>
                <c:pt idx="4">
                  <c:v>46.623896712399713</c:v>
                </c:pt>
                <c:pt idx="5">
                  <c:v>51.36786702532136</c:v>
                </c:pt>
                <c:pt idx="6">
                  <c:v>48.564562605519122</c:v>
                </c:pt>
                <c:pt idx="7">
                  <c:v>44.588254083846763</c:v>
                </c:pt>
                <c:pt idx="8">
                  <c:v>48.91124625903587</c:v>
                </c:pt>
                <c:pt idx="9">
                  <c:v>55.228360578839855</c:v>
                </c:pt>
                <c:pt idx="10">
                  <c:v>53.167840686010635</c:v>
                </c:pt>
                <c:pt idx="11">
                  <c:v>76.152853434245998</c:v>
                </c:pt>
                <c:pt idx="12">
                  <c:v>52.881043483368131</c:v>
                </c:pt>
                <c:pt idx="13">
                  <c:v>55.077538198369261</c:v>
                </c:pt>
                <c:pt idx="14">
                  <c:v>66.141744727788947</c:v>
                </c:pt>
                <c:pt idx="15">
                  <c:v>64.316442368003194</c:v>
                </c:pt>
                <c:pt idx="16">
                  <c:v>61.140083329539053</c:v>
                </c:pt>
                <c:pt idx="17">
                  <c:v>66.878940938540481</c:v>
                </c:pt>
                <c:pt idx="18">
                  <c:v>75.760475400946945</c:v>
                </c:pt>
                <c:pt idx="19">
                  <c:v>65.693578484106311</c:v>
                </c:pt>
                <c:pt idx="20">
                  <c:v>69.337094333426023</c:v>
                </c:pt>
                <c:pt idx="21">
                  <c:v>74.585627458274217</c:v>
                </c:pt>
                <c:pt idx="22">
                  <c:v>76.054963262425218</c:v>
                </c:pt>
                <c:pt idx="23">
                  <c:v>95.878650042720636</c:v>
                </c:pt>
                <c:pt idx="24">
                  <c:v>77.512146787751973</c:v>
                </c:pt>
                <c:pt idx="25">
                  <c:v>76.857476796344287</c:v>
                </c:pt>
                <c:pt idx="26">
                  <c:v>88.278926558637451</c:v>
                </c:pt>
                <c:pt idx="27">
                  <c:v>87.076389761288965</c:v>
                </c:pt>
                <c:pt idx="28">
                  <c:v>94.37552203180941</c:v>
                </c:pt>
                <c:pt idx="29">
                  <c:v>95.686867218875065</c:v>
                </c:pt>
                <c:pt idx="30">
                  <c:v>106.53705860484703</c:v>
                </c:pt>
                <c:pt idx="31">
                  <c:v>106.42843873885204</c:v>
                </c:pt>
                <c:pt idx="32">
                  <c:v>110.8495390075237</c:v>
                </c:pt>
                <c:pt idx="33">
                  <c:v>105.16588171971719</c:v>
                </c:pt>
                <c:pt idx="34">
                  <c:v>110.93968772844016</c:v>
                </c:pt>
                <c:pt idx="35">
                  <c:v>140.29206504591281</c:v>
                </c:pt>
                <c:pt idx="36">
                  <c:v>109.39954735818932</c:v>
                </c:pt>
                <c:pt idx="37">
                  <c:v>112.36308003212218</c:v>
                </c:pt>
                <c:pt idx="38">
                  <c:v>126.97811731298461</c:v>
                </c:pt>
                <c:pt idx="39">
                  <c:v>120.98002004955315</c:v>
                </c:pt>
                <c:pt idx="40">
                  <c:v>124.82154499216385</c:v>
                </c:pt>
                <c:pt idx="41">
                  <c:v>130.83404117101222</c:v>
                </c:pt>
                <c:pt idx="42">
                  <c:v>124.74635573393162</c:v>
                </c:pt>
              </c:numCache>
            </c:numRef>
          </c:val>
          <c:smooth val="0"/>
          <c:extLst>
            <c:ext xmlns:c16="http://schemas.microsoft.com/office/drawing/2014/chart" uri="{C3380CC4-5D6E-409C-BE32-E72D297353CC}">
              <c16:uniqueId val="{00000000-BDAE-4930-A58B-243A7ABCAE37}"/>
            </c:ext>
          </c:extLst>
        </c:ser>
        <c:ser>
          <c:idx val="1"/>
          <c:order val="1"/>
          <c:tx>
            <c:strRef>
              <c:f>'BoP_izvoz usluga'!$T$5</c:f>
              <c:strCache>
                <c:ptCount val="1"/>
                <c:pt idx="0">
                  <c:v>sa</c:v>
                </c:pt>
              </c:strCache>
            </c:strRef>
          </c:tx>
          <c:spPr>
            <a:ln w="22225" cap="rnd">
              <a:solidFill>
                <a:srgbClr val="25AAE1"/>
              </a:solidFill>
              <a:round/>
            </a:ln>
            <a:effectLst/>
          </c:spPr>
          <c:marker>
            <c:symbol val="none"/>
          </c:marker>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usluga'!$T$102:$T$144</c:f>
              <c:numCache>
                <c:formatCode>0.0</c:formatCode>
                <c:ptCount val="43"/>
                <c:pt idx="0">
                  <c:v>59.108517724362514</c:v>
                </c:pt>
                <c:pt idx="1">
                  <c:v>56.478096459867565</c:v>
                </c:pt>
                <c:pt idx="2">
                  <c:v>50.252936657817202</c:v>
                </c:pt>
                <c:pt idx="3">
                  <c:v>49.995538471496147</c:v>
                </c:pt>
                <c:pt idx="4">
                  <c:v>49.142778353017505</c:v>
                </c:pt>
                <c:pt idx="5">
                  <c:v>51.57002888088472</c:v>
                </c:pt>
                <c:pt idx="6">
                  <c:v>45.107496208332904</c:v>
                </c:pt>
                <c:pt idx="7">
                  <c:v>49.956722097684775</c:v>
                </c:pt>
                <c:pt idx="8">
                  <c:v>51.131103575265904</c:v>
                </c:pt>
                <c:pt idx="9">
                  <c:v>51.636768194665898</c:v>
                </c:pt>
                <c:pt idx="10">
                  <c:v>55.89416850591666</c:v>
                </c:pt>
                <c:pt idx="11">
                  <c:v>61.639164603622106</c:v>
                </c:pt>
                <c:pt idx="12">
                  <c:v>59.47450875780541</c:v>
                </c:pt>
                <c:pt idx="13">
                  <c:v>58.783169757682593</c:v>
                </c:pt>
                <c:pt idx="14">
                  <c:v>64.569980521403522</c:v>
                </c:pt>
                <c:pt idx="15">
                  <c:v>61.691863438474186</c:v>
                </c:pt>
                <c:pt idx="16">
                  <c:v>65.541131742807423</c:v>
                </c:pt>
                <c:pt idx="17">
                  <c:v>66.850072883834116</c:v>
                </c:pt>
                <c:pt idx="18">
                  <c:v>70.575920505629639</c:v>
                </c:pt>
                <c:pt idx="19">
                  <c:v>70.288900621251358</c:v>
                </c:pt>
                <c:pt idx="20">
                  <c:v>73.00307471878503</c:v>
                </c:pt>
                <c:pt idx="21">
                  <c:v>72.720027578048388</c:v>
                </c:pt>
                <c:pt idx="22">
                  <c:v>77.795507915827912</c:v>
                </c:pt>
                <c:pt idx="23">
                  <c:v>78.038230289450951</c:v>
                </c:pt>
                <c:pt idx="24">
                  <c:v>86.702444540524311</c:v>
                </c:pt>
                <c:pt idx="25">
                  <c:v>82.293570577602821</c:v>
                </c:pt>
                <c:pt idx="26">
                  <c:v>83.471504657070071</c:v>
                </c:pt>
                <c:pt idx="27">
                  <c:v>87.263685813294956</c:v>
                </c:pt>
                <c:pt idx="28">
                  <c:v>96.462941860115095</c:v>
                </c:pt>
                <c:pt idx="29">
                  <c:v>96.681642796328973</c:v>
                </c:pt>
                <c:pt idx="30">
                  <c:v>103.23268396111843</c:v>
                </c:pt>
                <c:pt idx="31">
                  <c:v>112.50993816587639</c:v>
                </c:pt>
                <c:pt idx="32">
                  <c:v>112.28152547065457</c:v>
                </c:pt>
                <c:pt idx="33">
                  <c:v>107.64763598448168</c:v>
                </c:pt>
                <c:pt idx="34">
                  <c:v>112.65223880716646</c:v>
                </c:pt>
                <c:pt idx="35">
                  <c:v>115.09670189719554</c:v>
                </c:pt>
                <c:pt idx="36">
                  <c:v>115.03190692848702</c:v>
                </c:pt>
                <c:pt idx="37">
                  <c:v>118.98359624379214</c:v>
                </c:pt>
                <c:pt idx="38">
                  <c:v>121.33226785377551</c:v>
                </c:pt>
                <c:pt idx="39">
                  <c:v>127.08733972979186</c:v>
                </c:pt>
                <c:pt idx="40">
                  <c:v>130.16460924048241</c:v>
                </c:pt>
                <c:pt idx="41">
                  <c:v>127.83943037917714</c:v>
                </c:pt>
                <c:pt idx="42">
                  <c:v>125.96498988875332</c:v>
                </c:pt>
              </c:numCache>
            </c:numRef>
          </c:val>
          <c:smooth val="0"/>
          <c:extLst>
            <c:ext xmlns:c16="http://schemas.microsoft.com/office/drawing/2014/chart" uri="{C3380CC4-5D6E-409C-BE32-E72D297353CC}">
              <c16:uniqueId val="{00000001-BDAE-4930-A58B-243A7ABCAE37}"/>
            </c:ext>
          </c:extLst>
        </c:ser>
        <c:ser>
          <c:idx val="2"/>
          <c:order val="2"/>
          <c:tx>
            <c:strRef>
              <c:f>'BoP_izvoz usluga'!$U$5</c:f>
              <c:strCache>
                <c:ptCount val="1"/>
                <c:pt idx="0">
                  <c:v>t</c:v>
                </c:pt>
              </c:strCache>
            </c:strRef>
          </c:tx>
          <c:spPr>
            <a:ln w="25400" cap="rnd">
              <a:solidFill>
                <a:srgbClr val="FF0000"/>
              </a:solidFill>
              <a:round/>
            </a:ln>
            <a:effectLst/>
          </c:spPr>
          <c:marker>
            <c:symbol val="none"/>
          </c:marker>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usluga'!$U$102:$U$144</c:f>
              <c:numCache>
                <c:formatCode>0.0</c:formatCode>
                <c:ptCount val="43"/>
                <c:pt idx="0">
                  <c:v>54.86029238866891</c:v>
                </c:pt>
                <c:pt idx="1">
                  <c:v>53.78794616570837</c:v>
                </c:pt>
                <c:pt idx="2">
                  <c:v>52.400966612764158</c:v>
                </c:pt>
                <c:pt idx="3">
                  <c:v>51.102998471097408</c:v>
                </c:pt>
                <c:pt idx="4">
                  <c:v>50.082662480184716</c:v>
                </c:pt>
                <c:pt idx="5">
                  <c:v>49.545108750424589</c:v>
                </c:pt>
                <c:pt idx="6">
                  <c:v>49.554794756070969</c:v>
                </c:pt>
                <c:pt idx="7">
                  <c:v>50.304009574567914</c:v>
                </c:pt>
                <c:pt idx="8">
                  <c:v>51.505230614790428</c:v>
                </c:pt>
                <c:pt idx="9">
                  <c:v>53.125786740786793</c:v>
                </c:pt>
                <c:pt idx="10">
                  <c:v>55.096538355881897</c:v>
                </c:pt>
                <c:pt idx="11">
                  <c:v>57.160835085109852</c:v>
                </c:pt>
                <c:pt idx="12">
                  <c:v>59.043037345802013</c:v>
                </c:pt>
                <c:pt idx="13">
                  <c:v>60.66355323963262</c:v>
                </c:pt>
                <c:pt idx="14">
                  <c:v>62.163060627611586</c:v>
                </c:pt>
                <c:pt idx="15">
                  <c:v>63.729428245256436</c:v>
                </c:pt>
                <c:pt idx="16">
                  <c:v>65.405947579515285</c:v>
                </c:pt>
                <c:pt idx="17">
                  <c:v>67.21152804675387</c:v>
                </c:pt>
                <c:pt idx="18">
                  <c:v>69.015207811860435</c:v>
                </c:pt>
                <c:pt idx="19">
                  <c:v>70.803054436438671</c:v>
                </c:pt>
                <c:pt idx="20">
                  <c:v>72.652910920148457</c:v>
                </c:pt>
                <c:pt idx="21">
                  <c:v>74.557755930182495</c:v>
                </c:pt>
                <c:pt idx="22">
                  <c:v>76.312066226141354</c:v>
                </c:pt>
                <c:pt idx="23">
                  <c:v>78.137278907827508</c:v>
                </c:pt>
                <c:pt idx="24">
                  <c:v>80.143486964670473</c:v>
                </c:pt>
                <c:pt idx="25">
                  <c:v>82.427050412034845</c:v>
                </c:pt>
                <c:pt idx="26">
                  <c:v>85.29323857412983</c:v>
                </c:pt>
                <c:pt idx="27">
                  <c:v>89.196866964867951</c:v>
                </c:pt>
                <c:pt idx="28">
                  <c:v>93.993926406364622</c:v>
                </c:pt>
                <c:pt idx="29">
                  <c:v>99.123830072918764</c:v>
                </c:pt>
                <c:pt idx="30">
                  <c:v>103.84219577965852</c:v>
                </c:pt>
                <c:pt idx="31">
                  <c:v>107.58026985691343</c:v>
                </c:pt>
                <c:pt idx="32">
                  <c:v>110.11388345943129</c:v>
                </c:pt>
                <c:pt idx="33">
                  <c:v>111.67075865543285</c:v>
                </c:pt>
                <c:pt idx="34">
                  <c:v>112.82205515319868</c:v>
                </c:pt>
                <c:pt idx="35">
                  <c:v>114.27846017619116</c:v>
                </c:pt>
                <c:pt idx="36">
                  <c:v>116.50661471984128</c:v>
                </c:pt>
                <c:pt idx="37">
                  <c:v>119.40542529974996</c:v>
                </c:pt>
                <c:pt idx="38">
                  <c:v>122.41451223866584</c:v>
                </c:pt>
                <c:pt idx="39">
                  <c:v>124.87260574243933</c:v>
                </c:pt>
                <c:pt idx="40">
                  <c:v>126.89000814983837</c:v>
                </c:pt>
                <c:pt idx="41">
                  <c:v>128.76641840109698</c:v>
                </c:pt>
                <c:pt idx="42">
                  <c:v>130.62816222085314</c:v>
                </c:pt>
              </c:numCache>
            </c:numRef>
          </c:val>
          <c:smooth val="0"/>
          <c:extLst>
            <c:ext xmlns:c16="http://schemas.microsoft.com/office/drawing/2014/chart" uri="{C3380CC4-5D6E-409C-BE32-E72D297353CC}">
              <c16:uniqueId val="{00000002-BDAE-4930-A58B-243A7ABCAE37}"/>
            </c:ext>
          </c:extLst>
        </c:ser>
        <c:ser>
          <c:idx val="3"/>
          <c:order val="3"/>
          <c:tx>
            <c:strRef>
              <c:f>'BoP_izvoz usluga'!$V$5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3339567129186383E-2"/>
                  <c:y val="6.551126126126126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DAE-4930-A58B-243A7ABCAE37}"/>
                </c:ext>
              </c:extLst>
            </c:dLbl>
            <c:dLbl>
              <c:idx val="12"/>
              <c:layout>
                <c:manualLayout>
                  <c:x val="6.4711787068030241E-2"/>
                  <c:y val="6.551126126126126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DAE-4930-A58B-243A7ABCAE37}"/>
                </c:ext>
              </c:extLst>
            </c:dLbl>
            <c:dLbl>
              <c:idx val="24"/>
              <c:layout>
                <c:manualLayout>
                  <c:x val="6.2776205574682373E-2"/>
                  <c:y val="6.551126126126126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DAE-4930-A58B-243A7ABCAE37}"/>
                </c:ext>
              </c:extLst>
            </c:dLbl>
            <c:dLbl>
              <c:idx val="36"/>
              <c:layout>
                <c:manualLayout>
                  <c:x val="3.0964334174968938E-3"/>
                  <c:y val="4.644219219219219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DAE-4930-A58B-243A7ABCAE37}"/>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usluga'!$V$102:$V$144</c:f>
              <c:numCache>
                <c:formatCode>General</c:formatCode>
                <c:ptCount val="43"/>
                <c:pt idx="0">
                  <c:v>20</c:v>
                </c:pt>
                <c:pt idx="12">
                  <c:v>20</c:v>
                </c:pt>
                <c:pt idx="24">
                  <c:v>20</c:v>
                </c:pt>
                <c:pt idx="36">
                  <c:v>20</c:v>
                </c:pt>
              </c:numCache>
            </c:numRef>
          </c:val>
          <c:smooth val="0"/>
          <c:extLst>
            <c:ext xmlns:c16="http://schemas.microsoft.com/office/drawing/2014/chart" uri="{C3380CC4-5D6E-409C-BE32-E72D297353CC}">
              <c16:uniqueId val="{00000007-BDAE-4930-A58B-243A7ABCAE37}"/>
            </c:ext>
          </c:extLst>
        </c:ser>
        <c:ser>
          <c:idx val="4"/>
          <c:order val="4"/>
          <c:tx>
            <c:strRef>
              <c:f>'BoP_izvoz usluga'!$W$5</c:f>
              <c:strCache>
                <c:ptCount val="1"/>
                <c:pt idx="0">
                  <c:v>Series5</c:v>
                </c:pt>
              </c:strCache>
            </c:strRef>
          </c:tx>
          <c:spPr>
            <a:ln w="28575" cap="rnd">
              <a:noFill/>
              <a:round/>
            </a:ln>
            <a:effectLst/>
          </c:spPr>
          <c:marker>
            <c:symbol val="none"/>
          </c:marker>
          <c:dLbls>
            <c:dLbl>
              <c:idx val="0"/>
              <c:tx>
                <c:rich>
                  <a:bodyPr/>
                  <a:lstStyle/>
                  <a:p>
                    <a:fld id="{9944D23D-A09A-48C8-882B-67448B0F5A2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BDAE-4930-A58B-243A7ABCAE37}"/>
                </c:ext>
              </c:extLst>
            </c:dLbl>
            <c:dLbl>
              <c:idx val="1"/>
              <c:tx>
                <c:rich>
                  <a:bodyPr/>
                  <a:lstStyle/>
                  <a:p>
                    <a:fld id="{CE7025EA-B8B9-49DA-8FB3-3D5E8455D2D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BDAE-4930-A58B-243A7ABCAE37}"/>
                </c:ext>
              </c:extLst>
            </c:dLbl>
            <c:dLbl>
              <c:idx val="2"/>
              <c:tx>
                <c:rich>
                  <a:bodyPr/>
                  <a:lstStyle/>
                  <a:p>
                    <a:fld id="{95D5DB50-0105-48EE-9DCE-19C2775C66B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BDAE-4930-A58B-243A7ABCAE37}"/>
                </c:ext>
              </c:extLst>
            </c:dLbl>
            <c:dLbl>
              <c:idx val="3"/>
              <c:tx>
                <c:rich>
                  <a:bodyPr/>
                  <a:lstStyle/>
                  <a:p>
                    <a:fld id="{1983820E-E829-438A-9169-6A62EB1381A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BDAE-4930-A58B-243A7ABCAE37}"/>
                </c:ext>
              </c:extLst>
            </c:dLbl>
            <c:dLbl>
              <c:idx val="4"/>
              <c:tx>
                <c:rich>
                  <a:bodyPr/>
                  <a:lstStyle/>
                  <a:p>
                    <a:fld id="{4BCC7EE6-62AD-4D4D-A2D9-7BEBEF2F707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BDAE-4930-A58B-243A7ABCAE37}"/>
                </c:ext>
              </c:extLst>
            </c:dLbl>
            <c:dLbl>
              <c:idx val="5"/>
              <c:tx>
                <c:rich>
                  <a:bodyPr/>
                  <a:lstStyle/>
                  <a:p>
                    <a:fld id="{580F6444-32EC-4279-A4DF-ED5FE756308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BDAE-4930-A58B-243A7ABCAE37}"/>
                </c:ext>
              </c:extLst>
            </c:dLbl>
            <c:dLbl>
              <c:idx val="6"/>
              <c:tx>
                <c:rich>
                  <a:bodyPr/>
                  <a:lstStyle/>
                  <a:p>
                    <a:fld id="{05B1954C-610C-4B19-895B-27AFFBEACA6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BDAE-4930-A58B-243A7ABCAE37}"/>
                </c:ext>
              </c:extLst>
            </c:dLbl>
            <c:dLbl>
              <c:idx val="7"/>
              <c:tx>
                <c:rich>
                  <a:bodyPr/>
                  <a:lstStyle/>
                  <a:p>
                    <a:fld id="{E2BA9AB0-A88F-4AA5-98C7-AE281362FFC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BDAE-4930-A58B-243A7ABCAE37}"/>
                </c:ext>
              </c:extLst>
            </c:dLbl>
            <c:dLbl>
              <c:idx val="8"/>
              <c:tx>
                <c:rich>
                  <a:bodyPr/>
                  <a:lstStyle/>
                  <a:p>
                    <a:fld id="{7FFD6FFA-012C-4641-92C6-26259F7CF99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BDAE-4930-A58B-243A7ABCAE37}"/>
                </c:ext>
              </c:extLst>
            </c:dLbl>
            <c:dLbl>
              <c:idx val="9"/>
              <c:tx>
                <c:rich>
                  <a:bodyPr/>
                  <a:lstStyle/>
                  <a:p>
                    <a:fld id="{66D64587-4BC9-4D65-928D-441C5104B7A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BDAE-4930-A58B-243A7ABCAE37}"/>
                </c:ext>
              </c:extLst>
            </c:dLbl>
            <c:dLbl>
              <c:idx val="10"/>
              <c:tx>
                <c:rich>
                  <a:bodyPr/>
                  <a:lstStyle/>
                  <a:p>
                    <a:fld id="{07495A71-1CF1-4891-9C27-D7D753B2BA4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BDAE-4930-A58B-243A7ABCAE37}"/>
                </c:ext>
              </c:extLst>
            </c:dLbl>
            <c:dLbl>
              <c:idx val="11"/>
              <c:tx>
                <c:rich>
                  <a:bodyPr/>
                  <a:lstStyle/>
                  <a:p>
                    <a:fld id="{7327D359-4CC7-42DF-BAF9-B01945D73B0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BDAE-4930-A58B-243A7ABCAE37}"/>
                </c:ext>
              </c:extLst>
            </c:dLbl>
            <c:dLbl>
              <c:idx val="12"/>
              <c:tx>
                <c:rich>
                  <a:bodyPr/>
                  <a:lstStyle/>
                  <a:p>
                    <a:fld id="{9C6155DE-B104-4F17-B88C-F8E00F5FF4D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BDAE-4930-A58B-243A7ABCAE37}"/>
                </c:ext>
              </c:extLst>
            </c:dLbl>
            <c:dLbl>
              <c:idx val="13"/>
              <c:tx>
                <c:rich>
                  <a:bodyPr/>
                  <a:lstStyle/>
                  <a:p>
                    <a:fld id="{A9E9F703-6262-4413-97D7-CB079768DC7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BDAE-4930-A58B-243A7ABCAE37}"/>
                </c:ext>
              </c:extLst>
            </c:dLbl>
            <c:dLbl>
              <c:idx val="14"/>
              <c:tx>
                <c:rich>
                  <a:bodyPr/>
                  <a:lstStyle/>
                  <a:p>
                    <a:fld id="{D2CFFFF9-936E-4A42-9CEB-1180A563AC0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BDAE-4930-A58B-243A7ABCAE37}"/>
                </c:ext>
              </c:extLst>
            </c:dLbl>
            <c:dLbl>
              <c:idx val="15"/>
              <c:tx>
                <c:rich>
                  <a:bodyPr/>
                  <a:lstStyle/>
                  <a:p>
                    <a:fld id="{66A3160F-135C-4CC7-A0CD-8A63D8509E8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BDAE-4930-A58B-243A7ABCAE37}"/>
                </c:ext>
              </c:extLst>
            </c:dLbl>
            <c:dLbl>
              <c:idx val="16"/>
              <c:tx>
                <c:rich>
                  <a:bodyPr/>
                  <a:lstStyle/>
                  <a:p>
                    <a:fld id="{BC34C4F3-D104-4B9C-BD4B-E09DD74A82D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BDAE-4930-A58B-243A7ABCAE37}"/>
                </c:ext>
              </c:extLst>
            </c:dLbl>
            <c:dLbl>
              <c:idx val="17"/>
              <c:tx>
                <c:rich>
                  <a:bodyPr/>
                  <a:lstStyle/>
                  <a:p>
                    <a:fld id="{B89EDCEC-1738-4E4B-BEFA-0B8B37F65B1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BDAE-4930-A58B-243A7ABCAE37}"/>
                </c:ext>
              </c:extLst>
            </c:dLbl>
            <c:dLbl>
              <c:idx val="18"/>
              <c:tx>
                <c:rich>
                  <a:bodyPr/>
                  <a:lstStyle/>
                  <a:p>
                    <a:fld id="{58ABF4C4-1F80-45D6-B5E3-99A6CC728FD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BDAE-4930-A58B-243A7ABCAE37}"/>
                </c:ext>
              </c:extLst>
            </c:dLbl>
            <c:dLbl>
              <c:idx val="19"/>
              <c:tx>
                <c:rich>
                  <a:bodyPr/>
                  <a:lstStyle/>
                  <a:p>
                    <a:fld id="{5429C14E-08A9-43F1-9223-20855554498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BDAE-4930-A58B-243A7ABCAE37}"/>
                </c:ext>
              </c:extLst>
            </c:dLbl>
            <c:dLbl>
              <c:idx val="20"/>
              <c:tx>
                <c:rich>
                  <a:bodyPr/>
                  <a:lstStyle/>
                  <a:p>
                    <a:fld id="{D0ACE551-51AC-4BAA-81D0-B3C3D19BC13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BDAE-4930-A58B-243A7ABCAE37}"/>
                </c:ext>
              </c:extLst>
            </c:dLbl>
            <c:dLbl>
              <c:idx val="21"/>
              <c:tx>
                <c:rich>
                  <a:bodyPr/>
                  <a:lstStyle/>
                  <a:p>
                    <a:fld id="{7A30F9AB-81D9-4702-9FAC-8B374CD1CDC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BDAE-4930-A58B-243A7ABCAE37}"/>
                </c:ext>
              </c:extLst>
            </c:dLbl>
            <c:dLbl>
              <c:idx val="22"/>
              <c:tx>
                <c:rich>
                  <a:bodyPr/>
                  <a:lstStyle/>
                  <a:p>
                    <a:fld id="{9C096E8C-C658-43F1-959C-5E2F2F17C8D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BDAE-4930-A58B-243A7ABCAE37}"/>
                </c:ext>
              </c:extLst>
            </c:dLbl>
            <c:dLbl>
              <c:idx val="23"/>
              <c:tx>
                <c:rich>
                  <a:bodyPr/>
                  <a:lstStyle/>
                  <a:p>
                    <a:fld id="{ED077A42-9A5A-46A1-88A5-2A3FECDBBDC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BDAE-4930-A58B-243A7ABCAE37}"/>
                </c:ext>
              </c:extLst>
            </c:dLbl>
            <c:dLbl>
              <c:idx val="24"/>
              <c:tx>
                <c:rich>
                  <a:bodyPr/>
                  <a:lstStyle/>
                  <a:p>
                    <a:fld id="{E7C57C14-03BB-4291-B05D-857990CE84E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BDAE-4930-A58B-243A7ABCAE37}"/>
                </c:ext>
              </c:extLst>
            </c:dLbl>
            <c:dLbl>
              <c:idx val="25"/>
              <c:tx>
                <c:rich>
                  <a:bodyPr/>
                  <a:lstStyle/>
                  <a:p>
                    <a:fld id="{C8DA6ED9-CEED-4FA7-A524-86B71632775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BDAE-4930-A58B-243A7ABCAE37}"/>
                </c:ext>
              </c:extLst>
            </c:dLbl>
            <c:dLbl>
              <c:idx val="26"/>
              <c:tx>
                <c:rich>
                  <a:bodyPr/>
                  <a:lstStyle/>
                  <a:p>
                    <a:fld id="{F83ACD71-A84A-4911-84C9-1C53A22A5C0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BDAE-4930-A58B-243A7ABCAE37}"/>
                </c:ext>
              </c:extLst>
            </c:dLbl>
            <c:dLbl>
              <c:idx val="27"/>
              <c:tx>
                <c:rich>
                  <a:bodyPr/>
                  <a:lstStyle/>
                  <a:p>
                    <a:fld id="{9659F4C2-B61D-4833-A343-CC51795FDE6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BDAE-4930-A58B-243A7ABCAE37}"/>
                </c:ext>
              </c:extLst>
            </c:dLbl>
            <c:dLbl>
              <c:idx val="28"/>
              <c:tx>
                <c:rich>
                  <a:bodyPr/>
                  <a:lstStyle/>
                  <a:p>
                    <a:fld id="{94D8D6FC-5D56-482D-959E-A860F0D0115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BDAE-4930-A58B-243A7ABCAE37}"/>
                </c:ext>
              </c:extLst>
            </c:dLbl>
            <c:dLbl>
              <c:idx val="29"/>
              <c:tx>
                <c:rich>
                  <a:bodyPr/>
                  <a:lstStyle/>
                  <a:p>
                    <a:fld id="{C2A81E3D-0411-419A-8D7E-8A6CB8840CE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BDAE-4930-A58B-243A7ABCAE37}"/>
                </c:ext>
              </c:extLst>
            </c:dLbl>
            <c:dLbl>
              <c:idx val="30"/>
              <c:tx>
                <c:rich>
                  <a:bodyPr/>
                  <a:lstStyle/>
                  <a:p>
                    <a:fld id="{6F95A555-CFD1-44C1-95EC-B1671B51259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BDAE-4930-A58B-243A7ABCAE37}"/>
                </c:ext>
              </c:extLst>
            </c:dLbl>
            <c:dLbl>
              <c:idx val="31"/>
              <c:tx>
                <c:rich>
                  <a:bodyPr/>
                  <a:lstStyle/>
                  <a:p>
                    <a:fld id="{9E92FAF3-30E6-4D2A-8EF2-6574C02CCB3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BDAE-4930-A58B-243A7ABCAE37}"/>
                </c:ext>
              </c:extLst>
            </c:dLbl>
            <c:dLbl>
              <c:idx val="32"/>
              <c:tx>
                <c:rich>
                  <a:bodyPr/>
                  <a:lstStyle/>
                  <a:p>
                    <a:fld id="{F08909EA-80AE-4862-8D28-171C256E380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BDAE-4930-A58B-243A7ABCAE37}"/>
                </c:ext>
              </c:extLst>
            </c:dLbl>
            <c:dLbl>
              <c:idx val="33"/>
              <c:tx>
                <c:rich>
                  <a:bodyPr/>
                  <a:lstStyle/>
                  <a:p>
                    <a:fld id="{94F21F11-0C41-42B9-BF69-56DD2112831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BDAE-4930-A58B-243A7ABCAE37}"/>
                </c:ext>
              </c:extLst>
            </c:dLbl>
            <c:dLbl>
              <c:idx val="34"/>
              <c:tx>
                <c:rich>
                  <a:bodyPr/>
                  <a:lstStyle/>
                  <a:p>
                    <a:fld id="{3505E2DC-DE32-4CA4-98FB-94DE374BD36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BDAE-4930-A58B-243A7ABCAE37}"/>
                </c:ext>
              </c:extLst>
            </c:dLbl>
            <c:dLbl>
              <c:idx val="35"/>
              <c:tx>
                <c:rich>
                  <a:bodyPr/>
                  <a:lstStyle/>
                  <a:p>
                    <a:fld id="{B5923AAE-504F-4FAB-8970-E2D231E28CE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BDAE-4930-A58B-243A7ABCAE37}"/>
                </c:ext>
              </c:extLst>
            </c:dLbl>
            <c:dLbl>
              <c:idx val="36"/>
              <c:tx>
                <c:rich>
                  <a:bodyPr/>
                  <a:lstStyle/>
                  <a:p>
                    <a:fld id="{E497E4EA-0522-469D-860B-3AD0116B137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BDAE-4930-A58B-243A7ABCAE37}"/>
                </c:ext>
              </c:extLst>
            </c:dLbl>
            <c:dLbl>
              <c:idx val="37"/>
              <c:tx>
                <c:rich>
                  <a:bodyPr/>
                  <a:lstStyle/>
                  <a:p>
                    <a:fld id="{8B783ED2-FA83-41CD-8616-B721881F5C1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BDAE-4930-A58B-243A7ABCAE37}"/>
                </c:ext>
              </c:extLst>
            </c:dLbl>
            <c:dLbl>
              <c:idx val="38"/>
              <c:tx>
                <c:rich>
                  <a:bodyPr/>
                  <a:lstStyle/>
                  <a:p>
                    <a:fld id="{1C631D65-A36B-414A-88A0-72D78DA3921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BDAE-4930-A58B-243A7ABCAE37}"/>
                </c:ext>
              </c:extLst>
            </c:dLbl>
            <c:dLbl>
              <c:idx val="39"/>
              <c:tx>
                <c:rich>
                  <a:bodyPr/>
                  <a:lstStyle/>
                  <a:p>
                    <a:fld id="{BFB093F5-DE62-4507-AEE2-FC6A9D57701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BDAE-4930-A58B-243A7ABCAE37}"/>
                </c:ext>
              </c:extLst>
            </c:dLbl>
            <c:dLbl>
              <c:idx val="40"/>
              <c:tx>
                <c:rich>
                  <a:bodyPr/>
                  <a:lstStyle/>
                  <a:p>
                    <a:fld id="{9EC82213-5546-43AB-8B29-89CA3469EC3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BDAE-4930-A58B-243A7ABCAE37}"/>
                </c:ext>
              </c:extLst>
            </c:dLbl>
            <c:dLbl>
              <c:idx val="41"/>
              <c:tx>
                <c:rich>
                  <a:bodyPr/>
                  <a:lstStyle/>
                  <a:p>
                    <a:fld id="{D60C6846-BA0F-4DCE-913E-8EFA90DAB3A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BDAE-4930-A58B-243A7ABCAE37}"/>
                </c:ext>
              </c:extLst>
            </c:dLbl>
            <c:dLbl>
              <c:idx val="42"/>
              <c:tx>
                <c:rich>
                  <a:bodyPr/>
                  <a:lstStyle/>
                  <a:p>
                    <a:fld id="{90E795DC-8236-404A-8BD5-B8E900821B7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BDAE-4930-A58B-243A7ABCAE37}"/>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usluga'!$W$102:$W$144</c:f>
              <c:numCache>
                <c:formatCode>General</c:formatCode>
                <c:ptCount val="43"/>
                <c:pt idx="0">
                  <c:v>20</c:v>
                </c:pt>
                <c:pt idx="1">
                  <c:v>20</c:v>
                </c:pt>
                <c:pt idx="2">
                  <c:v>20</c:v>
                </c:pt>
                <c:pt idx="3">
                  <c:v>20</c:v>
                </c:pt>
                <c:pt idx="4">
                  <c:v>20</c:v>
                </c:pt>
                <c:pt idx="5">
                  <c:v>20</c:v>
                </c:pt>
                <c:pt idx="6">
                  <c:v>20</c:v>
                </c:pt>
                <c:pt idx="7">
                  <c:v>20</c:v>
                </c:pt>
                <c:pt idx="8">
                  <c:v>20</c:v>
                </c:pt>
                <c:pt idx="9">
                  <c:v>20</c:v>
                </c:pt>
                <c:pt idx="10">
                  <c:v>20</c:v>
                </c:pt>
                <c:pt idx="11">
                  <c:v>20</c:v>
                </c:pt>
                <c:pt idx="12">
                  <c:v>20</c:v>
                </c:pt>
                <c:pt idx="13">
                  <c:v>20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pt idx="38">
                  <c:v>20</c:v>
                </c:pt>
                <c:pt idx="39">
                  <c:v>20</c:v>
                </c:pt>
                <c:pt idx="40">
                  <c:v>20</c:v>
                </c:pt>
                <c:pt idx="41">
                  <c:v>20</c:v>
                </c:pt>
                <c:pt idx="42">
                  <c:v>20</c:v>
                </c:pt>
              </c:numCache>
            </c:numRef>
          </c:val>
          <c:smooth val="0"/>
          <c:extLst>
            <c:ext xmlns:c15="http://schemas.microsoft.com/office/drawing/2012/chart" uri="{02D57815-91ED-43cb-92C2-25804820EDAC}">
              <c15:datalabelsRange>
                <c15:f>'BoP_izvoz usluga'!$J$102:$J$144</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3-BDAE-4930-A58B-243A7ABCAE37}"/>
            </c:ext>
          </c:extLst>
        </c:ser>
        <c:dLbls>
          <c:showLegendKey val="0"/>
          <c:showVal val="0"/>
          <c:showCatName val="0"/>
          <c:showSerName val="0"/>
          <c:showPercent val="0"/>
          <c:showBubbleSize val="0"/>
        </c:dLbls>
        <c:smooth val="0"/>
        <c:axId val="1828932656"/>
        <c:axId val="1828929936"/>
      </c:lineChart>
      <c:dateAx>
        <c:axId val="1828932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9936"/>
        <c:crosses val="autoZero"/>
        <c:auto val="1"/>
        <c:lblOffset val="0"/>
        <c:baseTimeUnit val="months"/>
      </c:dateAx>
      <c:valAx>
        <c:axId val="1828929936"/>
        <c:scaling>
          <c:orientation val="minMax"/>
          <c:max val="150"/>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2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3.9500937320235463E-2"/>
          <c:w val="0.86702970650144162"/>
          <c:h val="0.84243318318318317"/>
        </c:manualLayout>
      </c:layout>
      <c:lineChart>
        <c:grouping val="standard"/>
        <c:varyColors val="0"/>
        <c:ser>
          <c:idx val="0"/>
          <c:order val="0"/>
          <c:tx>
            <c:strRef>
              <c:f>'BoP_izvoz usluga'!$E$5</c:f>
              <c:strCache>
                <c:ptCount val="1"/>
                <c:pt idx="0">
                  <c:v>y</c:v>
                </c:pt>
              </c:strCache>
            </c:strRef>
          </c:tx>
          <c:spPr>
            <a:ln w="12700" cap="rnd">
              <a:solidFill>
                <a:srgbClr val="7F3F98"/>
              </a:solidFill>
              <a:prstDash val="sysDash"/>
              <a:round/>
            </a:ln>
            <a:effectLst/>
          </c:spPr>
          <c:marker>
            <c:symbol val="none"/>
          </c:marker>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usluga'!$E$102:$E$144</c:f>
              <c:numCache>
                <c:formatCode>0.0</c:formatCode>
                <c:ptCount val="43"/>
                <c:pt idx="0">
                  <c:v>62.665559762000001</c:v>
                </c:pt>
                <c:pt idx="1">
                  <c:v>57.373902315999999</c:v>
                </c:pt>
                <c:pt idx="2">
                  <c:v>55.277166893999997</c:v>
                </c:pt>
                <c:pt idx="3">
                  <c:v>42.585532346000001</c:v>
                </c:pt>
                <c:pt idx="4">
                  <c:v>36.658364138000003</c:v>
                </c:pt>
                <c:pt idx="5">
                  <c:v>38.677470145999997</c:v>
                </c:pt>
                <c:pt idx="6">
                  <c:v>45.339205233999998</c:v>
                </c:pt>
                <c:pt idx="7">
                  <c:v>45.408216605</c:v>
                </c:pt>
                <c:pt idx="8">
                  <c:v>52.464598915000003</c:v>
                </c:pt>
                <c:pt idx="9">
                  <c:v>54.565029985000002</c:v>
                </c:pt>
                <c:pt idx="10">
                  <c:v>58.623022570000003</c:v>
                </c:pt>
                <c:pt idx="11">
                  <c:v>62.781477987999999</c:v>
                </c:pt>
                <c:pt idx="12">
                  <c:v>49.116994669999997</c:v>
                </c:pt>
                <c:pt idx="13">
                  <c:v>49.549264213000001</c:v>
                </c:pt>
                <c:pt idx="14">
                  <c:v>59.726009910000002</c:v>
                </c:pt>
                <c:pt idx="15">
                  <c:v>56.136702347000003</c:v>
                </c:pt>
                <c:pt idx="16">
                  <c:v>60.856990386</c:v>
                </c:pt>
                <c:pt idx="17">
                  <c:v>74.236259489000005</c:v>
                </c:pt>
                <c:pt idx="18">
                  <c:v>70.938777666999997</c:v>
                </c:pt>
                <c:pt idx="19">
                  <c:v>69.552009061999996</c:v>
                </c:pt>
                <c:pt idx="20">
                  <c:v>67.537755007000001</c:v>
                </c:pt>
                <c:pt idx="21">
                  <c:v>69.253953581000005</c:v>
                </c:pt>
                <c:pt idx="22">
                  <c:v>84.964471853999996</c:v>
                </c:pt>
                <c:pt idx="23">
                  <c:v>88.416828449999997</c:v>
                </c:pt>
                <c:pt idx="24">
                  <c:v>71.003260299000004</c:v>
                </c:pt>
                <c:pt idx="25">
                  <c:v>69.146856791999994</c:v>
                </c:pt>
                <c:pt idx="26">
                  <c:v>86.330059265000003</c:v>
                </c:pt>
                <c:pt idx="27">
                  <c:v>85.069492291000003</c:v>
                </c:pt>
                <c:pt idx="28">
                  <c:v>93.264092594000005</c:v>
                </c:pt>
                <c:pt idx="29">
                  <c:v>108.978865875</c:v>
                </c:pt>
                <c:pt idx="30">
                  <c:v>108.80868721500001</c:v>
                </c:pt>
                <c:pt idx="31">
                  <c:v>118.704948664</c:v>
                </c:pt>
                <c:pt idx="32">
                  <c:v>119.93281390600001</c:v>
                </c:pt>
                <c:pt idx="33">
                  <c:v>96.490914184000005</c:v>
                </c:pt>
                <c:pt idx="34">
                  <c:v>124.897888759</c:v>
                </c:pt>
                <c:pt idx="35">
                  <c:v>117.372120158</c:v>
                </c:pt>
                <c:pt idx="36">
                  <c:v>107.525816363</c:v>
                </c:pt>
                <c:pt idx="37">
                  <c:v>101.592726228</c:v>
                </c:pt>
                <c:pt idx="38">
                  <c:v>130.35865190000001</c:v>
                </c:pt>
                <c:pt idx="39">
                  <c:v>111.616247559</c:v>
                </c:pt>
                <c:pt idx="40">
                  <c:v>108.917549487</c:v>
                </c:pt>
                <c:pt idx="41">
                  <c:v>125.506828902</c:v>
                </c:pt>
                <c:pt idx="42">
                  <c:v>111.654167966</c:v>
                </c:pt>
              </c:numCache>
            </c:numRef>
          </c:val>
          <c:smooth val="0"/>
          <c:extLst>
            <c:ext xmlns:c16="http://schemas.microsoft.com/office/drawing/2014/chart" uri="{C3380CC4-5D6E-409C-BE32-E72D297353CC}">
              <c16:uniqueId val="{00000000-3395-4296-BB9E-F76E8E1D0778}"/>
            </c:ext>
          </c:extLst>
        </c:ser>
        <c:ser>
          <c:idx val="1"/>
          <c:order val="1"/>
          <c:tx>
            <c:strRef>
              <c:f>'BoP_izvoz usluga'!$F$5</c:f>
              <c:strCache>
                <c:ptCount val="1"/>
                <c:pt idx="0">
                  <c:v>sa</c:v>
                </c:pt>
              </c:strCache>
            </c:strRef>
          </c:tx>
          <c:spPr>
            <a:ln w="22225" cap="rnd">
              <a:solidFill>
                <a:srgbClr val="25AAE1"/>
              </a:solidFill>
              <a:round/>
            </a:ln>
            <a:effectLst/>
          </c:spPr>
          <c:marker>
            <c:symbol val="none"/>
          </c:marker>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usluga'!$F$102:$F$144</c:f>
              <c:numCache>
                <c:formatCode>0.0</c:formatCode>
                <c:ptCount val="43"/>
                <c:pt idx="0">
                  <c:v>69.884255374000006</c:v>
                </c:pt>
                <c:pt idx="1">
                  <c:v>63.741010205000002</c:v>
                </c:pt>
                <c:pt idx="2">
                  <c:v>57.033963628000002</c:v>
                </c:pt>
                <c:pt idx="3">
                  <c:v>46.880218493000001</c:v>
                </c:pt>
                <c:pt idx="4">
                  <c:v>37.729628716999997</c:v>
                </c:pt>
                <c:pt idx="5">
                  <c:v>36.561167363000003</c:v>
                </c:pt>
                <c:pt idx="6">
                  <c:v>41.026119467000001</c:v>
                </c:pt>
                <c:pt idx="7">
                  <c:v>45.530629758000003</c:v>
                </c:pt>
                <c:pt idx="8">
                  <c:v>49.335883543999998</c:v>
                </c:pt>
                <c:pt idx="9">
                  <c:v>52.290032558999997</c:v>
                </c:pt>
                <c:pt idx="10">
                  <c:v>56.436712962999998</c:v>
                </c:pt>
                <c:pt idx="11">
                  <c:v>55.400436808999999</c:v>
                </c:pt>
                <c:pt idx="12">
                  <c:v>55.843249110999999</c:v>
                </c:pt>
                <c:pt idx="13">
                  <c:v>59.234582248999999</c:v>
                </c:pt>
                <c:pt idx="14">
                  <c:v>59.735752990999998</c:v>
                </c:pt>
                <c:pt idx="15">
                  <c:v>60.157024184000001</c:v>
                </c:pt>
                <c:pt idx="16">
                  <c:v>64.560973279999999</c:v>
                </c:pt>
                <c:pt idx="17">
                  <c:v>69.301045582</c:v>
                </c:pt>
                <c:pt idx="18">
                  <c:v>67.110046171999997</c:v>
                </c:pt>
                <c:pt idx="19">
                  <c:v>65.994515992000004</c:v>
                </c:pt>
                <c:pt idx="20">
                  <c:v>65.015712614999998</c:v>
                </c:pt>
                <c:pt idx="21">
                  <c:v>68.931784433000004</c:v>
                </c:pt>
                <c:pt idx="22">
                  <c:v>77.186753757999995</c:v>
                </c:pt>
                <c:pt idx="23">
                  <c:v>79.293906731000007</c:v>
                </c:pt>
                <c:pt idx="24">
                  <c:v>80.912338599999998</c:v>
                </c:pt>
                <c:pt idx="25">
                  <c:v>82.470428760999994</c:v>
                </c:pt>
                <c:pt idx="26">
                  <c:v>84.746513593000003</c:v>
                </c:pt>
                <c:pt idx="27">
                  <c:v>93.936807021000007</c:v>
                </c:pt>
                <c:pt idx="28">
                  <c:v>95.764344738999995</c:v>
                </c:pt>
                <c:pt idx="29">
                  <c:v>102.76843407299999</c:v>
                </c:pt>
                <c:pt idx="30">
                  <c:v>106.178261537</c:v>
                </c:pt>
                <c:pt idx="31">
                  <c:v>111.196270798</c:v>
                </c:pt>
                <c:pt idx="32">
                  <c:v>113.346775467</c:v>
                </c:pt>
                <c:pt idx="33">
                  <c:v>100.205737517</c:v>
                </c:pt>
                <c:pt idx="34">
                  <c:v>113.936385215</c:v>
                </c:pt>
                <c:pt idx="35">
                  <c:v>109.919381425</c:v>
                </c:pt>
                <c:pt idx="36">
                  <c:v>114.497121213</c:v>
                </c:pt>
                <c:pt idx="37">
                  <c:v>118.30354522099999</c:v>
                </c:pt>
                <c:pt idx="38">
                  <c:v>127.882786341</c:v>
                </c:pt>
                <c:pt idx="39">
                  <c:v>126.738414308</c:v>
                </c:pt>
                <c:pt idx="40">
                  <c:v>113.829265558</c:v>
                </c:pt>
                <c:pt idx="41">
                  <c:v>114.90664921600001</c:v>
                </c:pt>
                <c:pt idx="42">
                  <c:v>112.221176447</c:v>
                </c:pt>
              </c:numCache>
            </c:numRef>
          </c:val>
          <c:smooth val="0"/>
          <c:extLst>
            <c:ext xmlns:c16="http://schemas.microsoft.com/office/drawing/2014/chart" uri="{C3380CC4-5D6E-409C-BE32-E72D297353CC}">
              <c16:uniqueId val="{00000001-3395-4296-BB9E-F76E8E1D0778}"/>
            </c:ext>
          </c:extLst>
        </c:ser>
        <c:ser>
          <c:idx val="2"/>
          <c:order val="2"/>
          <c:tx>
            <c:strRef>
              <c:f>'BoP_izvoz usluga'!$G$5</c:f>
              <c:strCache>
                <c:ptCount val="1"/>
                <c:pt idx="0">
                  <c:v>t</c:v>
                </c:pt>
              </c:strCache>
            </c:strRef>
          </c:tx>
          <c:spPr>
            <a:ln w="25400" cap="rnd">
              <a:solidFill>
                <a:srgbClr val="FF0000"/>
              </a:solidFill>
              <a:round/>
            </a:ln>
            <a:effectLst/>
          </c:spPr>
          <c:marker>
            <c:symbol val="none"/>
          </c:marker>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usluga'!$G$102:$G$144</c:f>
              <c:numCache>
                <c:formatCode>0.0</c:formatCode>
                <c:ptCount val="43"/>
                <c:pt idx="0">
                  <c:v>60.234936140999999</c:v>
                </c:pt>
                <c:pt idx="1">
                  <c:v>56.886243104999998</c:v>
                </c:pt>
                <c:pt idx="2">
                  <c:v>53.649163145999999</c:v>
                </c:pt>
                <c:pt idx="3">
                  <c:v>50.839316484000001</c:v>
                </c:pt>
                <c:pt idx="4">
                  <c:v>48.716390601999997</c:v>
                </c:pt>
                <c:pt idx="5">
                  <c:v>47.414043542000002</c:v>
                </c:pt>
                <c:pt idx="6">
                  <c:v>47.027440181999999</c:v>
                </c:pt>
                <c:pt idx="7">
                  <c:v>47.519980697000001</c:v>
                </c:pt>
                <c:pt idx="8">
                  <c:v>48.713465395</c:v>
                </c:pt>
                <c:pt idx="9">
                  <c:v>50.415818532000003</c:v>
                </c:pt>
                <c:pt idx="10">
                  <c:v>52.426389413999999</c:v>
                </c:pt>
                <c:pt idx="11">
                  <c:v>54.576517824</c:v>
                </c:pt>
                <c:pt idx="12">
                  <c:v>56.705534546999999</c:v>
                </c:pt>
                <c:pt idx="13">
                  <c:v>58.655137584000002</c:v>
                </c:pt>
                <c:pt idx="14">
                  <c:v>60.381561658999999</c:v>
                </c:pt>
                <c:pt idx="15">
                  <c:v>61.889044034999998</c:v>
                </c:pt>
                <c:pt idx="16">
                  <c:v>63.287500664</c:v>
                </c:pt>
                <c:pt idx="17">
                  <c:v>64.709219191000003</c:v>
                </c:pt>
                <c:pt idx="18">
                  <c:v>66.204230379999998</c:v>
                </c:pt>
                <c:pt idx="19">
                  <c:v>67.824907561000003</c:v>
                </c:pt>
                <c:pt idx="20">
                  <c:v>69.629818357999994</c:v>
                </c:pt>
                <c:pt idx="21">
                  <c:v>71.708780333999997</c:v>
                </c:pt>
                <c:pt idx="22">
                  <c:v>74.144806858999999</c:v>
                </c:pt>
                <c:pt idx="23">
                  <c:v>77.014354221999994</c:v>
                </c:pt>
                <c:pt idx="24">
                  <c:v>80.385587518999998</c:v>
                </c:pt>
                <c:pt idx="25">
                  <c:v>84.247615112000005</c:v>
                </c:pt>
                <c:pt idx="26">
                  <c:v>88.513997239999995</c:v>
                </c:pt>
                <c:pt idx="27">
                  <c:v>92.960310704999998</c:v>
                </c:pt>
                <c:pt idx="28">
                  <c:v>97.324665331999995</c:v>
                </c:pt>
                <c:pt idx="29">
                  <c:v>101.38949826699999</c:v>
                </c:pt>
                <c:pt idx="30">
                  <c:v>104.98283558200001</c:v>
                </c:pt>
                <c:pt idx="31">
                  <c:v>108.051098977</c:v>
                </c:pt>
                <c:pt idx="32">
                  <c:v>110.561644848</c:v>
                </c:pt>
                <c:pt idx="33">
                  <c:v>112.537341785</c:v>
                </c:pt>
                <c:pt idx="34">
                  <c:v>114.052636533</c:v>
                </c:pt>
                <c:pt idx="35">
                  <c:v>115.185847127</c:v>
                </c:pt>
                <c:pt idx="36">
                  <c:v>116.01390272</c:v>
                </c:pt>
                <c:pt idx="37">
                  <c:v>116.547144285</c:v>
                </c:pt>
                <c:pt idx="38">
                  <c:v>116.757086273</c:v>
                </c:pt>
                <c:pt idx="39">
                  <c:v>116.661897717</c:v>
                </c:pt>
                <c:pt idx="40">
                  <c:v>116.31201129599999</c:v>
                </c:pt>
                <c:pt idx="41">
                  <c:v>115.839623875</c:v>
                </c:pt>
                <c:pt idx="42">
                  <c:v>115.46307749</c:v>
                </c:pt>
              </c:numCache>
            </c:numRef>
          </c:val>
          <c:smooth val="0"/>
          <c:extLst>
            <c:ext xmlns:c16="http://schemas.microsoft.com/office/drawing/2014/chart" uri="{C3380CC4-5D6E-409C-BE32-E72D297353CC}">
              <c16:uniqueId val="{00000002-3395-4296-BB9E-F76E8E1D0778}"/>
            </c:ext>
          </c:extLst>
        </c:ser>
        <c:ser>
          <c:idx val="3"/>
          <c:order val="3"/>
          <c:tx>
            <c:strRef>
              <c:f>'BoP_izvoz usluga'!$H$5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7594383835851604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395-4296-BB9E-F76E8E1D0778}"/>
                </c:ext>
              </c:extLst>
            </c:dLbl>
            <c:dLbl>
              <c:idx val="12"/>
              <c:layout>
                <c:manualLayout>
                  <c:x val="6.8787588455901119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395-4296-BB9E-F76E8E1D0778}"/>
                </c:ext>
              </c:extLst>
            </c:dLbl>
            <c:dLbl>
              <c:idx val="24"/>
              <c:layout>
                <c:manualLayout>
                  <c:x val="6.268271594978006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395-4296-BB9E-F76E8E1D0778}"/>
                </c:ext>
              </c:extLst>
            </c:dLbl>
            <c:dLbl>
              <c:idx val="36"/>
              <c:layout>
                <c:manualLayout>
                  <c:x val="1.7142332306849827E-3"/>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395-4296-BB9E-F76E8E1D0778}"/>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usluga'!$H$102:$H$144</c:f>
              <c:numCache>
                <c:formatCode>General</c:formatCode>
                <c:ptCount val="43"/>
                <c:pt idx="0">
                  <c:v>20</c:v>
                </c:pt>
                <c:pt idx="12">
                  <c:v>20</c:v>
                </c:pt>
                <c:pt idx="24">
                  <c:v>20</c:v>
                </c:pt>
                <c:pt idx="36">
                  <c:v>20</c:v>
                </c:pt>
              </c:numCache>
            </c:numRef>
          </c:val>
          <c:smooth val="0"/>
          <c:extLst>
            <c:ext xmlns:c16="http://schemas.microsoft.com/office/drawing/2014/chart" uri="{C3380CC4-5D6E-409C-BE32-E72D297353CC}">
              <c16:uniqueId val="{00000007-3395-4296-BB9E-F76E8E1D0778}"/>
            </c:ext>
          </c:extLst>
        </c:ser>
        <c:ser>
          <c:idx val="4"/>
          <c:order val="4"/>
          <c:tx>
            <c:strRef>
              <c:f>'BoP_izvoz usluga'!$I$5</c:f>
              <c:strCache>
                <c:ptCount val="1"/>
                <c:pt idx="0">
                  <c:v>Series5</c:v>
                </c:pt>
              </c:strCache>
            </c:strRef>
          </c:tx>
          <c:spPr>
            <a:ln w="28575" cap="rnd">
              <a:noFill/>
              <a:round/>
            </a:ln>
            <a:effectLst/>
          </c:spPr>
          <c:marker>
            <c:symbol val="none"/>
          </c:marker>
          <c:dLbls>
            <c:dLbl>
              <c:idx val="0"/>
              <c:tx>
                <c:rich>
                  <a:bodyPr/>
                  <a:lstStyle/>
                  <a:p>
                    <a:fld id="{ABDBF35F-616B-4554-8512-87A19185A83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3395-4296-BB9E-F76E8E1D0778}"/>
                </c:ext>
              </c:extLst>
            </c:dLbl>
            <c:dLbl>
              <c:idx val="1"/>
              <c:tx>
                <c:rich>
                  <a:bodyPr/>
                  <a:lstStyle/>
                  <a:p>
                    <a:fld id="{40D8BB50-F14F-4D14-8866-6C96E845C40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3395-4296-BB9E-F76E8E1D0778}"/>
                </c:ext>
              </c:extLst>
            </c:dLbl>
            <c:dLbl>
              <c:idx val="2"/>
              <c:tx>
                <c:rich>
                  <a:bodyPr/>
                  <a:lstStyle/>
                  <a:p>
                    <a:fld id="{82C15A19-3378-458A-AE48-D9A7BE129F2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3395-4296-BB9E-F76E8E1D0778}"/>
                </c:ext>
              </c:extLst>
            </c:dLbl>
            <c:dLbl>
              <c:idx val="3"/>
              <c:tx>
                <c:rich>
                  <a:bodyPr/>
                  <a:lstStyle/>
                  <a:p>
                    <a:fld id="{F4C13FCB-FC1D-4B7D-AB0A-5830FCBDDFA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3395-4296-BB9E-F76E8E1D0778}"/>
                </c:ext>
              </c:extLst>
            </c:dLbl>
            <c:dLbl>
              <c:idx val="4"/>
              <c:tx>
                <c:rich>
                  <a:bodyPr/>
                  <a:lstStyle/>
                  <a:p>
                    <a:fld id="{AB58EA84-4281-4798-A3D6-64B49EF7010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3395-4296-BB9E-F76E8E1D0778}"/>
                </c:ext>
              </c:extLst>
            </c:dLbl>
            <c:dLbl>
              <c:idx val="5"/>
              <c:tx>
                <c:rich>
                  <a:bodyPr/>
                  <a:lstStyle/>
                  <a:p>
                    <a:fld id="{74F6F255-9EDA-4AD4-A1C1-3A465D7389D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3395-4296-BB9E-F76E8E1D0778}"/>
                </c:ext>
              </c:extLst>
            </c:dLbl>
            <c:dLbl>
              <c:idx val="6"/>
              <c:tx>
                <c:rich>
                  <a:bodyPr/>
                  <a:lstStyle/>
                  <a:p>
                    <a:fld id="{979D4C54-351C-453B-A626-EDDDA4BC0C1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3395-4296-BB9E-F76E8E1D0778}"/>
                </c:ext>
              </c:extLst>
            </c:dLbl>
            <c:dLbl>
              <c:idx val="7"/>
              <c:tx>
                <c:rich>
                  <a:bodyPr/>
                  <a:lstStyle/>
                  <a:p>
                    <a:fld id="{56D4CFB4-F63B-4A02-AE79-102B7AD4DF8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3395-4296-BB9E-F76E8E1D0778}"/>
                </c:ext>
              </c:extLst>
            </c:dLbl>
            <c:dLbl>
              <c:idx val="8"/>
              <c:tx>
                <c:rich>
                  <a:bodyPr/>
                  <a:lstStyle/>
                  <a:p>
                    <a:fld id="{47CE34BD-09D6-4E6F-BA0E-4271F3A4421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3395-4296-BB9E-F76E8E1D0778}"/>
                </c:ext>
              </c:extLst>
            </c:dLbl>
            <c:dLbl>
              <c:idx val="9"/>
              <c:tx>
                <c:rich>
                  <a:bodyPr/>
                  <a:lstStyle/>
                  <a:p>
                    <a:fld id="{4E77A71D-CEA2-4616-9684-CFAAC3432B2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3395-4296-BB9E-F76E8E1D0778}"/>
                </c:ext>
              </c:extLst>
            </c:dLbl>
            <c:dLbl>
              <c:idx val="10"/>
              <c:tx>
                <c:rich>
                  <a:bodyPr/>
                  <a:lstStyle/>
                  <a:p>
                    <a:fld id="{B9C48AFC-3A63-4B11-A281-A1259DE14B9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3395-4296-BB9E-F76E8E1D0778}"/>
                </c:ext>
              </c:extLst>
            </c:dLbl>
            <c:dLbl>
              <c:idx val="11"/>
              <c:tx>
                <c:rich>
                  <a:bodyPr/>
                  <a:lstStyle/>
                  <a:p>
                    <a:fld id="{974B142C-323F-4C68-90CD-8DE3BF8F7CC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3395-4296-BB9E-F76E8E1D0778}"/>
                </c:ext>
              </c:extLst>
            </c:dLbl>
            <c:dLbl>
              <c:idx val="12"/>
              <c:tx>
                <c:rich>
                  <a:bodyPr/>
                  <a:lstStyle/>
                  <a:p>
                    <a:fld id="{B07165C2-0912-476B-BFBA-93DBD1DAFD4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3395-4296-BB9E-F76E8E1D0778}"/>
                </c:ext>
              </c:extLst>
            </c:dLbl>
            <c:dLbl>
              <c:idx val="13"/>
              <c:tx>
                <c:rich>
                  <a:bodyPr/>
                  <a:lstStyle/>
                  <a:p>
                    <a:fld id="{3ADD9612-8C6E-48BA-8CA8-B5E0A0C4B49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3395-4296-BB9E-F76E8E1D0778}"/>
                </c:ext>
              </c:extLst>
            </c:dLbl>
            <c:dLbl>
              <c:idx val="14"/>
              <c:tx>
                <c:rich>
                  <a:bodyPr/>
                  <a:lstStyle/>
                  <a:p>
                    <a:fld id="{3A6854F9-0E7F-4C7D-A5A4-AE1AFF6A614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3395-4296-BB9E-F76E8E1D0778}"/>
                </c:ext>
              </c:extLst>
            </c:dLbl>
            <c:dLbl>
              <c:idx val="15"/>
              <c:tx>
                <c:rich>
                  <a:bodyPr/>
                  <a:lstStyle/>
                  <a:p>
                    <a:fld id="{212A5314-561E-4360-B81B-D7ABA117430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3395-4296-BB9E-F76E8E1D0778}"/>
                </c:ext>
              </c:extLst>
            </c:dLbl>
            <c:dLbl>
              <c:idx val="16"/>
              <c:tx>
                <c:rich>
                  <a:bodyPr/>
                  <a:lstStyle/>
                  <a:p>
                    <a:fld id="{415CFC04-5E0A-4B32-B332-FCAFDE0E7A4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3395-4296-BB9E-F76E8E1D0778}"/>
                </c:ext>
              </c:extLst>
            </c:dLbl>
            <c:dLbl>
              <c:idx val="17"/>
              <c:tx>
                <c:rich>
                  <a:bodyPr/>
                  <a:lstStyle/>
                  <a:p>
                    <a:fld id="{E6C18B87-F9C3-452E-A967-94CE9E7CC0E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3395-4296-BB9E-F76E8E1D0778}"/>
                </c:ext>
              </c:extLst>
            </c:dLbl>
            <c:dLbl>
              <c:idx val="18"/>
              <c:tx>
                <c:rich>
                  <a:bodyPr/>
                  <a:lstStyle/>
                  <a:p>
                    <a:fld id="{485456CF-482A-4F33-9F99-79CEF4BADE3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3395-4296-BB9E-F76E8E1D0778}"/>
                </c:ext>
              </c:extLst>
            </c:dLbl>
            <c:dLbl>
              <c:idx val="19"/>
              <c:tx>
                <c:rich>
                  <a:bodyPr/>
                  <a:lstStyle/>
                  <a:p>
                    <a:fld id="{3B1D4AF1-04CD-437C-A0FE-6DFCAFD7A8E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3395-4296-BB9E-F76E8E1D0778}"/>
                </c:ext>
              </c:extLst>
            </c:dLbl>
            <c:dLbl>
              <c:idx val="20"/>
              <c:tx>
                <c:rich>
                  <a:bodyPr/>
                  <a:lstStyle/>
                  <a:p>
                    <a:fld id="{FCB3324B-8ACB-463F-95AA-BE6540D74BD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3395-4296-BB9E-F76E8E1D0778}"/>
                </c:ext>
              </c:extLst>
            </c:dLbl>
            <c:dLbl>
              <c:idx val="21"/>
              <c:tx>
                <c:rich>
                  <a:bodyPr/>
                  <a:lstStyle/>
                  <a:p>
                    <a:fld id="{A8B08F23-AECA-4EFF-A2A4-A35D3711B7E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3395-4296-BB9E-F76E8E1D0778}"/>
                </c:ext>
              </c:extLst>
            </c:dLbl>
            <c:dLbl>
              <c:idx val="22"/>
              <c:tx>
                <c:rich>
                  <a:bodyPr/>
                  <a:lstStyle/>
                  <a:p>
                    <a:fld id="{89A9F4C0-8E1C-46B7-91ED-B5364C32627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3395-4296-BB9E-F76E8E1D0778}"/>
                </c:ext>
              </c:extLst>
            </c:dLbl>
            <c:dLbl>
              <c:idx val="23"/>
              <c:tx>
                <c:rich>
                  <a:bodyPr/>
                  <a:lstStyle/>
                  <a:p>
                    <a:fld id="{E4D78181-3A01-4EA9-9ED1-324945DAD6D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3395-4296-BB9E-F76E8E1D0778}"/>
                </c:ext>
              </c:extLst>
            </c:dLbl>
            <c:dLbl>
              <c:idx val="24"/>
              <c:tx>
                <c:rich>
                  <a:bodyPr/>
                  <a:lstStyle/>
                  <a:p>
                    <a:fld id="{05DC25C6-90A8-462C-ACC8-CC971FFCBBE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3395-4296-BB9E-F76E8E1D0778}"/>
                </c:ext>
              </c:extLst>
            </c:dLbl>
            <c:dLbl>
              <c:idx val="25"/>
              <c:tx>
                <c:rich>
                  <a:bodyPr/>
                  <a:lstStyle/>
                  <a:p>
                    <a:fld id="{E379FAF7-4995-405E-B44F-BBD76DF1427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3395-4296-BB9E-F76E8E1D0778}"/>
                </c:ext>
              </c:extLst>
            </c:dLbl>
            <c:dLbl>
              <c:idx val="26"/>
              <c:tx>
                <c:rich>
                  <a:bodyPr/>
                  <a:lstStyle/>
                  <a:p>
                    <a:fld id="{778BF6AD-B719-4D6D-AB86-C5F10B43B957}"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3395-4296-BB9E-F76E8E1D0778}"/>
                </c:ext>
              </c:extLst>
            </c:dLbl>
            <c:dLbl>
              <c:idx val="27"/>
              <c:tx>
                <c:rich>
                  <a:bodyPr/>
                  <a:lstStyle/>
                  <a:p>
                    <a:fld id="{FE17F751-594B-4810-8EB7-6E62A6CA310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3395-4296-BB9E-F76E8E1D0778}"/>
                </c:ext>
              </c:extLst>
            </c:dLbl>
            <c:dLbl>
              <c:idx val="28"/>
              <c:tx>
                <c:rich>
                  <a:bodyPr/>
                  <a:lstStyle/>
                  <a:p>
                    <a:fld id="{8DAAA246-5C59-4B72-8D07-5ECBBB4C37A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3395-4296-BB9E-F76E8E1D0778}"/>
                </c:ext>
              </c:extLst>
            </c:dLbl>
            <c:dLbl>
              <c:idx val="29"/>
              <c:tx>
                <c:rich>
                  <a:bodyPr/>
                  <a:lstStyle/>
                  <a:p>
                    <a:fld id="{C3FC73D0-6F06-4760-903B-F5967646EC0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3395-4296-BB9E-F76E8E1D0778}"/>
                </c:ext>
              </c:extLst>
            </c:dLbl>
            <c:dLbl>
              <c:idx val="30"/>
              <c:tx>
                <c:rich>
                  <a:bodyPr/>
                  <a:lstStyle/>
                  <a:p>
                    <a:fld id="{AEB82766-B05B-4BC1-B52A-21DBD90A995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3395-4296-BB9E-F76E8E1D0778}"/>
                </c:ext>
              </c:extLst>
            </c:dLbl>
            <c:dLbl>
              <c:idx val="31"/>
              <c:tx>
                <c:rich>
                  <a:bodyPr/>
                  <a:lstStyle/>
                  <a:p>
                    <a:fld id="{EB747680-B4C1-4EE1-ACC1-6AAE19C2790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3395-4296-BB9E-F76E8E1D0778}"/>
                </c:ext>
              </c:extLst>
            </c:dLbl>
            <c:dLbl>
              <c:idx val="32"/>
              <c:tx>
                <c:rich>
                  <a:bodyPr/>
                  <a:lstStyle/>
                  <a:p>
                    <a:fld id="{82C41558-F05B-4F6C-8055-D350A1CBEE3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3395-4296-BB9E-F76E8E1D0778}"/>
                </c:ext>
              </c:extLst>
            </c:dLbl>
            <c:dLbl>
              <c:idx val="33"/>
              <c:tx>
                <c:rich>
                  <a:bodyPr/>
                  <a:lstStyle/>
                  <a:p>
                    <a:fld id="{6EBC9ED6-2AC2-49AE-B183-F5D32ECDE67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3395-4296-BB9E-F76E8E1D0778}"/>
                </c:ext>
              </c:extLst>
            </c:dLbl>
            <c:dLbl>
              <c:idx val="34"/>
              <c:tx>
                <c:rich>
                  <a:bodyPr/>
                  <a:lstStyle/>
                  <a:p>
                    <a:fld id="{614426ED-17DC-4715-BCCE-857C541CBAC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3395-4296-BB9E-F76E8E1D0778}"/>
                </c:ext>
              </c:extLst>
            </c:dLbl>
            <c:dLbl>
              <c:idx val="35"/>
              <c:tx>
                <c:rich>
                  <a:bodyPr/>
                  <a:lstStyle/>
                  <a:p>
                    <a:fld id="{E1313A13-93DE-4A7C-9244-5EEFB94BB3F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3395-4296-BB9E-F76E8E1D0778}"/>
                </c:ext>
              </c:extLst>
            </c:dLbl>
            <c:dLbl>
              <c:idx val="36"/>
              <c:tx>
                <c:rich>
                  <a:bodyPr/>
                  <a:lstStyle/>
                  <a:p>
                    <a:fld id="{44E4B207-BA8D-40DE-A24D-A1E5EF370D4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3395-4296-BB9E-F76E8E1D0778}"/>
                </c:ext>
              </c:extLst>
            </c:dLbl>
            <c:dLbl>
              <c:idx val="37"/>
              <c:tx>
                <c:rich>
                  <a:bodyPr/>
                  <a:lstStyle/>
                  <a:p>
                    <a:fld id="{8462C9DD-5EEB-4614-AD86-D273FF84515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3395-4296-BB9E-F76E8E1D0778}"/>
                </c:ext>
              </c:extLst>
            </c:dLbl>
            <c:dLbl>
              <c:idx val="38"/>
              <c:tx>
                <c:rich>
                  <a:bodyPr/>
                  <a:lstStyle/>
                  <a:p>
                    <a:fld id="{AA8333D7-8EDB-4846-92F2-252749F1070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3395-4296-BB9E-F76E8E1D0778}"/>
                </c:ext>
              </c:extLst>
            </c:dLbl>
            <c:dLbl>
              <c:idx val="39"/>
              <c:tx>
                <c:rich>
                  <a:bodyPr/>
                  <a:lstStyle/>
                  <a:p>
                    <a:fld id="{BFF2F99E-3E96-48D4-B620-C644057B68C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3395-4296-BB9E-F76E8E1D0778}"/>
                </c:ext>
              </c:extLst>
            </c:dLbl>
            <c:dLbl>
              <c:idx val="40"/>
              <c:tx>
                <c:rich>
                  <a:bodyPr/>
                  <a:lstStyle/>
                  <a:p>
                    <a:fld id="{94309DBD-360C-4697-A45D-648539EA50B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3395-4296-BB9E-F76E8E1D0778}"/>
                </c:ext>
              </c:extLst>
            </c:dLbl>
            <c:dLbl>
              <c:idx val="41"/>
              <c:tx>
                <c:rich>
                  <a:bodyPr/>
                  <a:lstStyle/>
                  <a:p>
                    <a:fld id="{D6D6BA62-57AA-4C8E-B1CC-A378C109517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3395-4296-BB9E-F76E8E1D0778}"/>
                </c:ext>
              </c:extLst>
            </c:dLbl>
            <c:dLbl>
              <c:idx val="42"/>
              <c:tx>
                <c:rich>
                  <a:bodyPr/>
                  <a:lstStyle/>
                  <a:p>
                    <a:fld id="{60128D81-E14C-4CC6-B6A0-0D0F48C558C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3395-4296-BB9E-F76E8E1D0778}"/>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usluga'!$I$102:$I$144</c:f>
              <c:numCache>
                <c:formatCode>General</c:formatCode>
                <c:ptCount val="43"/>
                <c:pt idx="0">
                  <c:v>20</c:v>
                </c:pt>
                <c:pt idx="1">
                  <c:v>20</c:v>
                </c:pt>
                <c:pt idx="2">
                  <c:v>20</c:v>
                </c:pt>
                <c:pt idx="3">
                  <c:v>20</c:v>
                </c:pt>
                <c:pt idx="4">
                  <c:v>20</c:v>
                </c:pt>
                <c:pt idx="5">
                  <c:v>20</c:v>
                </c:pt>
                <c:pt idx="6">
                  <c:v>20</c:v>
                </c:pt>
                <c:pt idx="7">
                  <c:v>20</c:v>
                </c:pt>
                <c:pt idx="8">
                  <c:v>20</c:v>
                </c:pt>
                <c:pt idx="9">
                  <c:v>20</c:v>
                </c:pt>
                <c:pt idx="10">
                  <c:v>20</c:v>
                </c:pt>
                <c:pt idx="11">
                  <c:v>20</c:v>
                </c:pt>
                <c:pt idx="12">
                  <c:v>20</c:v>
                </c:pt>
                <c:pt idx="13">
                  <c:v>20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pt idx="38">
                  <c:v>20</c:v>
                </c:pt>
                <c:pt idx="39">
                  <c:v>20</c:v>
                </c:pt>
                <c:pt idx="40">
                  <c:v>20</c:v>
                </c:pt>
                <c:pt idx="41">
                  <c:v>20</c:v>
                </c:pt>
                <c:pt idx="42">
                  <c:v>20</c:v>
                </c:pt>
              </c:numCache>
            </c:numRef>
          </c:val>
          <c:smooth val="0"/>
          <c:extLst>
            <c:ext xmlns:c15="http://schemas.microsoft.com/office/drawing/2012/chart" uri="{02D57815-91ED-43cb-92C2-25804820EDAC}">
              <c15:datalabelsRange>
                <c15:f>'BoP_izvoz usluga'!$J$90:$J$143</c15:f>
                <c15:dlblRangeCache>
                  <c:ptCount val="5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pt idx="45">
                    <c:v>X</c:v>
                  </c:pt>
                  <c:pt idx="48">
                    <c:v>I</c:v>
                  </c:pt>
                  <c:pt idx="51">
                    <c:v>IV</c:v>
                  </c:pt>
                </c15:dlblRangeCache>
              </c15:datalabelsRange>
            </c:ext>
            <c:ext xmlns:c16="http://schemas.microsoft.com/office/drawing/2014/chart" uri="{C3380CC4-5D6E-409C-BE32-E72D297353CC}">
              <c16:uniqueId val="{00000033-3395-4296-BB9E-F76E8E1D0778}"/>
            </c:ext>
          </c:extLst>
        </c:ser>
        <c:dLbls>
          <c:showLegendKey val="0"/>
          <c:showVal val="0"/>
          <c:showCatName val="0"/>
          <c:showSerName val="0"/>
          <c:showPercent val="0"/>
          <c:showBubbleSize val="0"/>
        </c:dLbls>
        <c:smooth val="0"/>
        <c:axId val="1828933200"/>
        <c:axId val="1828928304"/>
      </c:lineChart>
      <c:dateAx>
        <c:axId val="182893320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8304"/>
        <c:crosses val="autoZero"/>
        <c:auto val="1"/>
        <c:lblOffset val="0"/>
        <c:baseTimeUnit val="months"/>
      </c:dateAx>
      <c:valAx>
        <c:axId val="1828928304"/>
        <c:scaling>
          <c:orientation val="minMax"/>
          <c:max val="140"/>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3200"/>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3.9500937320235463E-2"/>
          <c:w val="0.86259167550669125"/>
          <c:h val="0.84243318318318317"/>
        </c:manualLayout>
      </c:layout>
      <c:lineChart>
        <c:grouping val="standard"/>
        <c:varyColors val="0"/>
        <c:ser>
          <c:idx val="0"/>
          <c:order val="0"/>
          <c:tx>
            <c:strRef>
              <c:f>'BoP_izvoz usluga'!$L$5</c:f>
              <c:strCache>
                <c:ptCount val="1"/>
                <c:pt idx="0">
                  <c:v>y</c:v>
                </c:pt>
              </c:strCache>
            </c:strRef>
          </c:tx>
          <c:spPr>
            <a:ln w="12700" cap="rnd">
              <a:solidFill>
                <a:srgbClr val="7F3F98"/>
              </a:solidFill>
              <a:prstDash val="sysDash"/>
              <a:round/>
            </a:ln>
            <a:effectLst/>
          </c:spPr>
          <c:marker>
            <c:symbol val="none"/>
          </c:marker>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usluga'!$L$102:$L$144</c:f>
              <c:numCache>
                <c:formatCode>0.0</c:formatCode>
                <c:ptCount val="43"/>
                <c:pt idx="0">
                  <c:v>55.544224851000003</c:v>
                </c:pt>
                <c:pt idx="1">
                  <c:v>39.396635402000001</c:v>
                </c:pt>
                <c:pt idx="2">
                  <c:v>36.732305283000002</c:v>
                </c:pt>
                <c:pt idx="3">
                  <c:v>20.371267537000001</c:v>
                </c:pt>
                <c:pt idx="4">
                  <c:v>30.898022201</c:v>
                </c:pt>
                <c:pt idx="5">
                  <c:v>39.981718698000002</c:v>
                </c:pt>
                <c:pt idx="6">
                  <c:v>55.223498372999998</c:v>
                </c:pt>
                <c:pt idx="7">
                  <c:v>44.733997709</c:v>
                </c:pt>
                <c:pt idx="8">
                  <c:v>42.354934143000001</c:v>
                </c:pt>
                <c:pt idx="9">
                  <c:v>48.250748862999998</c:v>
                </c:pt>
                <c:pt idx="10">
                  <c:v>49.437304118999997</c:v>
                </c:pt>
                <c:pt idx="11">
                  <c:v>61.202660461999997</c:v>
                </c:pt>
                <c:pt idx="12">
                  <c:v>47.017844770000004</c:v>
                </c:pt>
                <c:pt idx="13">
                  <c:v>40.755074473000001</c:v>
                </c:pt>
                <c:pt idx="14">
                  <c:v>46.664289777999997</c:v>
                </c:pt>
                <c:pt idx="15">
                  <c:v>44.076562926999998</c:v>
                </c:pt>
                <c:pt idx="16">
                  <c:v>57.941212770999996</c:v>
                </c:pt>
                <c:pt idx="17">
                  <c:v>60.205967551999997</c:v>
                </c:pt>
                <c:pt idx="18">
                  <c:v>93.156657154000001</c:v>
                </c:pt>
                <c:pt idx="19">
                  <c:v>95.668708601999995</c:v>
                </c:pt>
                <c:pt idx="20">
                  <c:v>70.308478124999993</c:v>
                </c:pt>
                <c:pt idx="21">
                  <c:v>62.228552225999998</c:v>
                </c:pt>
                <c:pt idx="22">
                  <c:v>66.539871728999998</c:v>
                </c:pt>
                <c:pt idx="23">
                  <c:v>86.866393278999993</c:v>
                </c:pt>
                <c:pt idx="24">
                  <c:v>59.553156420999997</c:v>
                </c:pt>
                <c:pt idx="25">
                  <c:v>46.447681846999998</c:v>
                </c:pt>
                <c:pt idx="26">
                  <c:v>85.232924174999994</c:v>
                </c:pt>
                <c:pt idx="27">
                  <c:v>65.657744905000001</c:v>
                </c:pt>
                <c:pt idx="28">
                  <c:v>92.990673508</c:v>
                </c:pt>
                <c:pt idx="29">
                  <c:v>92.942923801999996</c:v>
                </c:pt>
                <c:pt idx="30">
                  <c:v>149.42843587999999</c:v>
                </c:pt>
                <c:pt idx="31">
                  <c:v>142.03022561899999</c:v>
                </c:pt>
                <c:pt idx="32">
                  <c:v>105.26360234400001</c:v>
                </c:pt>
                <c:pt idx="33">
                  <c:v>132.46747138500001</c:v>
                </c:pt>
                <c:pt idx="34">
                  <c:v>103.19764366</c:v>
                </c:pt>
                <c:pt idx="35">
                  <c:v>124.787516454</c:v>
                </c:pt>
                <c:pt idx="36">
                  <c:v>88.865119308000004</c:v>
                </c:pt>
                <c:pt idx="37">
                  <c:v>81.272694053999999</c:v>
                </c:pt>
                <c:pt idx="38">
                  <c:v>78.259779938999998</c:v>
                </c:pt>
                <c:pt idx="39">
                  <c:v>69.273827968999996</c:v>
                </c:pt>
                <c:pt idx="40">
                  <c:v>115.157346238</c:v>
                </c:pt>
                <c:pt idx="41">
                  <c:v>90.020424363999993</c:v>
                </c:pt>
                <c:pt idx="42">
                  <c:v>130.68748759600001</c:v>
                </c:pt>
              </c:numCache>
            </c:numRef>
          </c:val>
          <c:smooth val="0"/>
          <c:extLst>
            <c:ext xmlns:c16="http://schemas.microsoft.com/office/drawing/2014/chart" uri="{C3380CC4-5D6E-409C-BE32-E72D297353CC}">
              <c16:uniqueId val="{00000000-917C-4F0D-A698-A3D2AEC68DAE}"/>
            </c:ext>
          </c:extLst>
        </c:ser>
        <c:ser>
          <c:idx val="1"/>
          <c:order val="1"/>
          <c:tx>
            <c:strRef>
              <c:f>'BoP_izvoz usluga'!$M$5</c:f>
              <c:strCache>
                <c:ptCount val="1"/>
                <c:pt idx="0">
                  <c:v>sa</c:v>
                </c:pt>
              </c:strCache>
            </c:strRef>
          </c:tx>
          <c:spPr>
            <a:ln w="22225" cap="rnd">
              <a:solidFill>
                <a:srgbClr val="25AAE1"/>
              </a:solidFill>
              <a:round/>
            </a:ln>
            <a:effectLst/>
          </c:spPr>
          <c:marker>
            <c:symbol val="none"/>
          </c:marker>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usluga'!$M$102:$M$144</c:f>
              <c:numCache>
                <c:formatCode>0.0</c:formatCode>
                <c:ptCount val="43"/>
                <c:pt idx="0">
                  <c:v>62.922335224000001</c:v>
                </c:pt>
                <c:pt idx="1">
                  <c:v>60.828468328</c:v>
                </c:pt>
                <c:pt idx="2">
                  <c:v>49.342857080999998</c:v>
                </c:pt>
                <c:pt idx="3">
                  <c:v>25.366244145</c:v>
                </c:pt>
                <c:pt idx="4">
                  <c:v>34.448012812000002</c:v>
                </c:pt>
                <c:pt idx="5">
                  <c:v>42.187701332000003</c:v>
                </c:pt>
                <c:pt idx="6">
                  <c:v>37.332701329000002</c:v>
                </c:pt>
                <c:pt idx="7">
                  <c:v>31.923045139999999</c:v>
                </c:pt>
                <c:pt idx="8">
                  <c:v>39.743135238000001</c:v>
                </c:pt>
                <c:pt idx="9">
                  <c:v>49.21628449</c:v>
                </c:pt>
                <c:pt idx="10">
                  <c:v>50.917411598999998</c:v>
                </c:pt>
                <c:pt idx="11">
                  <c:v>49.893976690000002</c:v>
                </c:pt>
                <c:pt idx="12">
                  <c:v>57.655856514</c:v>
                </c:pt>
                <c:pt idx="13">
                  <c:v>62.310160979999999</c:v>
                </c:pt>
                <c:pt idx="14">
                  <c:v>60.307293672999997</c:v>
                </c:pt>
                <c:pt idx="15">
                  <c:v>57.100734125000002</c:v>
                </c:pt>
                <c:pt idx="16">
                  <c:v>61.472447211000002</c:v>
                </c:pt>
                <c:pt idx="17">
                  <c:v>63.942957243000002</c:v>
                </c:pt>
                <c:pt idx="18">
                  <c:v>65.563272024</c:v>
                </c:pt>
                <c:pt idx="19">
                  <c:v>66.613542877</c:v>
                </c:pt>
                <c:pt idx="20">
                  <c:v>66.318174399</c:v>
                </c:pt>
                <c:pt idx="21">
                  <c:v>66.139128158999995</c:v>
                </c:pt>
                <c:pt idx="22">
                  <c:v>65.855851643999998</c:v>
                </c:pt>
                <c:pt idx="23">
                  <c:v>71.679974916000006</c:v>
                </c:pt>
                <c:pt idx="24">
                  <c:v>71.324397454000007</c:v>
                </c:pt>
                <c:pt idx="25">
                  <c:v>69.847172362999999</c:v>
                </c:pt>
                <c:pt idx="26">
                  <c:v>110.549278262</c:v>
                </c:pt>
                <c:pt idx="27">
                  <c:v>90.064572393000006</c:v>
                </c:pt>
                <c:pt idx="28">
                  <c:v>92.696841266000007</c:v>
                </c:pt>
                <c:pt idx="29">
                  <c:v>98.909311500000001</c:v>
                </c:pt>
                <c:pt idx="30">
                  <c:v>109.567853795</c:v>
                </c:pt>
                <c:pt idx="31">
                  <c:v>95.956300928000005</c:v>
                </c:pt>
                <c:pt idx="32">
                  <c:v>101.213686908</c:v>
                </c:pt>
                <c:pt idx="33">
                  <c:v>137.69186020800001</c:v>
                </c:pt>
                <c:pt idx="34">
                  <c:v>102.72256353900001</c:v>
                </c:pt>
                <c:pt idx="35">
                  <c:v>107.233662626</c:v>
                </c:pt>
                <c:pt idx="36">
                  <c:v>102.10489111699999</c:v>
                </c:pt>
                <c:pt idx="37">
                  <c:v>121.24756207900001</c:v>
                </c:pt>
                <c:pt idx="38">
                  <c:v>103.762067966</c:v>
                </c:pt>
                <c:pt idx="39">
                  <c:v>97.785327543999998</c:v>
                </c:pt>
                <c:pt idx="40">
                  <c:v>108.852105286</c:v>
                </c:pt>
                <c:pt idx="41">
                  <c:v>97.501982251000001</c:v>
                </c:pt>
                <c:pt idx="42">
                  <c:v>93.623951286999997</c:v>
                </c:pt>
              </c:numCache>
            </c:numRef>
          </c:val>
          <c:smooth val="0"/>
          <c:extLst>
            <c:ext xmlns:c16="http://schemas.microsoft.com/office/drawing/2014/chart" uri="{C3380CC4-5D6E-409C-BE32-E72D297353CC}">
              <c16:uniqueId val="{00000001-917C-4F0D-A698-A3D2AEC68DAE}"/>
            </c:ext>
          </c:extLst>
        </c:ser>
        <c:ser>
          <c:idx val="2"/>
          <c:order val="2"/>
          <c:tx>
            <c:strRef>
              <c:f>'BoP_izvoz usluga'!$N$5</c:f>
              <c:strCache>
                <c:ptCount val="1"/>
                <c:pt idx="0">
                  <c:v>t</c:v>
                </c:pt>
              </c:strCache>
            </c:strRef>
          </c:tx>
          <c:spPr>
            <a:ln w="25400" cap="rnd">
              <a:solidFill>
                <a:srgbClr val="FF0000"/>
              </a:solidFill>
              <a:round/>
            </a:ln>
            <a:effectLst/>
          </c:spPr>
          <c:marker>
            <c:symbol val="none"/>
          </c:marker>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usluga'!$N$102:$N$144</c:f>
              <c:numCache>
                <c:formatCode>0.0</c:formatCode>
                <c:ptCount val="43"/>
                <c:pt idx="0">
                  <c:v>53.682365105999999</c:v>
                </c:pt>
                <c:pt idx="1">
                  <c:v>52.092796237999998</c:v>
                </c:pt>
                <c:pt idx="2">
                  <c:v>50.526872021000003</c:v>
                </c:pt>
                <c:pt idx="3">
                  <c:v>49.119209296000001</c:v>
                </c:pt>
                <c:pt idx="4">
                  <c:v>47.994832152999997</c:v>
                </c:pt>
                <c:pt idx="5">
                  <c:v>47.257616837</c:v>
                </c:pt>
                <c:pt idx="6">
                  <c:v>46.97942742</c:v>
                </c:pt>
                <c:pt idx="7">
                  <c:v>47.207464619</c:v>
                </c:pt>
                <c:pt idx="8">
                  <c:v>47.942977366000001</c:v>
                </c:pt>
                <c:pt idx="9">
                  <c:v>49.127468172999997</c:v>
                </c:pt>
                <c:pt idx="10">
                  <c:v>50.673919924000003</c:v>
                </c:pt>
                <c:pt idx="11">
                  <c:v>52.464075594000001</c:v>
                </c:pt>
                <c:pt idx="12">
                  <c:v>54.372421995000003</c:v>
                </c:pt>
                <c:pt idx="13">
                  <c:v>56.258514966</c:v>
                </c:pt>
                <c:pt idx="14">
                  <c:v>58.011604937000001</c:v>
                </c:pt>
                <c:pt idx="15">
                  <c:v>59.575018307000001</c:v>
                </c:pt>
                <c:pt idx="16">
                  <c:v>60.94991452</c:v>
                </c:pt>
                <c:pt idx="17">
                  <c:v>62.201469557999999</c:v>
                </c:pt>
                <c:pt idx="18">
                  <c:v>63.431271957</c:v>
                </c:pt>
                <c:pt idx="19">
                  <c:v>64.753518931000002</c:v>
                </c:pt>
                <c:pt idx="20">
                  <c:v>66.285531617999993</c:v>
                </c:pt>
                <c:pt idx="21">
                  <c:v>68.115964177999999</c:v>
                </c:pt>
                <c:pt idx="22">
                  <c:v>70.312435758000007</c:v>
                </c:pt>
                <c:pt idx="23">
                  <c:v>72.905653025000007</c:v>
                </c:pt>
                <c:pt idx="24">
                  <c:v>75.872407471000002</c:v>
                </c:pt>
                <c:pt idx="25">
                  <c:v>79.163176249000003</c:v>
                </c:pt>
                <c:pt idx="26">
                  <c:v>82.664697222000001</c:v>
                </c:pt>
                <c:pt idx="27">
                  <c:v>86.251224323000002</c:v>
                </c:pt>
                <c:pt idx="28">
                  <c:v>89.790299790000006</c:v>
                </c:pt>
                <c:pt idx="29">
                  <c:v>93.117378806999994</c:v>
                </c:pt>
                <c:pt idx="30">
                  <c:v>96.074865310999996</c:v>
                </c:pt>
                <c:pt idx="31">
                  <c:v>98.530728749000005</c:v>
                </c:pt>
                <c:pt idx="32">
                  <c:v>100.401419926</c:v>
                </c:pt>
                <c:pt idx="33">
                  <c:v>101.68311521</c:v>
                </c:pt>
                <c:pt idx="34">
                  <c:v>102.447946484</c:v>
                </c:pt>
                <c:pt idx="35">
                  <c:v>102.832530362</c:v>
                </c:pt>
                <c:pt idx="36">
                  <c:v>102.98829579</c:v>
                </c:pt>
                <c:pt idx="37">
                  <c:v>103.035676009</c:v>
                </c:pt>
                <c:pt idx="38">
                  <c:v>103.02346805400001</c:v>
                </c:pt>
                <c:pt idx="39">
                  <c:v>102.94280500799999</c:v>
                </c:pt>
                <c:pt idx="40">
                  <c:v>102.68390380699999</c:v>
                </c:pt>
                <c:pt idx="41">
                  <c:v>102.108012636</c:v>
                </c:pt>
                <c:pt idx="42">
                  <c:v>101.535657098</c:v>
                </c:pt>
              </c:numCache>
            </c:numRef>
          </c:val>
          <c:smooth val="0"/>
          <c:extLst>
            <c:ext xmlns:c16="http://schemas.microsoft.com/office/drawing/2014/chart" uri="{C3380CC4-5D6E-409C-BE32-E72D297353CC}">
              <c16:uniqueId val="{00000002-917C-4F0D-A698-A3D2AEC68DAE}"/>
            </c:ext>
          </c:extLst>
        </c:ser>
        <c:ser>
          <c:idx val="3"/>
          <c:order val="3"/>
          <c:tx>
            <c:strRef>
              <c:f>'BoP_izvoz usluga'!$O$5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7710726480174468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17C-4F0D-A698-A3D2AEC68DAE}"/>
                </c:ext>
              </c:extLst>
            </c:dLbl>
            <c:dLbl>
              <c:idx val="12"/>
              <c:layout>
                <c:manualLayout>
                  <c:x val="6.909575796020874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17C-4F0D-A698-A3D2AEC68DAE}"/>
                </c:ext>
              </c:extLst>
            </c:dLbl>
            <c:dLbl>
              <c:idx val="24"/>
              <c:layout>
                <c:manualLayout>
                  <c:x val="6.2783823247822487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17C-4F0D-A698-A3D2AEC68DAE}"/>
                </c:ext>
              </c:extLst>
            </c:dLbl>
            <c:dLbl>
              <c:idx val="36"/>
              <c:layout>
                <c:manualLayout>
                  <c:x val="-1.3309048940214989E-3"/>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17C-4F0D-A698-A3D2AEC68DAE}"/>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usluga'!$O$102:$O$144</c:f>
              <c:numCache>
                <c:formatCode>General</c:formatCode>
                <c:ptCount val="43"/>
                <c:pt idx="0">
                  <c:v>0</c:v>
                </c:pt>
                <c:pt idx="12">
                  <c:v>0</c:v>
                </c:pt>
                <c:pt idx="24">
                  <c:v>0</c:v>
                </c:pt>
                <c:pt idx="36">
                  <c:v>0</c:v>
                </c:pt>
              </c:numCache>
            </c:numRef>
          </c:val>
          <c:smooth val="0"/>
          <c:extLst>
            <c:ext xmlns:c16="http://schemas.microsoft.com/office/drawing/2014/chart" uri="{C3380CC4-5D6E-409C-BE32-E72D297353CC}">
              <c16:uniqueId val="{00000007-917C-4F0D-A698-A3D2AEC68DAE}"/>
            </c:ext>
          </c:extLst>
        </c:ser>
        <c:ser>
          <c:idx val="4"/>
          <c:order val="4"/>
          <c:tx>
            <c:strRef>
              <c:f>'BoP_izvoz usluga'!$P$5</c:f>
              <c:strCache>
                <c:ptCount val="1"/>
                <c:pt idx="0">
                  <c:v>Series5</c:v>
                </c:pt>
              </c:strCache>
            </c:strRef>
          </c:tx>
          <c:spPr>
            <a:ln w="28575" cap="rnd">
              <a:noFill/>
              <a:round/>
            </a:ln>
            <a:effectLst/>
          </c:spPr>
          <c:marker>
            <c:symbol val="none"/>
          </c:marker>
          <c:dLbls>
            <c:dLbl>
              <c:idx val="0"/>
              <c:tx>
                <c:rich>
                  <a:bodyPr/>
                  <a:lstStyle/>
                  <a:p>
                    <a:fld id="{23E14016-C0EA-4A91-9EE1-34E3782D757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917C-4F0D-A698-A3D2AEC68DAE}"/>
                </c:ext>
              </c:extLst>
            </c:dLbl>
            <c:dLbl>
              <c:idx val="1"/>
              <c:tx>
                <c:rich>
                  <a:bodyPr/>
                  <a:lstStyle/>
                  <a:p>
                    <a:fld id="{D981119B-4472-4128-93A3-52A0048C6FF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917C-4F0D-A698-A3D2AEC68DAE}"/>
                </c:ext>
              </c:extLst>
            </c:dLbl>
            <c:dLbl>
              <c:idx val="2"/>
              <c:tx>
                <c:rich>
                  <a:bodyPr/>
                  <a:lstStyle/>
                  <a:p>
                    <a:fld id="{EBB7BB28-73C4-4DB1-8E2E-75F8260FD2A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917C-4F0D-A698-A3D2AEC68DAE}"/>
                </c:ext>
              </c:extLst>
            </c:dLbl>
            <c:dLbl>
              <c:idx val="3"/>
              <c:tx>
                <c:rich>
                  <a:bodyPr/>
                  <a:lstStyle/>
                  <a:p>
                    <a:fld id="{C57CF810-BA9D-45A9-B3D3-DC6D95D6282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917C-4F0D-A698-A3D2AEC68DAE}"/>
                </c:ext>
              </c:extLst>
            </c:dLbl>
            <c:dLbl>
              <c:idx val="4"/>
              <c:tx>
                <c:rich>
                  <a:bodyPr/>
                  <a:lstStyle/>
                  <a:p>
                    <a:fld id="{8D724376-E0CD-430C-A1F6-7CCFF13C8BF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917C-4F0D-A698-A3D2AEC68DAE}"/>
                </c:ext>
              </c:extLst>
            </c:dLbl>
            <c:dLbl>
              <c:idx val="5"/>
              <c:tx>
                <c:rich>
                  <a:bodyPr/>
                  <a:lstStyle/>
                  <a:p>
                    <a:fld id="{841D979F-6F87-4E4D-B07B-51906D67204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917C-4F0D-A698-A3D2AEC68DAE}"/>
                </c:ext>
              </c:extLst>
            </c:dLbl>
            <c:dLbl>
              <c:idx val="6"/>
              <c:tx>
                <c:rich>
                  <a:bodyPr/>
                  <a:lstStyle/>
                  <a:p>
                    <a:fld id="{CB47B96F-18E0-4245-A248-FC1A77C970D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917C-4F0D-A698-A3D2AEC68DAE}"/>
                </c:ext>
              </c:extLst>
            </c:dLbl>
            <c:dLbl>
              <c:idx val="7"/>
              <c:tx>
                <c:rich>
                  <a:bodyPr/>
                  <a:lstStyle/>
                  <a:p>
                    <a:fld id="{522E72A0-23C1-4196-B301-F983C62FD6F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917C-4F0D-A698-A3D2AEC68DAE}"/>
                </c:ext>
              </c:extLst>
            </c:dLbl>
            <c:dLbl>
              <c:idx val="8"/>
              <c:tx>
                <c:rich>
                  <a:bodyPr/>
                  <a:lstStyle/>
                  <a:p>
                    <a:fld id="{0E18DDCB-AAD4-4C13-8925-A8E6AE716AE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917C-4F0D-A698-A3D2AEC68DAE}"/>
                </c:ext>
              </c:extLst>
            </c:dLbl>
            <c:dLbl>
              <c:idx val="9"/>
              <c:tx>
                <c:rich>
                  <a:bodyPr/>
                  <a:lstStyle/>
                  <a:p>
                    <a:fld id="{9D8CB421-1F41-4775-B222-D56F9165205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917C-4F0D-A698-A3D2AEC68DAE}"/>
                </c:ext>
              </c:extLst>
            </c:dLbl>
            <c:dLbl>
              <c:idx val="10"/>
              <c:tx>
                <c:rich>
                  <a:bodyPr/>
                  <a:lstStyle/>
                  <a:p>
                    <a:fld id="{4D26296B-15EF-499A-A027-B2AC3010126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917C-4F0D-A698-A3D2AEC68DAE}"/>
                </c:ext>
              </c:extLst>
            </c:dLbl>
            <c:dLbl>
              <c:idx val="11"/>
              <c:tx>
                <c:rich>
                  <a:bodyPr/>
                  <a:lstStyle/>
                  <a:p>
                    <a:fld id="{781D805D-AA92-40EE-86F7-1E946F0C5A0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917C-4F0D-A698-A3D2AEC68DAE}"/>
                </c:ext>
              </c:extLst>
            </c:dLbl>
            <c:dLbl>
              <c:idx val="12"/>
              <c:tx>
                <c:rich>
                  <a:bodyPr/>
                  <a:lstStyle/>
                  <a:p>
                    <a:fld id="{C9784B2D-17F8-4520-995E-7DE644E1FE0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917C-4F0D-A698-A3D2AEC68DAE}"/>
                </c:ext>
              </c:extLst>
            </c:dLbl>
            <c:dLbl>
              <c:idx val="13"/>
              <c:tx>
                <c:rich>
                  <a:bodyPr/>
                  <a:lstStyle/>
                  <a:p>
                    <a:fld id="{82DF608C-8869-4BED-9B62-FED6084AD00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917C-4F0D-A698-A3D2AEC68DAE}"/>
                </c:ext>
              </c:extLst>
            </c:dLbl>
            <c:dLbl>
              <c:idx val="14"/>
              <c:tx>
                <c:rich>
                  <a:bodyPr/>
                  <a:lstStyle/>
                  <a:p>
                    <a:fld id="{D104296E-6F99-4B35-80DC-D54EEA06923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917C-4F0D-A698-A3D2AEC68DAE}"/>
                </c:ext>
              </c:extLst>
            </c:dLbl>
            <c:dLbl>
              <c:idx val="15"/>
              <c:tx>
                <c:rich>
                  <a:bodyPr/>
                  <a:lstStyle/>
                  <a:p>
                    <a:fld id="{9F675CC7-13CE-4D4B-A838-09F124C5D36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917C-4F0D-A698-A3D2AEC68DAE}"/>
                </c:ext>
              </c:extLst>
            </c:dLbl>
            <c:dLbl>
              <c:idx val="16"/>
              <c:tx>
                <c:rich>
                  <a:bodyPr/>
                  <a:lstStyle/>
                  <a:p>
                    <a:fld id="{95561BEF-FAAF-4B3E-BCB3-2AC712DD8FB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917C-4F0D-A698-A3D2AEC68DAE}"/>
                </c:ext>
              </c:extLst>
            </c:dLbl>
            <c:dLbl>
              <c:idx val="17"/>
              <c:tx>
                <c:rich>
                  <a:bodyPr/>
                  <a:lstStyle/>
                  <a:p>
                    <a:fld id="{E766FFBB-358C-4CA5-BE66-BC413489C13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917C-4F0D-A698-A3D2AEC68DAE}"/>
                </c:ext>
              </c:extLst>
            </c:dLbl>
            <c:dLbl>
              <c:idx val="18"/>
              <c:tx>
                <c:rich>
                  <a:bodyPr/>
                  <a:lstStyle/>
                  <a:p>
                    <a:fld id="{003840B4-F307-4B77-A338-1B8D5E75B07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917C-4F0D-A698-A3D2AEC68DAE}"/>
                </c:ext>
              </c:extLst>
            </c:dLbl>
            <c:dLbl>
              <c:idx val="19"/>
              <c:tx>
                <c:rich>
                  <a:bodyPr/>
                  <a:lstStyle/>
                  <a:p>
                    <a:fld id="{EB7BBE92-B804-4EC7-B573-3BEEFFA90D8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917C-4F0D-A698-A3D2AEC68DAE}"/>
                </c:ext>
              </c:extLst>
            </c:dLbl>
            <c:dLbl>
              <c:idx val="20"/>
              <c:tx>
                <c:rich>
                  <a:bodyPr/>
                  <a:lstStyle/>
                  <a:p>
                    <a:fld id="{CF9BFFE6-2CC1-4744-AAF2-F58700337A2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917C-4F0D-A698-A3D2AEC68DAE}"/>
                </c:ext>
              </c:extLst>
            </c:dLbl>
            <c:dLbl>
              <c:idx val="21"/>
              <c:tx>
                <c:rich>
                  <a:bodyPr/>
                  <a:lstStyle/>
                  <a:p>
                    <a:fld id="{11459E6C-2D6E-4AB0-BAF0-2A0C816AA5E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917C-4F0D-A698-A3D2AEC68DAE}"/>
                </c:ext>
              </c:extLst>
            </c:dLbl>
            <c:dLbl>
              <c:idx val="22"/>
              <c:tx>
                <c:rich>
                  <a:bodyPr/>
                  <a:lstStyle/>
                  <a:p>
                    <a:fld id="{39E05BAC-3AA7-481A-AE21-789015DA2E8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917C-4F0D-A698-A3D2AEC68DAE}"/>
                </c:ext>
              </c:extLst>
            </c:dLbl>
            <c:dLbl>
              <c:idx val="23"/>
              <c:tx>
                <c:rich>
                  <a:bodyPr/>
                  <a:lstStyle/>
                  <a:p>
                    <a:fld id="{14C86EAF-D426-47DC-A2B6-31551ED694F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917C-4F0D-A698-A3D2AEC68DAE}"/>
                </c:ext>
              </c:extLst>
            </c:dLbl>
            <c:dLbl>
              <c:idx val="24"/>
              <c:tx>
                <c:rich>
                  <a:bodyPr/>
                  <a:lstStyle/>
                  <a:p>
                    <a:fld id="{178EC02A-A37E-4FBB-9742-44885C9AB57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917C-4F0D-A698-A3D2AEC68DAE}"/>
                </c:ext>
              </c:extLst>
            </c:dLbl>
            <c:dLbl>
              <c:idx val="25"/>
              <c:tx>
                <c:rich>
                  <a:bodyPr/>
                  <a:lstStyle/>
                  <a:p>
                    <a:fld id="{797A6190-E639-4816-9B26-CD24E2FB174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917C-4F0D-A698-A3D2AEC68DAE}"/>
                </c:ext>
              </c:extLst>
            </c:dLbl>
            <c:dLbl>
              <c:idx val="26"/>
              <c:tx>
                <c:rich>
                  <a:bodyPr/>
                  <a:lstStyle/>
                  <a:p>
                    <a:fld id="{14561136-0BBC-4424-A4DE-D6FBB71A0CC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917C-4F0D-A698-A3D2AEC68DAE}"/>
                </c:ext>
              </c:extLst>
            </c:dLbl>
            <c:dLbl>
              <c:idx val="27"/>
              <c:tx>
                <c:rich>
                  <a:bodyPr/>
                  <a:lstStyle/>
                  <a:p>
                    <a:fld id="{F6DF1A62-5B41-47D7-BBDF-A48FF6FF76F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917C-4F0D-A698-A3D2AEC68DAE}"/>
                </c:ext>
              </c:extLst>
            </c:dLbl>
            <c:dLbl>
              <c:idx val="28"/>
              <c:tx>
                <c:rich>
                  <a:bodyPr/>
                  <a:lstStyle/>
                  <a:p>
                    <a:fld id="{47F46848-1F3F-4417-B56B-AC11DC2783F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917C-4F0D-A698-A3D2AEC68DAE}"/>
                </c:ext>
              </c:extLst>
            </c:dLbl>
            <c:dLbl>
              <c:idx val="29"/>
              <c:tx>
                <c:rich>
                  <a:bodyPr/>
                  <a:lstStyle/>
                  <a:p>
                    <a:fld id="{598D5B7F-8EF1-46A5-8D68-C034D7FED60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917C-4F0D-A698-A3D2AEC68DAE}"/>
                </c:ext>
              </c:extLst>
            </c:dLbl>
            <c:dLbl>
              <c:idx val="30"/>
              <c:tx>
                <c:rich>
                  <a:bodyPr/>
                  <a:lstStyle/>
                  <a:p>
                    <a:fld id="{A098FA49-41A4-43E1-A9F4-1C9D8A7CC98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917C-4F0D-A698-A3D2AEC68DAE}"/>
                </c:ext>
              </c:extLst>
            </c:dLbl>
            <c:dLbl>
              <c:idx val="31"/>
              <c:tx>
                <c:rich>
                  <a:bodyPr/>
                  <a:lstStyle/>
                  <a:p>
                    <a:fld id="{4E8E22EE-1559-4231-AD52-7A6824AB788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917C-4F0D-A698-A3D2AEC68DAE}"/>
                </c:ext>
              </c:extLst>
            </c:dLbl>
            <c:dLbl>
              <c:idx val="32"/>
              <c:tx>
                <c:rich>
                  <a:bodyPr/>
                  <a:lstStyle/>
                  <a:p>
                    <a:fld id="{E53C1D1E-0588-40AC-A21F-40BCBFDC7E5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917C-4F0D-A698-A3D2AEC68DAE}"/>
                </c:ext>
              </c:extLst>
            </c:dLbl>
            <c:dLbl>
              <c:idx val="33"/>
              <c:tx>
                <c:rich>
                  <a:bodyPr/>
                  <a:lstStyle/>
                  <a:p>
                    <a:fld id="{08281C94-E918-40C6-ABB8-8CFFE5E69B5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917C-4F0D-A698-A3D2AEC68DAE}"/>
                </c:ext>
              </c:extLst>
            </c:dLbl>
            <c:dLbl>
              <c:idx val="34"/>
              <c:tx>
                <c:rich>
                  <a:bodyPr/>
                  <a:lstStyle/>
                  <a:p>
                    <a:fld id="{FE48B0F9-BB13-46BF-90DF-11B89D7981C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917C-4F0D-A698-A3D2AEC68DAE}"/>
                </c:ext>
              </c:extLst>
            </c:dLbl>
            <c:dLbl>
              <c:idx val="35"/>
              <c:tx>
                <c:rich>
                  <a:bodyPr/>
                  <a:lstStyle/>
                  <a:p>
                    <a:fld id="{07CF2F86-9723-4EAC-90A7-7A3330EEB98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917C-4F0D-A698-A3D2AEC68DAE}"/>
                </c:ext>
              </c:extLst>
            </c:dLbl>
            <c:dLbl>
              <c:idx val="36"/>
              <c:tx>
                <c:rich>
                  <a:bodyPr/>
                  <a:lstStyle/>
                  <a:p>
                    <a:fld id="{F329356B-19E9-421F-B5E5-1CE2A7B9874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917C-4F0D-A698-A3D2AEC68DAE}"/>
                </c:ext>
              </c:extLst>
            </c:dLbl>
            <c:dLbl>
              <c:idx val="37"/>
              <c:tx>
                <c:rich>
                  <a:bodyPr/>
                  <a:lstStyle/>
                  <a:p>
                    <a:fld id="{D3FDE5F4-D690-43EB-A40E-798D9CBE836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917C-4F0D-A698-A3D2AEC68DAE}"/>
                </c:ext>
              </c:extLst>
            </c:dLbl>
            <c:dLbl>
              <c:idx val="38"/>
              <c:tx>
                <c:rich>
                  <a:bodyPr/>
                  <a:lstStyle/>
                  <a:p>
                    <a:fld id="{5D603600-2252-4CEF-A71D-BF4FA078079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917C-4F0D-A698-A3D2AEC68DAE}"/>
                </c:ext>
              </c:extLst>
            </c:dLbl>
            <c:dLbl>
              <c:idx val="39"/>
              <c:tx>
                <c:rich>
                  <a:bodyPr/>
                  <a:lstStyle/>
                  <a:p>
                    <a:fld id="{B71650FD-2F67-4970-99CC-FFB33718014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917C-4F0D-A698-A3D2AEC68DAE}"/>
                </c:ext>
              </c:extLst>
            </c:dLbl>
            <c:dLbl>
              <c:idx val="40"/>
              <c:tx>
                <c:rich>
                  <a:bodyPr/>
                  <a:lstStyle/>
                  <a:p>
                    <a:fld id="{5D46277A-FF9F-4A9D-8BA0-58950A8E263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917C-4F0D-A698-A3D2AEC68DAE}"/>
                </c:ext>
              </c:extLst>
            </c:dLbl>
            <c:dLbl>
              <c:idx val="41"/>
              <c:tx>
                <c:rich>
                  <a:bodyPr/>
                  <a:lstStyle/>
                  <a:p>
                    <a:fld id="{D6BA366E-AEF4-4A5B-A7C5-CBA21BAF69E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917C-4F0D-A698-A3D2AEC68DAE}"/>
                </c:ext>
              </c:extLst>
            </c:dLbl>
            <c:dLbl>
              <c:idx val="42"/>
              <c:tx>
                <c:rich>
                  <a:bodyPr/>
                  <a:lstStyle/>
                  <a:p>
                    <a:fld id="{1E691243-44FF-44B8-A374-B65D088B5DF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917C-4F0D-A698-A3D2AEC68DAE}"/>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usluga'!$A$102:$A$144</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'BoP_izvoz usluga'!$P$102:$P$144</c:f>
              <c:numCache>
                <c:formatCode>General</c:formatCode>
                <c:ptCount val="4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numCache>
            </c:numRef>
          </c:val>
          <c:smooth val="0"/>
          <c:extLst>
            <c:ext xmlns:c15="http://schemas.microsoft.com/office/drawing/2012/chart" uri="{02D57815-91ED-43cb-92C2-25804820EDAC}">
              <c15:datalabelsRange>
                <c15:f>'BoP_izvoz usluga'!$J$90:$J$144</c15:f>
                <c15:dlblRangeCache>
                  <c:ptCount val="55"/>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pt idx="45">
                    <c:v>X</c:v>
                  </c:pt>
                  <c:pt idx="48">
                    <c:v>I</c:v>
                  </c:pt>
                  <c:pt idx="51">
                    <c:v>IV</c:v>
                  </c:pt>
                  <c:pt idx="54">
                    <c:v>VII</c:v>
                  </c:pt>
                </c15:dlblRangeCache>
              </c15:datalabelsRange>
            </c:ext>
            <c:ext xmlns:c16="http://schemas.microsoft.com/office/drawing/2014/chart" uri="{C3380CC4-5D6E-409C-BE32-E72D297353CC}">
              <c16:uniqueId val="{00000033-917C-4F0D-A698-A3D2AEC68DAE}"/>
            </c:ext>
          </c:extLst>
        </c:ser>
        <c:dLbls>
          <c:showLegendKey val="0"/>
          <c:showVal val="0"/>
          <c:showCatName val="0"/>
          <c:showSerName val="0"/>
          <c:showPercent val="0"/>
          <c:showBubbleSize val="0"/>
        </c:dLbls>
        <c:smooth val="0"/>
        <c:axId val="1828937008"/>
        <c:axId val="1828920688"/>
      </c:lineChart>
      <c:dateAx>
        <c:axId val="1828937008"/>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0688"/>
        <c:crosses val="autoZero"/>
        <c:auto val="1"/>
        <c:lblOffset val="0"/>
        <c:baseTimeUnit val="months"/>
      </c:dateAx>
      <c:valAx>
        <c:axId val="1828920688"/>
        <c:scaling>
          <c:orientation val="minMax"/>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7008"/>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1151726726726725"/>
        </c:manualLayout>
      </c:layout>
      <c:lineChart>
        <c:grouping val="standard"/>
        <c:varyColors val="0"/>
        <c:ser>
          <c:idx val="0"/>
          <c:order val="0"/>
          <c:tx>
            <c:strRef>
              <c:f>Usluge!$S$5</c:f>
              <c:strCache>
                <c:ptCount val="1"/>
                <c:pt idx="0">
                  <c:v>y</c:v>
                </c:pt>
              </c:strCache>
            </c:strRef>
          </c:tx>
          <c:spPr>
            <a:ln w="12700" cap="rnd">
              <a:solidFill>
                <a:srgbClr val="7F3F98"/>
              </a:solidFill>
              <a:prstDash val="sysDash"/>
              <a:round/>
            </a:ln>
            <a:effectLst/>
          </c:spPr>
          <c:marker>
            <c:symbol val="none"/>
          </c:marker>
          <c:cat>
            <c:numRef>
              <c:f>Usluge!$A$138:$A$180</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Usluge!$S$138:$S$180</c:f>
              <c:numCache>
                <c:formatCode>0.0</c:formatCode>
                <c:ptCount val="43"/>
                <c:pt idx="0">
                  <c:v>76.810648172</c:v>
                </c:pt>
                <c:pt idx="1">
                  <c:v>81.282735195000001</c:v>
                </c:pt>
                <c:pt idx="2">
                  <c:v>38.383603571000002</c:v>
                </c:pt>
                <c:pt idx="3">
                  <c:v>4.6399476210000001</c:v>
                </c:pt>
                <c:pt idx="4">
                  <c:v>19.012468299999998</c:v>
                </c:pt>
                <c:pt idx="5">
                  <c:v>62.396802819999998</c:v>
                </c:pt>
                <c:pt idx="6">
                  <c:v>82.136741302999994</c:v>
                </c:pt>
                <c:pt idx="7">
                  <c:v>120.37353646699999</c:v>
                </c:pt>
                <c:pt idx="8">
                  <c:v>77.760335933999997</c:v>
                </c:pt>
                <c:pt idx="9">
                  <c:v>58.899020143000001</c:v>
                </c:pt>
                <c:pt idx="10">
                  <c:v>38.452997832999998</c:v>
                </c:pt>
                <c:pt idx="11">
                  <c:v>30.595852038</c:v>
                </c:pt>
                <c:pt idx="12">
                  <c:v>50.049748041000001</c:v>
                </c:pt>
                <c:pt idx="13">
                  <c:v>52.884442370999999</c:v>
                </c:pt>
                <c:pt idx="14">
                  <c:v>46.566222934000002</c:v>
                </c:pt>
                <c:pt idx="15">
                  <c:v>44.402079897</c:v>
                </c:pt>
                <c:pt idx="16">
                  <c:v>65.250432984</c:v>
                </c:pt>
                <c:pt idx="17">
                  <c:v>86.924388428</c:v>
                </c:pt>
                <c:pt idx="18">
                  <c:v>131.45278147499999</c:v>
                </c:pt>
                <c:pt idx="19">
                  <c:v>148.41438758000001</c:v>
                </c:pt>
                <c:pt idx="20">
                  <c:v>93.604950615999996</c:v>
                </c:pt>
                <c:pt idx="21">
                  <c:v>69.651009387000002</c:v>
                </c:pt>
                <c:pt idx="22">
                  <c:v>58.423285163999999</c:v>
                </c:pt>
                <c:pt idx="23">
                  <c:v>61.566967748000003</c:v>
                </c:pt>
                <c:pt idx="24">
                  <c:v>69.256671757000007</c:v>
                </c:pt>
                <c:pt idx="25">
                  <c:v>64.788034702999994</c:v>
                </c:pt>
                <c:pt idx="26">
                  <c:v>71.463012917</c:v>
                </c:pt>
                <c:pt idx="27">
                  <c:v>78.201393429999996</c:v>
                </c:pt>
                <c:pt idx="28">
                  <c:v>100.043435964</c:v>
                </c:pt>
                <c:pt idx="29">
                  <c:v>105.482216366</c:v>
                </c:pt>
                <c:pt idx="30">
                  <c:v>132.37782379699999</c:v>
                </c:pt>
                <c:pt idx="31">
                  <c:v>162.83483726</c:v>
                </c:pt>
                <c:pt idx="32">
                  <c:v>129.16067166299999</c:v>
                </c:pt>
                <c:pt idx="33">
                  <c:v>123.379793237</c:v>
                </c:pt>
                <c:pt idx="34">
                  <c:v>86.238100126000006</c:v>
                </c:pt>
                <c:pt idx="35">
                  <c:v>76.774008781999996</c:v>
                </c:pt>
                <c:pt idx="36">
                  <c:v>77.741114307999993</c:v>
                </c:pt>
                <c:pt idx="37">
                  <c:v>78.727524705999997</c:v>
                </c:pt>
                <c:pt idx="38">
                  <c:v>81.996515813000002</c:v>
                </c:pt>
                <c:pt idx="39">
                  <c:v>92.057294314000004</c:v>
                </c:pt>
                <c:pt idx="40">
                  <c:v>103.870602476</c:v>
                </c:pt>
                <c:pt idx="41">
                  <c:v>106.393465154</c:v>
                </c:pt>
                <c:pt idx="42">
                  <c:v>141.444254363</c:v>
                </c:pt>
              </c:numCache>
            </c:numRef>
          </c:val>
          <c:smooth val="0"/>
          <c:extLst>
            <c:ext xmlns:c16="http://schemas.microsoft.com/office/drawing/2014/chart" uri="{C3380CC4-5D6E-409C-BE32-E72D297353CC}">
              <c16:uniqueId val="{00000000-6D51-4C65-ABCD-B61C3BE3E2D9}"/>
            </c:ext>
          </c:extLst>
        </c:ser>
        <c:ser>
          <c:idx val="1"/>
          <c:order val="1"/>
          <c:tx>
            <c:strRef>
              <c:f>Usluge!$T$5</c:f>
              <c:strCache>
                <c:ptCount val="1"/>
                <c:pt idx="0">
                  <c:v>sa</c:v>
                </c:pt>
              </c:strCache>
            </c:strRef>
          </c:tx>
          <c:spPr>
            <a:ln w="22225" cap="rnd">
              <a:solidFill>
                <a:srgbClr val="25AAE1"/>
              </a:solidFill>
              <a:round/>
            </a:ln>
            <a:effectLst/>
          </c:spPr>
          <c:marker>
            <c:symbol val="none"/>
          </c:marker>
          <c:cat>
            <c:numRef>
              <c:f>Usluge!$A$138:$A$180</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Usluge!$T$138:$T$180</c:f>
              <c:numCache>
                <c:formatCode>0.0</c:formatCode>
                <c:ptCount val="43"/>
                <c:pt idx="0">
                  <c:v>98.093424869000003</c:v>
                </c:pt>
                <c:pt idx="1">
                  <c:v>89.808950436000003</c:v>
                </c:pt>
                <c:pt idx="2">
                  <c:v>49.902044529000001</c:v>
                </c:pt>
                <c:pt idx="3">
                  <c:v>5.3296353700000001</c:v>
                </c:pt>
                <c:pt idx="4">
                  <c:v>17.325218275000001</c:v>
                </c:pt>
                <c:pt idx="5">
                  <c:v>57.234532094999999</c:v>
                </c:pt>
                <c:pt idx="6">
                  <c:v>61.015669471000002</c:v>
                </c:pt>
                <c:pt idx="7">
                  <c:v>72.748772430000002</c:v>
                </c:pt>
                <c:pt idx="8">
                  <c:v>69.410376779000003</c:v>
                </c:pt>
                <c:pt idx="9">
                  <c:v>58.137745090999999</c:v>
                </c:pt>
                <c:pt idx="10">
                  <c:v>52.706745038999998</c:v>
                </c:pt>
                <c:pt idx="11">
                  <c:v>41.159330384</c:v>
                </c:pt>
                <c:pt idx="12">
                  <c:v>62.246571795000001</c:v>
                </c:pt>
                <c:pt idx="13">
                  <c:v>69.495623479000002</c:v>
                </c:pt>
                <c:pt idx="14">
                  <c:v>61.260302306</c:v>
                </c:pt>
                <c:pt idx="15">
                  <c:v>52.467789527999997</c:v>
                </c:pt>
                <c:pt idx="16">
                  <c:v>61.615968058999997</c:v>
                </c:pt>
                <c:pt idx="17">
                  <c:v>79.660400280000005</c:v>
                </c:pt>
                <c:pt idx="18">
                  <c:v>97.772383524000006</c:v>
                </c:pt>
                <c:pt idx="19">
                  <c:v>89.153776515000004</c:v>
                </c:pt>
                <c:pt idx="20">
                  <c:v>81.764419841999995</c:v>
                </c:pt>
                <c:pt idx="21">
                  <c:v>66.078542487000007</c:v>
                </c:pt>
                <c:pt idx="22">
                  <c:v>80.350801357999998</c:v>
                </c:pt>
                <c:pt idx="23">
                  <c:v>83.763574014</c:v>
                </c:pt>
                <c:pt idx="24">
                  <c:v>87.374632324000004</c:v>
                </c:pt>
                <c:pt idx="25">
                  <c:v>86.210179284999995</c:v>
                </c:pt>
                <c:pt idx="26">
                  <c:v>94.125601024999995</c:v>
                </c:pt>
                <c:pt idx="27">
                  <c:v>92.372280872000005</c:v>
                </c:pt>
                <c:pt idx="28">
                  <c:v>96.982622589000002</c:v>
                </c:pt>
                <c:pt idx="29">
                  <c:v>98.242489438999996</c:v>
                </c:pt>
                <c:pt idx="30">
                  <c:v>96.262713109000003</c:v>
                </c:pt>
                <c:pt idx="31">
                  <c:v>97.343156802999999</c:v>
                </c:pt>
                <c:pt idx="32">
                  <c:v>111.57475291999999</c:v>
                </c:pt>
                <c:pt idx="33">
                  <c:v>116.775274618</c:v>
                </c:pt>
                <c:pt idx="34">
                  <c:v>116.341924971</c:v>
                </c:pt>
                <c:pt idx="35">
                  <c:v>105.290987426</c:v>
                </c:pt>
                <c:pt idx="36">
                  <c:v>99.518891246999999</c:v>
                </c:pt>
                <c:pt idx="37">
                  <c:v>105.715973658</c:v>
                </c:pt>
                <c:pt idx="38">
                  <c:v>107.99864346</c:v>
                </c:pt>
                <c:pt idx="39">
                  <c:v>108.23511210300001</c:v>
                </c:pt>
                <c:pt idx="40">
                  <c:v>102.266020536</c:v>
                </c:pt>
                <c:pt idx="41">
                  <c:v>100.241398012</c:v>
                </c:pt>
                <c:pt idx="42">
                  <c:v>103.70573407099999</c:v>
                </c:pt>
              </c:numCache>
            </c:numRef>
          </c:val>
          <c:smooth val="0"/>
          <c:extLst>
            <c:ext xmlns:c16="http://schemas.microsoft.com/office/drawing/2014/chart" uri="{C3380CC4-5D6E-409C-BE32-E72D297353CC}">
              <c16:uniqueId val="{00000001-6D51-4C65-ABCD-B61C3BE3E2D9}"/>
            </c:ext>
          </c:extLst>
        </c:ser>
        <c:ser>
          <c:idx val="2"/>
          <c:order val="2"/>
          <c:tx>
            <c:strRef>
              <c:f>Usluge!$U$5</c:f>
              <c:strCache>
                <c:ptCount val="1"/>
                <c:pt idx="0">
                  <c:v>t</c:v>
                </c:pt>
              </c:strCache>
            </c:strRef>
          </c:tx>
          <c:spPr>
            <a:ln w="25400" cap="rnd">
              <a:solidFill>
                <a:srgbClr val="FF0000"/>
              </a:solidFill>
              <a:round/>
            </a:ln>
            <a:effectLst/>
          </c:spPr>
          <c:marker>
            <c:symbol val="none"/>
          </c:marker>
          <c:cat>
            <c:numRef>
              <c:f>Usluge!$A$138:$A$180</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Usluge!$U$138:$U$180</c:f>
              <c:numCache>
                <c:formatCode>0.0</c:formatCode>
                <c:ptCount val="43"/>
                <c:pt idx="0">
                  <c:v>94.688181560999993</c:v>
                </c:pt>
                <c:pt idx="1">
                  <c:v>88.525543357999993</c:v>
                </c:pt>
                <c:pt idx="2">
                  <c:v>80.534431256000005</c:v>
                </c:pt>
                <c:pt idx="3">
                  <c:v>72.540589664999999</c:v>
                </c:pt>
                <c:pt idx="4">
                  <c:v>66.105075455000005</c:v>
                </c:pt>
                <c:pt idx="5">
                  <c:v>61.947954488000001</c:v>
                </c:pt>
                <c:pt idx="6">
                  <c:v>59.694925859999998</c:v>
                </c:pt>
                <c:pt idx="7">
                  <c:v>58.626948185000003</c:v>
                </c:pt>
                <c:pt idx="8">
                  <c:v>58.134844430999998</c:v>
                </c:pt>
                <c:pt idx="9">
                  <c:v>57.784823375999999</c:v>
                </c:pt>
                <c:pt idx="10">
                  <c:v>57.559304501</c:v>
                </c:pt>
                <c:pt idx="11">
                  <c:v>57.790170465999999</c:v>
                </c:pt>
                <c:pt idx="12">
                  <c:v>58.927871863</c:v>
                </c:pt>
                <c:pt idx="13">
                  <c:v>61.090834000999997</c:v>
                </c:pt>
                <c:pt idx="14">
                  <c:v>64.429825793000006</c:v>
                </c:pt>
                <c:pt idx="15">
                  <c:v>68.792322437999999</c:v>
                </c:pt>
                <c:pt idx="16">
                  <c:v>73.610356835000005</c:v>
                </c:pt>
                <c:pt idx="17">
                  <c:v>78.030480440999995</c:v>
                </c:pt>
                <c:pt idx="18">
                  <c:v>81.262260626</c:v>
                </c:pt>
                <c:pt idx="19">
                  <c:v>82.957338626999999</c:v>
                </c:pt>
                <c:pt idx="20">
                  <c:v>83.182773591</c:v>
                </c:pt>
                <c:pt idx="21">
                  <c:v>82.852505945000004</c:v>
                </c:pt>
                <c:pt idx="22">
                  <c:v>82.868960361000006</c:v>
                </c:pt>
                <c:pt idx="23">
                  <c:v>83.781007631999998</c:v>
                </c:pt>
                <c:pt idx="24">
                  <c:v>85.805756493000004</c:v>
                </c:pt>
                <c:pt idx="25">
                  <c:v>88.596992650999994</c:v>
                </c:pt>
                <c:pt idx="26">
                  <c:v>91.255385786000005</c:v>
                </c:pt>
                <c:pt idx="27">
                  <c:v>93.232466344000002</c:v>
                </c:pt>
                <c:pt idx="28">
                  <c:v>94.904367669999999</c:v>
                </c:pt>
                <c:pt idx="29">
                  <c:v>97.096388559000005</c:v>
                </c:pt>
                <c:pt idx="30">
                  <c:v>100.290673453</c:v>
                </c:pt>
                <c:pt idx="31">
                  <c:v>103.987797578</c:v>
                </c:pt>
                <c:pt idx="32">
                  <c:v>107.253383191</c:v>
                </c:pt>
                <c:pt idx="33">
                  <c:v>109.299581269</c:v>
                </c:pt>
                <c:pt idx="34">
                  <c:v>109.80038548100001</c:v>
                </c:pt>
                <c:pt idx="35">
                  <c:v>109.078167153</c:v>
                </c:pt>
                <c:pt idx="36">
                  <c:v>107.550329942</c:v>
                </c:pt>
                <c:pt idx="37">
                  <c:v>106.013954895</c:v>
                </c:pt>
                <c:pt idx="38">
                  <c:v>105.08572791</c:v>
                </c:pt>
                <c:pt idx="39">
                  <c:v>104.66757389199999</c:v>
                </c:pt>
                <c:pt idx="40">
                  <c:v>104.080832253</c:v>
                </c:pt>
                <c:pt idx="41">
                  <c:v>102.925012446</c:v>
                </c:pt>
                <c:pt idx="42">
                  <c:v>101.335046795</c:v>
                </c:pt>
              </c:numCache>
            </c:numRef>
          </c:val>
          <c:smooth val="0"/>
          <c:extLst>
            <c:ext xmlns:c16="http://schemas.microsoft.com/office/drawing/2014/chart" uri="{C3380CC4-5D6E-409C-BE32-E72D297353CC}">
              <c16:uniqueId val="{00000002-6D51-4C65-ABCD-B61C3BE3E2D9}"/>
            </c:ext>
          </c:extLst>
        </c:ser>
        <c:ser>
          <c:idx val="3"/>
          <c:order val="3"/>
          <c:tx>
            <c:strRef>
              <c:f>Usluge!$V$5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3103585955630953E-2"/>
                  <c:y val="6.089789789789790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D51-4C65-ABCD-B61C3BE3E2D9}"/>
                </c:ext>
              </c:extLst>
            </c:dLbl>
            <c:dLbl>
              <c:idx val="12"/>
              <c:layout>
                <c:manualLayout>
                  <c:x val="6.6531358049337741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D51-4C65-ABCD-B61C3BE3E2D9}"/>
                </c:ext>
              </c:extLst>
            </c:dLbl>
            <c:dLbl>
              <c:idx val="24"/>
              <c:layout>
                <c:manualLayout>
                  <c:x val="6.1494369996977577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D51-4C65-ABCD-B61C3BE3E2D9}"/>
                </c:ext>
              </c:extLst>
            </c:dLbl>
            <c:dLbl>
              <c:idx val="36"/>
              <c:layout>
                <c:manualLayout>
                  <c:x val="6.9491234053408086E-4"/>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D51-4C65-ABCD-B61C3BE3E2D9}"/>
                </c:ext>
              </c:extLst>
            </c:dLbl>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Usluge!$A$138:$A$180</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Usluge!$V$138:$V$180</c:f>
              <c:numCache>
                <c:formatCode>General</c:formatCode>
                <c:ptCount val="43"/>
                <c:pt idx="0">
                  <c:v>0</c:v>
                </c:pt>
                <c:pt idx="12">
                  <c:v>0</c:v>
                </c:pt>
                <c:pt idx="24">
                  <c:v>0</c:v>
                </c:pt>
                <c:pt idx="36">
                  <c:v>0</c:v>
                </c:pt>
              </c:numCache>
            </c:numRef>
          </c:val>
          <c:smooth val="0"/>
          <c:extLst>
            <c:ext xmlns:c16="http://schemas.microsoft.com/office/drawing/2014/chart" uri="{C3380CC4-5D6E-409C-BE32-E72D297353CC}">
              <c16:uniqueId val="{00000007-6D51-4C65-ABCD-B61C3BE3E2D9}"/>
            </c:ext>
          </c:extLst>
        </c:ser>
        <c:ser>
          <c:idx val="4"/>
          <c:order val="4"/>
          <c:tx>
            <c:strRef>
              <c:f>Usluge!$W$5</c:f>
              <c:strCache>
                <c:ptCount val="1"/>
                <c:pt idx="0">
                  <c:v>Series5</c:v>
                </c:pt>
              </c:strCache>
            </c:strRef>
          </c:tx>
          <c:spPr>
            <a:ln w="28575" cap="rnd">
              <a:noFill/>
              <a:round/>
            </a:ln>
            <a:effectLst/>
          </c:spPr>
          <c:marker>
            <c:symbol val="none"/>
          </c:marker>
          <c:dLbls>
            <c:dLbl>
              <c:idx val="0"/>
              <c:tx>
                <c:rich>
                  <a:bodyPr/>
                  <a:lstStyle/>
                  <a:p>
                    <a:fld id="{CE9FACF9-4CEE-4175-AD46-51E57D3C4E5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6D51-4C65-ABCD-B61C3BE3E2D9}"/>
                </c:ext>
              </c:extLst>
            </c:dLbl>
            <c:dLbl>
              <c:idx val="1"/>
              <c:tx>
                <c:rich>
                  <a:bodyPr/>
                  <a:lstStyle/>
                  <a:p>
                    <a:fld id="{DD0FEFB8-99AD-43BF-B740-22D5AF3DB57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6D51-4C65-ABCD-B61C3BE3E2D9}"/>
                </c:ext>
              </c:extLst>
            </c:dLbl>
            <c:dLbl>
              <c:idx val="2"/>
              <c:tx>
                <c:rich>
                  <a:bodyPr/>
                  <a:lstStyle/>
                  <a:p>
                    <a:fld id="{9279ABC6-E7FE-4A41-AE74-9EB20D289B9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6D51-4C65-ABCD-B61C3BE3E2D9}"/>
                </c:ext>
              </c:extLst>
            </c:dLbl>
            <c:dLbl>
              <c:idx val="3"/>
              <c:tx>
                <c:rich>
                  <a:bodyPr/>
                  <a:lstStyle/>
                  <a:p>
                    <a:fld id="{43DAA454-26FF-4545-AB2F-C6F3466168D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6D51-4C65-ABCD-B61C3BE3E2D9}"/>
                </c:ext>
              </c:extLst>
            </c:dLbl>
            <c:dLbl>
              <c:idx val="4"/>
              <c:tx>
                <c:rich>
                  <a:bodyPr/>
                  <a:lstStyle/>
                  <a:p>
                    <a:fld id="{A02AB1A4-8BDA-4969-B7C6-D7CB5693AB3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6D51-4C65-ABCD-B61C3BE3E2D9}"/>
                </c:ext>
              </c:extLst>
            </c:dLbl>
            <c:dLbl>
              <c:idx val="5"/>
              <c:tx>
                <c:rich>
                  <a:bodyPr/>
                  <a:lstStyle/>
                  <a:p>
                    <a:fld id="{CF83C70E-8B6B-497E-9DA9-4CB954FEFF5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6D51-4C65-ABCD-B61C3BE3E2D9}"/>
                </c:ext>
              </c:extLst>
            </c:dLbl>
            <c:dLbl>
              <c:idx val="6"/>
              <c:tx>
                <c:rich>
                  <a:bodyPr/>
                  <a:lstStyle/>
                  <a:p>
                    <a:fld id="{251EC30D-27A8-42B1-B248-B55FCF6D5D5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6D51-4C65-ABCD-B61C3BE3E2D9}"/>
                </c:ext>
              </c:extLst>
            </c:dLbl>
            <c:dLbl>
              <c:idx val="7"/>
              <c:tx>
                <c:rich>
                  <a:bodyPr/>
                  <a:lstStyle/>
                  <a:p>
                    <a:fld id="{B6B19FD0-0666-491F-84FB-0DF7EFA21CF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6D51-4C65-ABCD-B61C3BE3E2D9}"/>
                </c:ext>
              </c:extLst>
            </c:dLbl>
            <c:dLbl>
              <c:idx val="8"/>
              <c:tx>
                <c:rich>
                  <a:bodyPr/>
                  <a:lstStyle/>
                  <a:p>
                    <a:fld id="{93A82D3D-D470-4F50-B1D7-2235FB898F4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6D51-4C65-ABCD-B61C3BE3E2D9}"/>
                </c:ext>
              </c:extLst>
            </c:dLbl>
            <c:dLbl>
              <c:idx val="9"/>
              <c:tx>
                <c:rich>
                  <a:bodyPr/>
                  <a:lstStyle/>
                  <a:p>
                    <a:fld id="{08CAFDAF-6AD4-478F-87F5-F0BBFF46A88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6D51-4C65-ABCD-B61C3BE3E2D9}"/>
                </c:ext>
              </c:extLst>
            </c:dLbl>
            <c:dLbl>
              <c:idx val="10"/>
              <c:tx>
                <c:rich>
                  <a:bodyPr/>
                  <a:lstStyle/>
                  <a:p>
                    <a:fld id="{314445CA-E1AE-4863-906C-0FA71BAC0DC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6D51-4C65-ABCD-B61C3BE3E2D9}"/>
                </c:ext>
              </c:extLst>
            </c:dLbl>
            <c:dLbl>
              <c:idx val="11"/>
              <c:tx>
                <c:rich>
                  <a:bodyPr/>
                  <a:lstStyle/>
                  <a:p>
                    <a:fld id="{C4C6F1F1-6BFD-463F-9113-F554BA459BF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6D51-4C65-ABCD-B61C3BE3E2D9}"/>
                </c:ext>
              </c:extLst>
            </c:dLbl>
            <c:dLbl>
              <c:idx val="12"/>
              <c:tx>
                <c:rich>
                  <a:bodyPr/>
                  <a:lstStyle/>
                  <a:p>
                    <a:fld id="{CD37BA56-1563-4DDA-8ACD-147196C8E79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6D51-4C65-ABCD-B61C3BE3E2D9}"/>
                </c:ext>
              </c:extLst>
            </c:dLbl>
            <c:dLbl>
              <c:idx val="13"/>
              <c:tx>
                <c:rich>
                  <a:bodyPr/>
                  <a:lstStyle/>
                  <a:p>
                    <a:fld id="{7284305E-170D-4BC0-ADB2-2FD43291B94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6D51-4C65-ABCD-B61C3BE3E2D9}"/>
                </c:ext>
              </c:extLst>
            </c:dLbl>
            <c:dLbl>
              <c:idx val="14"/>
              <c:tx>
                <c:rich>
                  <a:bodyPr/>
                  <a:lstStyle/>
                  <a:p>
                    <a:fld id="{E8CDFE6D-1F5D-40C1-91E6-A9ED35C67EF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6D51-4C65-ABCD-B61C3BE3E2D9}"/>
                </c:ext>
              </c:extLst>
            </c:dLbl>
            <c:dLbl>
              <c:idx val="15"/>
              <c:tx>
                <c:rich>
                  <a:bodyPr/>
                  <a:lstStyle/>
                  <a:p>
                    <a:fld id="{BE3A32DE-0A12-43D7-93B6-815B45DE4ED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6D51-4C65-ABCD-B61C3BE3E2D9}"/>
                </c:ext>
              </c:extLst>
            </c:dLbl>
            <c:dLbl>
              <c:idx val="16"/>
              <c:tx>
                <c:rich>
                  <a:bodyPr/>
                  <a:lstStyle/>
                  <a:p>
                    <a:fld id="{7A001170-6610-42DD-9B42-CD10AC019B8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6D51-4C65-ABCD-B61C3BE3E2D9}"/>
                </c:ext>
              </c:extLst>
            </c:dLbl>
            <c:dLbl>
              <c:idx val="17"/>
              <c:tx>
                <c:rich>
                  <a:bodyPr/>
                  <a:lstStyle/>
                  <a:p>
                    <a:fld id="{1F8FEFA0-9445-4819-B7D8-88C6C0EE6CC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6D51-4C65-ABCD-B61C3BE3E2D9}"/>
                </c:ext>
              </c:extLst>
            </c:dLbl>
            <c:dLbl>
              <c:idx val="18"/>
              <c:tx>
                <c:rich>
                  <a:bodyPr/>
                  <a:lstStyle/>
                  <a:p>
                    <a:fld id="{7521FC28-683E-425B-B6D3-BF9AFFB9DFB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6D51-4C65-ABCD-B61C3BE3E2D9}"/>
                </c:ext>
              </c:extLst>
            </c:dLbl>
            <c:dLbl>
              <c:idx val="19"/>
              <c:tx>
                <c:rich>
                  <a:bodyPr/>
                  <a:lstStyle/>
                  <a:p>
                    <a:fld id="{ED5FD743-E4D2-420B-BE2D-53765E68FAD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6D51-4C65-ABCD-B61C3BE3E2D9}"/>
                </c:ext>
              </c:extLst>
            </c:dLbl>
            <c:dLbl>
              <c:idx val="20"/>
              <c:tx>
                <c:rich>
                  <a:bodyPr/>
                  <a:lstStyle/>
                  <a:p>
                    <a:fld id="{893AAF1C-A818-4339-9608-A6970DDD8AC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6D51-4C65-ABCD-B61C3BE3E2D9}"/>
                </c:ext>
              </c:extLst>
            </c:dLbl>
            <c:dLbl>
              <c:idx val="21"/>
              <c:tx>
                <c:rich>
                  <a:bodyPr/>
                  <a:lstStyle/>
                  <a:p>
                    <a:fld id="{A1A93DAB-6553-453F-988E-A88DF41B6E1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6D51-4C65-ABCD-B61C3BE3E2D9}"/>
                </c:ext>
              </c:extLst>
            </c:dLbl>
            <c:dLbl>
              <c:idx val="22"/>
              <c:tx>
                <c:rich>
                  <a:bodyPr/>
                  <a:lstStyle/>
                  <a:p>
                    <a:fld id="{EB30EE17-5FD3-431C-AE80-0AFCAD434FF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6D51-4C65-ABCD-B61C3BE3E2D9}"/>
                </c:ext>
              </c:extLst>
            </c:dLbl>
            <c:dLbl>
              <c:idx val="23"/>
              <c:tx>
                <c:rich>
                  <a:bodyPr/>
                  <a:lstStyle/>
                  <a:p>
                    <a:fld id="{6F6678AD-2498-44E9-B69D-6E9424BDEE6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6D51-4C65-ABCD-B61C3BE3E2D9}"/>
                </c:ext>
              </c:extLst>
            </c:dLbl>
            <c:dLbl>
              <c:idx val="24"/>
              <c:tx>
                <c:rich>
                  <a:bodyPr/>
                  <a:lstStyle/>
                  <a:p>
                    <a:fld id="{0DEF509D-FDFC-43D8-B8F4-EA180642FC8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6D51-4C65-ABCD-B61C3BE3E2D9}"/>
                </c:ext>
              </c:extLst>
            </c:dLbl>
            <c:dLbl>
              <c:idx val="25"/>
              <c:tx>
                <c:rich>
                  <a:bodyPr/>
                  <a:lstStyle/>
                  <a:p>
                    <a:fld id="{D8CA0A20-B8CB-4ADE-9CFB-05AF4A67B87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6D51-4C65-ABCD-B61C3BE3E2D9}"/>
                </c:ext>
              </c:extLst>
            </c:dLbl>
            <c:dLbl>
              <c:idx val="26"/>
              <c:tx>
                <c:rich>
                  <a:bodyPr/>
                  <a:lstStyle/>
                  <a:p>
                    <a:fld id="{021833AA-D666-4C10-BC29-529FE9A16D7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6D51-4C65-ABCD-B61C3BE3E2D9}"/>
                </c:ext>
              </c:extLst>
            </c:dLbl>
            <c:dLbl>
              <c:idx val="27"/>
              <c:tx>
                <c:rich>
                  <a:bodyPr/>
                  <a:lstStyle/>
                  <a:p>
                    <a:fld id="{AEFFBEC1-EE6D-4AC4-BE29-B88A715E329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6D51-4C65-ABCD-B61C3BE3E2D9}"/>
                </c:ext>
              </c:extLst>
            </c:dLbl>
            <c:dLbl>
              <c:idx val="28"/>
              <c:tx>
                <c:rich>
                  <a:bodyPr/>
                  <a:lstStyle/>
                  <a:p>
                    <a:fld id="{F940EA07-0BA1-4E02-8222-85BC08136E4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6D51-4C65-ABCD-B61C3BE3E2D9}"/>
                </c:ext>
              </c:extLst>
            </c:dLbl>
            <c:dLbl>
              <c:idx val="29"/>
              <c:tx>
                <c:rich>
                  <a:bodyPr/>
                  <a:lstStyle/>
                  <a:p>
                    <a:fld id="{9EA64655-10F3-4B91-9878-C676907D5F88}"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6D51-4C65-ABCD-B61C3BE3E2D9}"/>
                </c:ext>
              </c:extLst>
            </c:dLbl>
            <c:dLbl>
              <c:idx val="30"/>
              <c:tx>
                <c:rich>
                  <a:bodyPr/>
                  <a:lstStyle/>
                  <a:p>
                    <a:fld id="{2D5A6366-9D00-4C88-A40E-7FA0F052577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6D51-4C65-ABCD-B61C3BE3E2D9}"/>
                </c:ext>
              </c:extLst>
            </c:dLbl>
            <c:dLbl>
              <c:idx val="31"/>
              <c:tx>
                <c:rich>
                  <a:bodyPr/>
                  <a:lstStyle/>
                  <a:p>
                    <a:fld id="{B66B8BB9-75FE-4046-A320-ABCEBD7AF7D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6D51-4C65-ABCD-B61C3BE3E2D9}"/>
                </c:ext>
              </c:extLst>
            </c:dLbl>
            <c:dLbl>
              <c:idx val="32"/>
              <c:tx>
                <c:rich>
                  <a:bodyPr/>
                  <a:lstStyle/>
                  <a:p>
                    <a:fld id="{67619DE9-28C7-4169-81AA-9643FA55099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6D51-4C65-ABCD-B61C3BE3E2D9}"/>
                </c:ext>
              </c:extLst>
            </c:dLbl>
            <c:dLbl>
              <c:idx val="33"/>
              <c:tx>
                <c:rich>
                  <a:bodyPr/>
                  <a:lstStyle/>
                  <a:p>
                    <a:fld id="{B50F2900-D73B-4218-969C-8B235F3834C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6D51-4C65-ABCD-B61C3BE3E2D9}"/>
                </c:ext>
              </c:extLst>
            </c:dLbl>
            <c:dLbl>
              <c:idx val="34"/>
              <c:tx>
                <c:rich>
                  <a:bodyPr/>
                  <a:lstStyle/>
                  <a:p>
                    <a:fld id="{6467D791-433C-4B8E-9630-772B4CDCFB0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6D51-4C65-ABCD-B61C3BE3E2D9}"/>
                </c:ext>
              </c:extLst>
            </c:dLbl>
            <c:dLbl>
              <c:idx val="35"/>
              <c:tx>
                <c:rich>
                  <a:bodyPr/>
                  <a:lstStyle/>
                  <a:p>
                    <a:fld id="{8297D0CA-0FA0-4436-991B-F6D8E184014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6D51-4C65-ABCD-B61C3BE3E2D9}"/>
                </c:ext>
              </c:extLst>
            </c:dLbl>
            <c:dLbl>
              <c:idx val="36"/>
              <c:tx>
                <c:rich>
                  <a:bodyPr/>
                  <a:lstStyle/>
                  <a:p>
                    <a:fld id="{5AF0A2DA-182E-4C3F-A533-9FDFC483E31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6D51-4C65-ABCD-B61C3BE3E2D9}"/>
                </c:ext>
              </c:extLst>
            </c:dLbl>
            <c:dLbl>
              <c:idx val="37"/>
              <c:tx>
                <c:rich>
                  <a:bodyPr/>
                  <a:lstStyle/>
                  <a:p>
                    <a:fld id="{CD241A4C-4017-4457-B3F5-BBC6ECB8A3E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6D51-4C65-ABCD-B61C3BE3E2D9}"/>
                </c:ext>
              </c:extLst>
            </c:dLbl>
            <c:dLbl>
              <c:idx val="38"/>
              <c:tx>
                <c:rich>
                  <a:bodyPr/>
                  <a:lstStyle/>
                  <a:p>
                    <a:fld id="{B57AA9F7-BE73-4BA7-B674-0E0F8D39D26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6D51-4C65-ABCD-B61C3BE3E2D9}"/>
                </c:ext>
              </c:extLst>
            </c:dLbl>
            <c:dLbl>
              <c:idx val="39"/>
              <c:tx>
                <c:rich>
                  <a:bodyPr/>
                  <a:lstStyle/>
                  <a:p>
                    <a:fld id="{9526B1F3-708F-4447-AA99-C30D2CF74EB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6D51-4C65-ABCD-B61C3BE3E2D9}"/>
                </c:ext>
              </c:extLst>
            </c:dLbl>
            <c:dLbl>
              <c:idx val="40"/>
              <c:tx>
                <c:rich>
                  <a:bodyPr/>
                  <a:lstStyle/>
                  <a:p>
                    <a:fld id="{B34574A2-693C-4C62-BFC9-10BCBED5FF99}"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6D51-4C65-ABCD-B61C3BE3E2D9}"/>
                </c:ext>
              </c:extLst>
            </c:dLbl>
            <c:dLbl>
              <c:idx val="41"/>
              <c:tx>
                <c:rich>
                  <a:bodyPr/>
                  <a:lstStyle/>
                  <a:p>
                    <a:fld id="{48DF9959-87A6-4382-AB36-81AAC675CEA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6D51-4C65-ABCD-B61C3BE3E2D9}"/>
                </c:ext>
              </c:extLst>
            </c:dLbl>
            <c:dLbl>
              <c:idx val="42"/>
              <c:tx>
                <c:rich>
                  <a:bodyPr/>
                  <a:lstStyle/>
                  <a:p>
                    <a:fld id="{AB5E3EB8-6F41-4963-BC3C-0D94BF1438E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6D51-4C65-ABCD-B61C3BE3E2D9}"/>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Usluge!$A$138:$A$180</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Usluge!$W$138:$W$180</c:f>
              <c:numCache>
                <c:formatCode>General</c:formatCode>
                <c:ptCount val="4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numCache>
            </c:numRef>
          </c:val>
          <c:smooth val="0"/>
          <c:extLst>
            <c:ext xmlns:c15="http://schemas.microsoft.com/office/drawing/2012/chart" uri="{02D57815-91ED-43cb-92C2-25804820EDAC}">
              <c15:datalabelsRange>
                <c15:f>Usluge!$J$138:$J$180</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3-6D51-4C65-ABCD-B61C3BE3E2D9}"/>
            </c:ext>
          </c:extLst>
        </c:ser>
        <c:dLbls>
          <c:showLegendKey val="0"/>
          <c:showVal val="0"/>
          <c:showCatName val="0"/>
          <c:showSerName val="0"/>
          <c:showPercent val="0"/>
          <c:showBubbleSize val="0"/>
        </c:dLbls>
        <c:smooth val="0"/>
        <c:axId val="1828917968"/>
        <c:axId val="1828917424"/>
      </c:lineChart>
      <c:dateAx>
        <c:axId val="1828917968"/>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17424"/>
        <c:crosses val="autoZero"/>
        <c:auto val="1"/>
        <c:lblOffset val="0"/>
        <c:baseTimeUnit val="months"/>
        <c:majorUnit val="12"/>
        <c:majorTimeUnit val="months"/>
      </c:dateAx>
      <c:valAx>
        <c:axId val="1828917424"/>
        <c:scaling>
          <c:orientation val="minMax"/>
          <c:max val="170"/>
          <c:min val="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17968"/>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4.2497000239980799E-2"/>
          <c:w val="0.88461960155100949"/>
          <c:h val="0.84012087087087106"/>
        </c:manualLayout>
      </c:layout>
      <c:lineChart>
        <c:grouping val="standard"/>
        <c:varyColors val="0"/>
        <c:ser>
          <c:idx val="0"/>
          <c:order val="0"/>
          <c:tx>
            <c:strRef>
              <c:f>Usluge!$E$5</c:f>
              <c:strCache>
                <c:ptCount val="1"/>
                <c:pt idx="0">
                  <c:v>y</c:v>
                </c:pt>
              </c:strCache>
            </c:strRef>
          </c:tx>
          <c:spPr>
            <a:ln w="12700" cap="rnd">
              <a:solidFill>
                <a:srgbClr val="7F3F98"/>
              </a:solidFill>
              <a:prstDash val="sysDash"/>
              <a:round/>
            </a:ln>
            <a:effectLst/>
          </c:spPr>
          <c:marker>
            <c:symbol val="none"/>
          </c:marker>
          <c:cat>
            <c:numRef>
              <c:f>Usluge!$A$138:$A$180</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Usluge!$E$138:$E$180</c:f>
              <c:numCache>
                <c:formatCode>0.0</c:formatCode>
                <c:ptCount val="43"/>
                <c:pt idx="0">
                  <c:v>76.753870796000001</c:v>
                </c:pt>
                <c:pt idx="1">
                  <c:v>76.049119059999995</c:v>
                </c:pt>
                <c:pt idx="2">
                  <c:v>81.943406300000007</c:v>
                </c:pt>
                <c:pt idx="3">
                  <c:v>66.182594768000001</c:v>
                </c:pt>
                <c:pt idx="4">
                  <c:v>84.442071542999997</c:v>
                </c:pt>
                <c:pt idx="5">
                  <c:v>92.066203951000006</c:v>
                </c:pt>
                <c:pt idx="6">
                  <c:v>89.759743727</c:v>
                </c:pt>
                <c:pt idx="7">
                  <c:v>91.681793913999996</c:v>
                </c:pt>
                <c:pt idx="8">
                  <c:v>90.080085424000004</c:v>
                </c:pt>
                <c:pt idx="9">
                  <c:v>94.949279231000006</c:v>
                </c:pt>
                <c:pt idx="10">
                  <c:v>88.414308595999998</c:v>
                </c:pt>
                <c:pt idx="11">
                  <c:v>96.294714361999993</c:v>
                </c:pt>
                <c:pt idx="12">
                  <c:v>80.085424453000002</c:v>
                </c:pt>
                <c:pt idx="13">
                  <c:v>78.868126000999993</c:v>
                </c:pt>
                <c:pt idx="14">
                  <c:v>87.261078483999995</c:v>
                </c:pt>
                <c:pt idx="15">
                  <c:v>94.757074212000006</c:v>
                </c:pt>
                <c:pt idx="16">
                  <c:v>95.141484250000005</c:v>
                </c:pt>
                <c:pt idx="17">
                  <c:v>97.896422850999997</c:v>
                </c:pt>
                <c:pt idx="18">
                  <c:v>100.331019754</c:v>
                </c:pt>
                <c:pt idx="19">
                  <c:v>99.369994661000007</c:v>
                </c:pt>
                <c:pt idx="20">
                  <c:v>94.757074212000006</c:v>
                </c:pt>
                <c:pt idx="21">
                  <c:v>99.562199680000006</c:v>
                </c:pt>
                <c:pt idx="22">
                  <c:v>97.896422850999997</c:v>
                </c:pt>
                <c:pt idx="23">
                  <c:v>107.442605446</c:v>
                </c:pt>
                <c:pt idx="24">
                  <c:v>84.121729845000004</c:v>
                </c:pt>
                <c:pt idx="25">
                  <c:v>85.595301655</c:v>
                </c:pt>
                <c:pt idx="26">
                  <c:v>103.59850507199999</c:v>
                </c:pt>
                <c:pt idx="27">
                  <c:v>101.548318206</c:v>
                </c:pt>
                <c:pt idx="28">
                  <c:v>101.676454885</c:v>
                </c:pt>
                <c:pt idx="29">
                  <c:v>102.63747997900001</c:v>
                </c:pt>
                <c:pt idx="30">
                  <c:v>105.200213561</c:v>
                </c:pt>
                <c:pt idx="31">
                  <c:v>103.662573412</c:v>
                </c:pt>
                <c:pt idx="32">
                  <c:v>100.395088094</c:v>
                </c:pt>
                <c:pt idx="33">
                  <c:v>104.431393486</c:v>
                </c:pt>
                <c:pt idx="34">
                  <c:v>99.49813134</c:v>
                </c:pt>
                <c:pt idx="35">
                  <c:v>107.634810464</c:v>
                </c:pt>
                <c:pt idx="36">
                  <c:v>86.300053390000002</c:v>
                </c:pt>
                <c:pt idx="37">
                  <c:v>82.776294714000002</c:v>
                </c:pt>
                <c:pt idx="38">
                  <c:v>94.757074212000006</c:v>
                </c:pt>
                <c:pt idx="39">
                  <c:v>96.166577683</c:v>
                </c:pt>
                <c:pt idx="40">
                  <c:v>95.718099305999999</c:v>
                </c:pt>
                <c:pt idx="41">
                  <c:v>96.871329418000002</c:v>
                </c:pt>
                <c:pt idx="42">
                  <c:v>101.932728243</c:v>
                </c:pt>
              </c:numCache>
            </c:numRef>
          </c:val>
          <c:smooth val="0"/>
          <c:extLst>
            <c:ext xmlns:c16="http://schemas.microsoft.com/office/drawing/2014/chart" uri="{C3380CC4-5D6E-409C-BE32-E72D297353CC}">
              <c16:uniqueId val="{00000000-9B13-4B64-A098-30AB226DAB53}"/>
            </c:ext>
          </c:extLst>
        </c:ser>
        <c:ser>
          <c:idx val="1"/>
          <c:order val="1"/>
          <c:tx>
            <c:strRef>
              <c:f>Usluge!$F$5</c:f>
              <c:strCache>
                <c:ptCount val="1"/>
                <c:pt idx="0">
                  <c:v>sa</c:v>
                </c:pt>
              </c:strCache>
            </c:strRef>
          </c:tx>
          <c:spPr>
            <a:ln w="22225" cap="rnd">
              <a:solidFill>
                <a:srgbClr val="25AAE1"/>
              </a:solidFill>
              <a:round/>
            </a:ln>
            <a:effectLst/>
          </c:spPr>
          <c:marker>
            <c:symbol val="none"/>
          </c:marker>
          <c:cat>
            <c:numRef>
              <c:f>Usluge!$A$138:$A$180</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Usluge!$F$138:$F$180</c:f>
              <c:numCache>
                <c:formatCode>0.0</c:formatCode>
                <c:ptCount val="43"/>
                <c:pt idx="0">
                  <c:v>86.888347808999995</c:v>
                </c:pt>
                <c:pt idx="1">
                  <c:v>86.882086676</c:v>
                </c:pt>
                <c:pt idx="2">
                  <c:v>85.165144651000006</c:v>
                </c:pt>
                <c:pt idx="3">
                  <c:v>65.691723224</c:v>
                </c:pt>
                <c:pt idx="4">
                  <c:v>84.590160740000002</c:v>
                </c:pt>
                <c:pt idx="5">
                  <c:v>90.075575068000006</c:v>
                </c:pt>
                <c:pt idx="6">
                  <c:v>86.051787343000001</c:v>
                </c:pt>
                <c:pt idx="7">
                  <c:v>87.554751554999996</c:v>
                </c:pt>
                <c:pt idx="8">
                  <c:v>89.461521599999998</c:v>
                </c:pt>
                <c:pt idx="9">
                  <c:v>89.459122816999994</c:v>
                </c:pt>
                <c:pt idx="10">
                  <c:v>88.831343047999994</c:v>
                </c:pt>
                <c:pt idx="11">
                  <c:v>87.266258394000005</c:v>
                </c:pt>
                <c:pt idx="12">
                  <c:v>91.013273194000007</c:v>
                </c:pt>
                <c:pt idx="13">
                  <c:v>92.107772123999993</c:v>
                </c:pt>
                <c:pt idx="14">
                  <c:v>89.537340616999998</c:v>
                </c:pt>
                <c:pt idx="15">
                  <c:v>93.962408691999997</c:v>
                </c:pt>
                <c:pt idx="16">
                  <c:v>95.899288112999997</c:v>
                </c:pt>
                <c:pt idx="17">
                  <c:v>96.000641114000004</c:v>
                </c:pt>
                <c:pt idx="18">
                  <c:v>95.209304333999995</c:v>
                </c:pt>
                <c:pt idx="19">
                  <c:v>95.702779726000003</c:v>
                </c:pt>
                <c:pt idx="20">
                  <c:v>94.042708278999996</c:v>
                </c:pt>
                <c:pt idx="21">
                  <c:v>95.054699274000001</c:v>
                </c:pt>
                <c:pt idx="22">
                  <c:v>97.162953565999999</c:v>
                </c:pt>
                <c:pt idx="23">
                  <c:v>97.779223258000002</c:v>
                </c:pt>
                <c:pt idx="24">
                  <c:v>95.986245885000002</c:v>
                </c:pt>
                <c:pt idx="25">
                  <c:v>99.880055812999998</c:v>
                </c:pt>
                <c:pt idx="26">
                  <c:v>105.90599840199999</c:v>
                </c:pt>
                <c:pt idx="27">
                  <c:v>100.23355386999999</c:v>
                </c:pt>
                <c:pt idx="28">
                  <c:v>101.15205057999999</c:v>
                </c:pt>
                <c:pt idx="29">
                  <c:v>100.68259635699999</c:v>
                </c:pt>
                <c:pt idx="30">
                  <c:v>100.800156602</c:v>
                </c:pt>
                <c:pt idx="31">
                  <c:v>98.924639710999998</c:v>
                </c:pt>
                <c:pt idx="32">
                  <c:v>99.668759664999996</c:v>
                </c:pt>
                <c:pt idx="33">
                  <c:v>99.676798726000001</c:v>
                </c:pt>
                <c:pt idx="34">
                  <c:v>98.912846493999993</c:v>
                </c:pt>
                <c:pt idx="35">
                  <c:v>97.365514176999994</c:v>
                </c:pt>
                <c:pt idx="36">
                  <c:v>97.848756881</c:v>
                </c:pt>
                <c:pt idx="37">
                  <c:v>96.615007015000003</c:v>
                </c:pt>
                <c:pt idx="38">
                  <c:v>96.759868471999994</c:v>
                </c:pt>
                <c:pt idx="39">
                  <c:v>96.021634898000002</c:v>
                </c:pt>
                <c:pt idx="40">
                  <c:v>95.290589971000003</c:v>
                </c:pt>
                <c:pt idx="41">
                  <c:v>95.016048832999999</c:v>
                </c:pt>
                <c:pt idx="42">
                  <c:v>97.393821275999997</c:v>
                </c:pt>
              </c:numCache>
            </c:numRef>
          </c:val>
          <c:smooth val="0"/>
          <c:extLst>
            <c:ext xmlns:c16="http://schemas.microsoft.com/office/drawing/2014/chart" uri="{C3380CC4-5D6E-409C-BE32-E72D297353CC}">
              <c16:uniqueId val="{00000001-9B13-4B64-A098-30AB226DAB53}"/>
            </c:ext>
          </c:extLst>
        </c:ser>
        <c:ser>
          <c:idx val="2"/>
          <c:order val="2"/>
          <c:tx>
            <c:strRef>
              <c:f>Usluge!$G$5</c:f>
              <c:strCache>
                <c:ptCount val="1"/>
                <c:pt idx="0">
                  <c:v>t</c:v>
                </c:pt>
              </c:strCache>
            </c:strRef>
          </c:tx>
          <c:spPr>
            <a:ln w="25400" cap="rnd">
              <a:solidFill>
                <a:srgbClr val="FF0000"/>
              </a:solidFill>
              <a:round/>
            </a:ln>
            <a:effectLst/>
          </c:spPr>
          <c:marker>
            <c:symbol val="none"/>
          </c:marker>
          <c:cat>
            <c:numRef>
              <c:f>Usluge!$A$138:$A$180</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Usluge!$G$138:$G$180</c:f>
              <c:numCache>
                <c:formatCode>0.0</c:formatCode>
                <c:ptCount val="43"/>
                <c:pt idx="0">
                  <c:v>86.526511399</c:v>
                </c:pt>
                <c:pt idx="1">
                  <c:v>86.379926862999994</c:v>
                </c:pt>
                <c:pt idx="2">
                  <c:v>85.996074577000002</c:v>
                </c:pt>
                <c:pt idx="3">
                  <c:v>85.656029595000007</c:v>
                </c:pt>
                <c:pt idx="4">
                  <c:v>85.633701058</c:v>
                </c:pt>
                <c:pt idx="5">
                  <c:v>86.032446965000005</c:v>
                </c:pt>
                <c:pt idx="6">
                  <c:v>86.738464407999999</c:v>
                </c:pt>
                <c:pt idx="7">
                  <c:v>87.546013211000002</c:v>
                </c:pt>
                <c:pt idx="8">
                  <c:v>88.307791459000001</c:v>
                </c:pt>
                <c:pt idx="9">
                  <c:v>88.959890440999999</c:v>
                </c:pt>
                <c:pt idx="10">
                  <c:v>89.535627703000003</c:v>
                </c:pt>
                <c:pt idx="11">
                  <c:v>90.137116904999999</c:v>
                </c:pt>
                <c:pt idx="12">
                  <c:v>90.935828994000005</c:v>
                </c:pt>
                <c:pt idx="13">
                  <c:v>91.949769688999993</c:v>
                </c:pt>
                <c:pt idx="14">
                  <c:v>93.126068763999996</c:v>
                </c:pt>
                <c:pt idx="15">
                  <c:v>94.229992897000002</c:v>
                </c:pt>
                <c:pt idx="16">
                  <c:v>94.991919307000003</c:v>
                </c:pt>
                <c:pt idx="17">
                  <c:v>95.346522780000001</c:v>
                </c:pt>
                <c:pt idx="18">
                  <c:v>95.405463585000007</c:v>
                </c:pt>
                <c:pt idx="19">
                  <c:v>95.364546770000004</c:v>
                </c:pt>
                <c:pt idx="20">
                  <c:v>95.455217919999996</c:v>
                </c:pt>
                <c:pt idx="21">
                  <c:v>95.878483482999997</c:v>
                </c:pt>
                <c:pt idx="22">
                  <c:v>96.668620360999995</c:v>
                </c:pt>
                <c:pt idx="23">
                  <c:v>97.697532701</c:v>
                </c:pt>
                <c:pt idx="24">
                  <c:v>98.738040131999995</c:v>
                </c:pt>
                <c:pt idx="25">
                  <c:v>99.649714603000007</c:v>
                </c:pt>
                <c:pt idx="26">
                  <c:v>100.306507556</c:v>
                </c:pt>
                <c:pt idx="27">
                  <c:v>100.641951599</c:v>
                </c:pt>
                <c:pt idx="28">
                  <c:v>100.719561181</c:v>
                </c:pt>
                <c:pt idx="29">
                  <c:v>100.619089174</c:v>
                </c:pt>
                <c:pt idx="30">
                  <c:v>100.36325949</c:v>
                </c:pt>
                <c:pt idx="31">
                  <c:v>100.015946838</c:v>
                </c:pt>
                <c:pt idx="32">
                  <c:v>99.593199263000002</c:v>
                </c:pt>
                <c:pt idx="33">
                  <c:v>99.113887585000001</c:v>
                </c:pt>
                <c:pt idx="34">
                  <c:v>98.607820312000001</c:v>
                </c:pt>
                <c:pt idx="35">
                  <c:v>98.085300451999998</c:v>
                </c:pt>
                <c:pt idx="36">
                  <c:v>97.477793851000001</c:v>
                </c:pt>
                <c:pt idx="37">
                  <c:v>96.824854325999993</c:v>
                </c:pt>
                <c:pt idx="38">
                  <c:v>96.253751984999994</c:v>
                </c:pt>
                <c:pt idx="39">
                  <c:v>95.923830796000004</c:v>
                </c:pt>
                <c:pt idx="40">
                  <c:v>95.890147071000001</c:v>
                </c:pt>
                <c:pt idx="41">
                  <c:v>96.146570163000007</c:v>
                </c:pt>
                <c:pt idx="42">
                  <c:v>96.654427675999997</c:v>
                </c:pt>
              </c:numCache>
            </c:numRef>
          </c:val>
          <c:smooth val="0"/>
          <c:extLst>
            <c:ext xmlns:c16="http://schemas.microsoft.com/office/drawing/2014/chart" uri="{C3380CC4-5D6E-409C-BE32-E72D297353CC}">
              <c16:uniqueId val="{00000002-9B13-4B64-A098-30AB226DAB53}"/>
            </c:ext>
          </c:extLst>
        </c:ser>
        <c:ser>
          <c:idx val="3"/>
          <c:order val="3"/>
          <c:tx>
            <c:strRef>
              <c:f>Usluge!$H$5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319333785974586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B13-4B64-A098-30AB226DAB53}"/>
                </c:ext>
              </c:extLst>
            </c:dLbl>
            <c:dLbl>
              <c:idx val="12"/>
              <c:layout>
                <c:manualLayout>
                  <c:x val="6.2329739916030351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B13-4B64-A098-30AB226DAB53}"/>
                </c:ext>
              </c:extLst>
            </c:dLbl>
            <c:dLbl>
              <c:idx val="24"/>
              <c:layout>
                <c:manualLayout>
                  <c:x val="6.1495240338649559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B13-4B64-A098-30AB226DAB53}"/>
                </c:ext>
              </c:extLst>
            </c:dLbl>
            <c:dLbl>
              <c:idx val="36"/>
              <c:layout>
                <c:manualLayout>
                  <c:x val="-5.8854910002909839E-3"/>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B13-4B64-A098-30AB226DAB53}"/>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Usluge!$A$138:$A$180</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Usluge!$H$138:$H$180</c:f>
              <c:numCache>
                <c:formatCode>General</c:formatCode>
                <c:ptCount val="43"/>
                <c:pt idx="0">
                  <c:v>60</c:v>
                </c:pt>
                <c:pt idx="12">
                  <c:v>60</c:v>
                </c:pt>
                <c:pt idx="24">
                  <c:v>60</c:v>
                </c:pt>
                <c:pt idx="36">
                  <c:v>60</c:v>
                </c:pt>
              </c:numCache>
            </c:numRef>
          </c:val>
          <c:smooth val="0"/>
          <c:extLst>
            <c:ext xmlns:c16="http://schemas.microsoft.com/office/drawing/2014/chart" uri="{C3380CC4-5D6E-409C-BE32-E72D297353CC}">
              <c16:uniqueId val="{00000007-9B13-4B64-A098-30AB226DAB53}"/>
            </c:ext>
          </c:extLst>
        </c:ser>
        <c:ser>
          <c:idx val="4"/>
          <c:order val="4"/>
          <c:tx>
            <c:strRef>
              <c:f>Usluge!$I$5</c:f>
              <c:strCache>
                <c:ptCount val="1"/>
                <c:pt idx="0">
                  <c:v>Series5</c:v>
                </c:pt>
              </c:strCache>
            </c:strRef>
          </c:tx>
          <c:spPr>
            <a:ln w="28575" cap="rnd">
              <a:noFill/>
              <a:round/>
            </a:ln>
            <a:effectLst/>
          </c:spPr>
          <c:marker>
            <c:symbol val="none"/>
          </c:marker>
          <c:dLbls>
            <c:dLbl>
              <c:idx val="0"/>
              <c:tx>
                <c:rich>
                  <a:bodyPr/>
                  <a:lstStyle/>
                  <a:p>
                    <a:fld id="{A5245734-D93D-4D99-83A8-F668B370304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8-9B13-4B64-A098-30AB226DAB53}"/>
                </c:ext>
              </c:extLst>
            </c:dLbl>
            <c:dLbl>
              <c:idx val="1"/>
              <c:tx>
                <c:rich>
                  <a:bodyPr/>
                  <a:lstStyle/>
                  <a:p>
                    <a:fld id="{4E23D8F8-0576-4DE7-9D16-866DE897C891}"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9B13-4B64-A098-30AB226DAB53}"/>
                </c:ext>
              </c:extLst>
            </c:dLbl>
            <c:dLbl>
              <c:idx val="2"/>
              <c:tx>
                <c:rich>
                  <a:bodyPr/>
                  <a:lstStyle/>
                  <a:p>
                    <a:fld id="{996CEEA7-BA3C-48CA-B4E6-987B7E4AB83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9B13-4B64-A098-30AB226DAB53}"/>
                </c:ext>
              </c:extLst>
            </c:dLbl>
            <c:dLbl>
              <c:idx val="3"/>
              <c:tx>
                <c:rich>
                  <a:bodyPr/>
                  <a:lstStyle/>
                  <a:p>
                    <a:fld id="{28BBF181-3525-404F-92A0-E8ABFDC62E8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9B13-4B64-A098-30AB226DAB53}"/>
                </c:ext>
              </c:extLst>
            </c:dLbl>
            <c:dLbl>
              <c:idx val="4"/>
              <c:tx>
                <c:rich>
                  <a:bodyPr/>
                  <a:lstStyle/>
                  <a:p>
                    <a:fld id="{21850EE8-E113-4704-B3DF-19B8914C5EE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9B13-4B64-A098-30AB226DAB53}"/>
                </c:ext>
              </c:extLst>
            </c:dLbl>
            <c:dLbl>
              <c:idx val="5"/>
              <c:tx>
                <c:rich>
                  <a:bodyPr/>
                  <a:lstStyle/>
                  <a:p>
                    <a:fld id="{31592900-2DEE-4CC4-AF58-B308A8F3D0D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9B13-4B64-A098-30AB226DAB53}"/>
                </c:ext>
              </c:extLst>
            </c:dLbl>
            <c:dLbl>
              <c:idx val="6"/>
              <c:tx>
                <c:rich>
                  <a:bodyPr/>
                  <a:lstStyle/>
                  <a:p>
                    <a:fld id="{30F5295A-098F-49D6-B0BC-7DB8D19CA15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9B13-4B64-A098-30AB226DAB53}"/>
                </c:ext>
              </c:extLst>
            </c:dLbl>
            <c:dLbl>
              <c:idx val="7"/>
              <c:tx>
                <c:rich>
                  <a:bodyPr/>
                  <a:lstStyle/>
                  <a:p>
                    <a:fld id="{4DB7C8F5-6B48-4746-A716-FD0CD877CB9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9B13-4B64-A098-30AB226DAB53}"/>
                </c:ext>
              </c:extLst>
            </c:dLbl>
            <c:dLbl>
              <c:idx val="8"/>
              <c:tx>
                <c:rich>
                  <a:bodyPr/>
                  <a:lstStyle/>
                  <a:p>
                    <a:fld id="{120AB42C-BA91-48E8-9576-ED8A722DF67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9B13-4B64-A098-30AB226DAB53}"/>
                </c:ext>
              </c:extLst>
            </c:dLbl>
            <c:dLbl>
              <c:idx val="9"/>
              <c:tx>
                <c:rich>
                  <a:bodyPr/>
                  <a:lstStyle/>
                  <a:p>
                    <a:fld id="{A05B9FC8-3506-4366-99A2-E8CE1210CEF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9B13-4B64-A098-30AB226DAB53}"/>
                </c:ext>
              </c:extLst>
            </c:dLbl>
            <c:dLbl>
              <c:idx val="10"/>
              <c:tx>
                <c:rich>
                  <a:bodyPr/>
                  <a:lstStyle/>
                  <a:p>
                    <a:fld id="{FCCF4B59-75E6-4812-9943-BE0F7A43210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9B13-4B64-A098-30AB226DAB53}"/>
                </c:ext>
              </c:extLst>
            </c:dLbl>
            <c:dLbl>
              <c:idx val="11"/>
              <c:tx>
                <c:rich>
                  <a:bodyPr/>
                  <a:lstStyle/>
                  <a:p>
                    <a:fld id="{3FC15F49-3C9F-4691-8834-76041A4A688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9B13-4B64-A098-30AB226DAB53}"/>
                </c:ext>
              </c:extLst>
            </c:dLbl>
            <c:dLbl>
              <c:idx val="12"/>
              <c:tx>
                <c:rich>
                  <a:bodyPr/>
                  <a:lstStyle/>
                  <a:p>
                    <a:fld id="{AAA03797-C6CF-4545-B149-29F384C6D24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9B13-4B64-A098-30AB226DAB53}"/>
                </c:ext>
              </c:extLst>
            </c:dLbl>
            <c:dLbl>
              <c:idx val="13"/>
              <c:tx>
                <c:rich>
                  <a:bodyPr/>
                  <a:lstStyle/>
                  <a:p>
                    <a:fld id="{6054A377-BAD3-44FA-8B4D-DF42CB582143}"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9B13-4B64-A098-30AB226DAB53}"/>
                </c:ext>
              </c:extLst>
            </c:dLbl>
            <c:dLbl>
              <c:idx val="14"/>
              <c:tx>
                <c:rich>
                  <a:bodyPr/>
                  <a:lstStyle/>
                  <a:p>
                    <a:fld id="{084A2F2E-2909-405F-8F7B-4CBE6A4B04E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9B13-4B64-A098-30AB226DAB53}"/>
                </c:ext>
              </c:extLst>
            </c:dLbl>
            <c:dLbl>
              <c:idx val="15"/>
              <c:tx>
                <c:rich>
                  <a:bodyPr/>
                  <a:lstStyle/>
                  <a:p>
                    <a:fld id="{62978D9B-26E9-4F55-A1BE-A7327B1500C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9B13-4B64-A098-30AB226DAB53}"/>
                </c:ext>
              </c:extLst>
            </c:dLbl>
            <c:dLbl>
              <c:idx val="16"/>
              <c:tx>
                <c:rich>
                  <a:bodyPr/>
                  <a:lstStyle/>
                  <a:p>
                    <a:fld id="{B5C3B252-26EE-4405-B4CF-4DFD8692822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9B13-4B64-A098-30AB226DAB53}"/>
                </c:ext>
              </c:extLst>
            </c:dLbl>
            <c:dLbl>
              <c:idx val="17"/>
              <c:tx>
                <c:rich>
                  <a:bodyPr/>
                  <a:lstStyle/>
                  <a:p>
                    <a:fld id="{D5211705-D2C0-434A-AAE5-977A5524EA3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9B13-4B64-A098-30AB226DAB53}"/>
                </c:ext>
              </c:extLst>
            </c:dLbl>
            <c:dLbl>
              <c:idx val="18"/>
              <c:tx>
                <c:rich>
                  <a:bodyPr/>
                  <a:lstStyle/>
                  <a:p>
                    <a:fld id="{2D89D8A1-9A7C-4E41-9911-B5EE9051590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9B13-4B64-A098-30AB226DAB53}"/>
                </c:ext>
              </c:extLst>
            </c:dLbl>
            <c:dLbl>
              <c:idx val="19"/>
              <c:tx>
                <c:rich>
                  <a:bodyPr/>
                  <a:lstStyle/>
                  <a:p>
                    <a:fld id="{85A88741-B8C2-4DFC-8E4E-945802B054E4}"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9B13-4B64-A098-30AB226DAB53}"/>
                </c:ext>
              </c:extLst>
            </c:dLbl>
            <c:dLbl>
              <c:idx val="20"/>
              <c:tx>
                <c:rich>
                  <a:bodyPr/>
                  <a:lstStyle/>
                  <a:p>
                    <a:fld id="{20F3173C-E4E1-45BB-8C50-1910D3EFEEB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9B13-4B64-A098-30AB226DAB53}"/>
                </c:ext>
              </c:extLst>
            </c:dLbl>
            <c:dLbl>
              <c:idx val="21"/>
              <c:tx>
                <c:rich>
                  <a:bodyPr/>
                  <a:lstStyle/>
                  <a:p>
                    <a:fld id="{EF10A1B7-F752-49DA-8A5F-F8562EDD1AE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9B13-4B64-A098-30AB226DAB53}"/>
                </c:ext>
              </c:extLst>
            </c:dLbl>
            <c:dLbl>
              <c:idx val="22"/>
              <c:tx>
                <c:rich>
                  <a:bodyPr/>
                  <a:lstStyle/>
                  <a:p>
                    <a:fld id="{9C83FAA7-B810-4967-B493-3F19C9C5EBBE}"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9B13-4B64-A098-30AB226DAB53}"/>
                </c:ext>
              </c:extLst>
            </c:dLbl>
            <c:dLbl>
              <c:idx val="23"/>
              <c:tx>
                <c:rich>
                  <a:bodyPr/>
                  <a:lstStyle/>
                  <a:p>
                    <a:fld id="{8C8CBEBA-008A-441C-8218-3E865E9FC95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9B13-4B64-A098-30AB226DAB53}"/>
                </c:ext>
              </c:extLst>
            </c:dLbl>
            <c:dLbl>
              <c:idx val="24"/>
              <c:tx>
                <c:rich>
                  <a:bodyPr/>
                  <a:lstStyle/>
                  <a:p>
                    <a:fld id="{8EE29E2F-27DB-4445-AD4A-99A838DFDF3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9B13-4B64-A098-30AB226DAB53}"/>
                </c:ext>
              </c:extLst>
            </c:dLbl>
            <c:dLbl>
              <c:idx val="25"/>
              <c:tx>
                <c:rich>
                  <a:bodyPr/>
                  <a:lstStyle/>
                  <a:p>
                    <a:fld id="{F51416AF-FDEB-4FB5-96AF-B86C06626665}"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9B13-4B64-A098-30AB226DAB53}"/>
                </c:ext>
              </c:extLst>
            </c:dLbl>
            <c:dLbl>
              <c:idx val="26"/>
              <c:tx>
                <c:rich>
                  <a:bodyPr/>
                  <a:lstStyle/>
                  <a:p>
                    <a:fld id="{4C6206B2-CE32-4E8A-B0AC-A22ECEE8339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9B13-4B64-A098-30AB226DAB53}"/>
                </c:ext>
              </c:extLst>
            </c:dLbl>
            <c:dLbl>
              <c:idx val="27"/>
              <c:tx>
                <c:rich>
                  <a:bodyPr/>
                  <a:lstStyle/>
                  <a:p>
                    <a:fld id="{AD84F47B-6AA5-4952-BAC2-E74BD63F930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9B13-4B64-A098-30AB226DAB53}"/>
                </c:ext>
              </c:extLst>
            </c:dLbl>
            <c:dLbl>
              <c:idx val="28"/>
              <c:tx>
                <c:rich>
                  <a:bodyPr/>
                  <a:lstStyle/>
                  <a:p>
                    <a:fld id="{A39A56A8-56F7-49F2-A541-B12C88ED1BE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9B13-4B64-A098-30AB226DAB53}"/>
                </c:ext>
              </c:extLst>
            </c:dLbl>
            <c:dLbl>
              <c:idx val="29"/>
              <c:tx>
                <c:rich>
                  <a:bodyPr/>
                  <a:lstStyle/>
                  <a:p>
                    <a:fld id="{4EEF034E-EF72-49A0-ACDF-D1330CC4F30A}"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9B13-4B64-A098-30AB226DAB53}"/>
                </c:ext>
              </c:extLst>
            </c:dLbl>
            <c:dLbl>
              <c:idx val="30"/>
              <c:tx>
                <c:rich>
                  <a:bodyPr/>
                  <a:lstStyle/>
                  <a:p>
                    <a:fld id="{CDF1B01D-01F7-4B90-BD70-59E9982F90C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9B13-4B64-A098-30AB226DAB53}"/>
                </c:ext>
              </c:extLst>
            </c:dLbl>
            <c:dLbl>
              <c:idx val="31"/>
              <c:tx>
                <c:rich>
                  <a:bodyPr/>
                  <a:lstStyle/>
                  <a:p>
                    <a:fld id="{8E394C28-C145-42C5-BC74-84F21BD9510F}"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9B13-4B64-A098-30AB226DAB53}"/>
                </c:ext>
              </c:extLst>
            </c:dLbl>
            <c:dLbl>
              <c:idx val="32"/>
              <c:tx>
                <c:rich>
                  <a:bodyPr/>
                  <a:lstStyle/>
                  <a:p>
                    <a:fld id="{C02EFB5A-DFB1-40B5-941E-573813FEE35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9B13-4B64-A098-30AB226DAB53}"/>
                </c:ext>
              </c:extLst>
            </c:dLbl>
            <c:dLbl>
              <c:idx val="33"/>
              <c:tx>
                <c:rich>
                  <a:bodyPr/>
                  <a:lstStyle/>
                  <a:p>
                    <a:fld id="{CE46FA76-D6A7-4444-BF16-97C1181EB8F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9B13-4B64-A098-30AB226DAB53}"/>
                </c:ext>
              </c:extLst>
            </c:dLbl>
            <c:dLbl>
              <c:idx val="34"/>
              <c:tx>
                <c:rich>
                  <a:bodyPr/>
                  <a:lstStyle/>
                  <a:p>
                    <a:fld id="{52CCD174-B700-4279-8718-355945E196A0}"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9B13-4B64-A098-30AB226DAB53}"/>
                </c:ext>
              </c:extLst>
            </c:dLbl>
            <c:dLbl>
              <c:idx val="35"/>
              <c:tx>
                <c:rich>
                  <a:bodyPr/>
                  <a:lstStyle/>
                  <a:p>
                    <a:fld id="{33132CF7-D8E3-4ED1-B956-C071B05D081D}"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9B13-4B64-A098-30AB226DAB53}"/>
                </c:ext>
              </c:extLst>
            </c:dLbl>
            <c:dLbl>
              <c:idx val="36"/>
              <c:tx>
                <c:rich>
                  <a:bodyPr/>
                  <a:lstStyle/>
                  <a:p>
                    <a:fld id="{C2121C02-A2D9-4072-9505-E603BC504C9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9B13-4B64-A098-30AB226DAB53}"/>
                </c:ext>
              </c:extLst>
            </c:dLbl>
            <c:dLbl>
              <c:idx val="37"/>
              <c:tx>
                <c:rich>
                  <a:bodyPr/>
                  <a:lstStyle/>
                  <a:p>
                    <a:fld id="{AA444DE6-1E75-40C3-BC52-A41E3BD9DDF6}"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9B13-4B64-A098-30AB226DAB53}"/>
                </c:ext>
              </c:extLst>
            </c:dLbl>
            <c:dLbl>
              <c:idx val="38"/>
              <c:tx>
                <c:rich>
                  <a:bodyPr/>
                  <a:lstStyle/>
                  <a:p>
                    <a:fld id="{CF0F433E-90FC-4772-A8B0-F81807669562}"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9B13-4B64-A098-30AB226DAB53}"/>
                </c:ext>
              </c:extLst>
            </c:dLbl>
            <c:dLbl>
              <c:idx val="39"/>
              <c:tx>
                <c:rich>
                  <a:bodyPr/>
                  <a:lstStyle/>
                  <a:p>
                    <a:fld id="{FC17C50D-285D-4507-AAC9-1FDA8C77ECE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9B13-4B64-A098-30AB226DAB53}"/>
                </c:ext>
              </c:extLst>
            </c:dLbl>
            <c:dLbl>
              <c:idx val="40"/>
              <c:tx>
                <c:rich>
                  <a:bodyPr/>
                  <a:lstStyle/>
                  <a:p>
                    <a:fld id="{8E3F899F-BF3B-4ED9-9997-E79B88F09E2C}"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9B13-4B64-A098-30AB226DAB53}"/>
                </c:ext>
              </c:extLst>
            </c:dLbl>
            <c:dLbl>
              <c:idx val="41"/>
              <c:tx>
                <c:rich>
                  <a:bodyPr/>
                  <a:lstStyle/>
                  <a:p>
                    <a:fld id="{D54DEDB3-AE57-448C-B156-6957C0DA4E7B}" type="CELLRANGE">
                      <a:rPr lang="en-GB"/>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9B13-4B64-A098-30AB226DAB53}"/>
                </c:ext>
              </c:extLst>
            </c:dLbl>
            <c:dLbl>
              <c:idx val="42"/>
              <c:tx>
                <c:rich>
                  <a:bodyPr/>
                  <a:lstStyle/>
                  <a:p>
                    <a:fld id="{B9C1ED9C-06BC-4735-A4C5-D7482AF2EB7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9B13-4B64-A098-30AB226DAB53}"/>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Usluge!$A$138:$A$180</c:f>
              <c:numCache>
                <c:formatCode>yyyy</c:formatCode>
                <c:ptCount val="43"/>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c:v>44927</c:v>
                </c:pt>
                <c:pt idx="37">
                  <c:v>44958</c:v>
                </c:pt>
                <c:pt idx="38">
                  <c:v>44986</c:v>
                </c:pt>
                <c:pt idx="39">
                  <c:v>45017</c:v>
                </c:pt>
                <c:pt idx="40">
                  <c:v>45047</c:v>
                </c:pt>
                <c:pt idx="41">
                  <c:v>45078</c:v>
                </c:pt>
                <c:pt idx="42">
                  <c:v>45108</c:v>
                </c:pt>
              </c:numCache>
            </c:numRef>
          </c:cat>
          <c:val>
            <c:numRef>
              <c:f>Usluge!$I$138:$I$180</c:f>
              <c:numCache>
                <c:formatCode>General</c:formatCode>
                <c:ptCount val="43"/>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pt idx="39">
                  <c:v>60</c:v>
                </c:pt>
                <c:pt idx="40">
                  <c:v>60</c:v>
                </c:pt>
                <c:pt idx="41">
                  <c:v>60</c:v>
                </c:pt>
                <c:pt idx="42">
                  <c:v>60</c:v>
                </c:pt>
              </c:numCache>
            </c:numRef>
          </c:val>
          <c:smooth val="0"/>
          <c:extLst>
            <c:ext xmlns:c15="http://schemas.microsoft.com/office/drawing/2012/chart" uri="{02D57815-91ED-43cb-92C2-25804820EDAC}">
              <c15:datalabelsRange>
                <c15:f>Usluge!$J$138:$J$180</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3-9B13-4B64-A098-30AB226DAB53}"/>
            </c:ext>
          </c:extLst>
        </c:ser>
        <c:dLbls>
          <c:showLegendKey val="0"/>
          <c:showVal val="0"/>
          <c:showCatName val="0"/>
          <c:showSerName val="0"/>
          <c:showPercent val="0"/>
          <c:showBubbleSize val="0"/>
        </c:dLbls>
        <c:smooth val="0"/>
        <c:axId val="2092186640"/>
        <c:axId val="2092182288"/>
      </c:lineChart>
      <c:dateAx>
        <c:axId val="209218664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82288"/>
        <c:crosses val="autoZero"/>
        <c:auto val="1"/>
        <c:lblOffset val="0"/>
        <c:baseTimeUnit val="months"/>
      </c:dateAx>
      <c:valAx>
        <c:axId val="2092182288"/>
        <c:scaling>
          <c:orientation val="minMax"/>
          <c:max val="115"/>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6640"/>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229075532225129E-2"/>
          <c:y val="5.8179243711477598E-2"/>
          <c:w val="0.88862277631962672"/>
          <c:h val="0.58066823899371067"/>
        </c:manualLayout>
      </c:layout>
      <c:barChart>
        <c:barDir val="col"/>
        <c:grouping val="clustered"/>
        <c:varyColors val="0"/>
        <c:ser>
          <c:idx val="0"/>
          <c:order val="0"/>
          <c:tx>
            <c:strRef>
              <c:f>BDPQ_doprinosi!$AC$54</c:f>
              <c:strCache>
                <c:ptCount val="1"/>
                <c:pt idx="0">
                  <c:v>Остварење у 2022. години</c:v>
                </c:pt>
              </c:strCache>
            </c:strRef>
          </c:tx>
          <c:spPr>
            <a:solidFill>
              <a:schemeClr val="bg1">
                <a:lumMod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BDPQ_doprinosi!$AD$52:$AK$53</c:f>
              <c:multiLvlStrCache>
                <c:ptCount val="8"/>
                <c:lvl>
                  <c:pt idx="0">
                    <c:v>Q1</c:v>
                  </c:pt>
                  <c:pt idx="1">
                    <c:v>Q2</c:v>
                  </c:pt>
                  <c:pt idx="2">
                    <c:v>Q3</c:v>
                  </c:pt>
                  <c:pt idx="3">
                    <c:v>Q4</c:v>
                  </c:pt>
                  <c:pt idx="4">
                    <c:v>Q1</c:v>
                  </c:pt>
                  <c:pt idx="5">
                    <c:v>Q2</c:v>
                  </c:pt>
                  <c:pt idx="6">
                    <c:v>Q3*</c:v>
                  </c:pt>
                  <c:pt idx="7">
                    <c:v>Q4*</c:v>
                  </c:pt>
                </c:lvl>
                <c:lvl>
                  <c:pt idx="0">
                    <c:v>2022</c:v>
                  </c:pt>
                  <c:pt idx="4">
                    <c:v>2023</c:v>
                  </c:pt>
                </c:lvl>
              </c:multiLvlStrCache>
            </c:multiLvlStrRef>
          </c:cat>
          <c:val>
            <c:numRef>
              <c:f>BDPQ_doprinosi!$AD$54:$AK$54</c:f>
              <c:numCache>
                <c:formatCode>0.0</c:formatCode>
                <c:ptCount val="8"/>
                <c:pt idx="0">
                  <c:v>4.0454172624640989</c:v>
                </c:pt>
                <c:pt idx="1">
                  <c:v>3.8445360445176391</c:v>
                </c:pt>
                <c:pt idx="2">
                  <c:v>0.97977544717373632</c:v>
                </c:pt>
                <c:pt idx="3">
                  <c:v>0.4587907871848671</c:v>
                </c:pt>
              </c:numCache>
            </c:numRef>
          </c:val>
          <c:extLst>
            <c:ext xmlns:c16="http://schemas.microsoft.com/office/drawing/2014/chart" uri="{C3380CC4-5D6E-409C-BE32-E72D297353CC}">
              <c16:uniqueId val="{00000000-3FFD-4231-98AE-275FC28154B2}"/>
            </c:ext>
          </c:extLst>
        </c:ser>
        <c:dLbls>
          <c:showLegendKey val="0"/>
          <c:showVal val="0"/>
          <c:showCatName val="0"/>
          <c:showSerName val="0"/>
          <c:showPercent val="0"/>
          <c:showBubbleSize val="0"/>
        </c:dLbls>
        <c:gapWidth val="57"/>
        <c:axId val="1011580544"/>
        <c:axId val="1011583040"/>
      </c:barChart>
      <c:barChart>
        <c:barDir val="col"/>
        <c:grouping val="clustered"/>
        <c:varyColors val="0"/>
        <c:ser>
          <c:idx val="1"/>
          <c:order val="1"/>
          <c:tx>
            <c:strRef>
              <c:f>BDPQ_doprinosi!$AC$55</c:f>
              <c:strCache>
                <c:ptCount val="1"/>
                <c:pt idx="0">
                  <c:v>Фискална стратегија</c:v>
                </c:pt>
              </c:strCache>
            </c:strRef>
          </c:tx>
          <c:spPr>
            <a:solidFill>
              <a:srgbClr val="29489A"/>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BDPQ_doprinosi!$AD$52:$AK$53</c:f>
              <c:multiLvlStrCache>
                <c:ptCount val="8"/>
                <c:lvl>
                  <c:pt idx="0">
                    <c:v>Q1</c:v>
                  </c:pt>
                  <c:pt idx="1">
                    <c:v>Q2</c:v>
                  </c:pt>
                  <c:pt idx="2">
                    <c:v>Q3</c:v>
                  </c:pt>
                  <c:pt idx="3">
                    <c:v>Q4</c:v>
                  </c:pt>
                  <c:pt idx="4">
                    <c:v>Q1</c:v>
                  </c:pt>
                  <c:pt idx="5">
                    <c:v>Q2</c:v>
                  </c:pt>
                  <c:pt idx="6">
                    <c:v>Q3*</c:v>
                  </c:pt>
                  <c:pt idx="7">
                    <c:v>Q4*</c:v>
                  </c:pt>
                </c:lvl>
                <c:lvl>
                  <c:pt idx="0">
                    <c:v>2022</c:v>
                  </c:pt>
                  <c:pt idx="4">
                    <c:v>2023</c:v>
                  </c:pt>
                </c:lvl>
              </c:multiLvlStrCache>
            </c:multiLvlStrRef>
          </c:cat>
          <c:val>
            <c:numRef>
              <c:f>BDPQ_doprinosi!$AD$55:$AK$55</c:f>
              <c:numCache>
                <c:formatCode>General</c:formatCode>
                <c:ptCount val="8"/>
                <c:pt idx="4" formatCode="0.0">
                  <c:v>0.7</c:v>
                </c:pt>
                <c:pt idx="5" formatCode="0.0">
                  <c:v>1.8</c:v>
                </c:pt>
                <c:pt idx="6" formatCode="0.0">
                  <c:v>3.4</c:v>
                </c:pt>
                <c:pt idx="7" formatCode="0.0">
                  <c:v>3.9</c:v>
                </c:pt>
              </c:numCache>
            </c:numRef>
          </c:val>
          <c:extLst>
            <c:ext xmlns:c16="http://schemas.microsoft.com/office/drawing/2014/chart" uri="{C3380CC4-5D6E-409C-BE32-E72D297353CC}">
              <c16:uniqueId val="{00000001-3FFD-4231-98AE-275FC28154B2}"/>
            </c:ext>
          </c:extLst>
        </c:ser>
        <c:ser>
          <c:idx val="2"/>
          <c:order val="2"/>
          <c:tx>
            <c:strRef>
              <c:f>BDPQ_doprinosi!$AC$56</c:f>
              <c:strCache>
                <c:ptCount val="1"/>
                <c:pt idx="0">
                  <c:v>Ревидирана Фискална стратегија</c:v>
                </c:pt>
              </c:strCache>
            </c:strRef>
          </c:tx>
          <c:spPr>
            <a:solidFill>
              <a:srgbClr val="ED1C2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BDPQ_doprinosi!$AD$52:$AK$53</c:f>
              <c:multiLvlStrCache>
                <c:ptCount val="8"/>
                <c:lvl>
                  <c:pt idx="0">
                    <c:v>Q1</c:v>
                  </c:pt>
                  <c:pt idx="1">
                    <c:v>Q2</c:v>
                  </c:pt>
                  <c:pt idx="2">
                    <c:v>Q3</c:v>
                  </c:pt>
                  <c:pt idx="3">
                    <c:v>Q4</c:v>
                  </c:pt>
                  <c:pt idx="4">
                    <c:v>Q1</c:v>
                  </c:pt>
                  <c:pt idx="5">
                    <c:v>Q2</c:v>
                  </c:pt>
                  <c:pt idx="6">
                    <c:v>Q3*</c:v>
                  </c:pt>
                  <c:pt idx="7">
                    <c:v>Q4*</c:v>
                  </c:pt>
                </c:lvl>
                <c:lvl>
                  <c:pt idx="0">
                    <c:v>2022</c:v>
                  </c:pt>
                  <c:pt idx="4">
                    <c:v>2023</c:v>
                  </c:pt>
                </c:lvl>
              </c:multiLvlStrCache>
            </c:multiLvlStrRef>
          </c:cat>
          <c:val>
            <c:numRef>
              <c:f>BDPQ_doprinosi!$AD$56:$AK$56</c:f>
              <c:numCache>
                <c:formatCode>General</c:formatCode>
                <c:ptCount val="8"/>
                <c:pt idx="4" formatCode="0.0">
                  <c:v>0.9</c:v>
                </c:pt>
                <c:pt idx="5" formatCode="0.0">
                  <c:v>1.7</c:v>
                </c:pt>
                <c:pt idx="6" formatCode="0.0">
                  <c:v>3.1</c:v>
                </c:pt>
                <c:pt idx="7" formatCode="0.0">
                  <c:v>3.9</c:v>
                </c:pt>
              </c:numCache>
            </c:numRef>
          </c:val>
          <c:extLst>
            <c:ext xmlns:c16="http://schemas.microsoft.com/office/drawing/2014/chart" uri="{C3380CC4-5D6E-409C-BE32-E72D297353CC}">
              <c16:uniqueId val="{00000002-3FFD-4231-98AE-275FC28154B2}"/>
            </c:ext>
          </c:extLst>
        </c:ser>
        <c:dLbls>
          <c:showLegendKey val="0"/>
          <c:showVal val="0"/>
          <c:showCatName val="0"/>
          <c:showSerName val="0"/>
          <c:showPercent val="0"/>
          <c:showBubbleSize val="0"/>
        </c:dLbls>
        <c:gapWidth val="57"/>
        <c:overlap val="-19"/>
        <c:axId val="1104212160"/>
        <c:axId val="1104215072"/>
      </c:barChart>
      <c:catAx>
        <c:axId val="1011580544"/>
        <c:scaling>
          <c:orientation val="minMax"/>
        </c:scaling>
        <c:delete val="0"/>
        <c:axPos val="b"/>
        <c:numFmt formatCode="General" sourceLinked="1"/>
        <c:majorTickMark val="none"/>
        <c:minorTickMark val="none"/>
        <c:tickLblPos val="nextTo"/>
        <c:spPr>
          <a:noFill/>
          <a:ln w="6350"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011583040"/>
        <c:crosses val="autoZero"/>
        <c:auto val="1"/>
        <c:lblAlgn val="ctr"/>
        <c:lblOffset val="100"/>
        <c:noMultiLvlLbl val="1"/>
      </c:catAx>
      <c:valAx>
        <c:axId val="1011583040"/>
        <c:scaling>
          <c:orientation val="minMax"/>
          <c:max val="5"/>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011580544"/>
        <c:crosses val="autoZero"/>
        <c:crossBetween val="between"/>
        <c:majorUnit val="1"/>
      </c:valAx>
      <c:valAx>
        <c:axId val="1104215072"/>
        <c:scaling>
          <c:orientation val="minMax"/>
          <c:max val="5"/>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104212160"/>
        <c:crosses val="max"/>
        <c:crossBetween val="between"/>
        <c:majorUnit val="1"/>
      </c:valAx>
      <c:catAx>
        <c:axId val="1104212160"/>
        <c:scaling>
          <c:orientation val="minMax"/>
        </c:scaling>
        <c:delete val="1"/>
        <c:axPos val="b"/>
        <c:numFmt formatCode="General" sourceLinked="1"/>
        <c:majorTickMark val="out"/>
        <c:minorTickMark val="none"/>
        <c:tickLblPos val="nextTo"/>
        <c:crossAx val="1104215072"/>
        <c:crosses val="autoZero"/>
        <c:auto val="1"/>
        <c:lblAlgn val="ctr"/>
        <c:lblOffset val="100"/>
        <c:noMultiLvlLbl val="0"/>
      </c:catAx>
      <c:spPr>
        <a:noFill/>
        <a:ln>
          <a:noFill/>
        </a:ln>
        <a:effectLst/>
      </c:spPr>
    </c:plotArea>
    <c:legend>
      <c:legendPos val="b"/>
      <c:layout>
        <c:manualLayout>
          <c:xMode val="edge"/>
          <c:yMode val="edge"/>
          <c:x val="6.1320355788859728E-2"/>
          <c:y val="0.81543605870020963"/>
          <c:w val="0.84840077282006421"/>
          <c:h val="0.1845639412997904"/>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9238921957671962"/>
        </c:manualLayout>
      </c:layout>
      <c:barChart>
        <c:barDir val="col"/>
        <c:grouping val="stacked"/>
        <c:varyColors val="0"/>
        <c:ser>
          <c:idx val="2"/>
          <c:order val="0"/>
          <c:tx>
            <c:strRef>
              <c:f>BDP_doprinosi!$R$8</c:f>
              <c:strCache>
                <c:ptCount val="1"/>
                <c:pt idx="0">
                  <c:v>Приватна потрошња</c:v>
                </c:pt>
              </c:strCache>
            </c:strRef>
          </c:tx>
          <c:spPr>
            <a:solidFill>
              <a:srgbClr val="10103C"/>
            </a:solidFill>
            <a:ln>
              <a:noFill/>
            </a:ln>
            <a:effectLst/>
          </c:spPr>
          <c:invertIfNegative val="0"/>
          <c:cat>
            <c:numRef>
              <c:f>BDP_doprinosi!$AE$6:$AK$6</c:f>
              <c:numCache>
                <c:formatCode>General</c:formatCode>
                <c:ptCount val="7"/>
                <c:pt idx="0">
                  <c:v>2020</c:v>
                </c:pt>
                <c:pt idx="1">
                  <c:v>2021</c:v>
                </c:pt>
                <c:pt idx="2">
                  <c:v>2022</c:v>
                </c:pt>
                <c:pt idx="3">
                  <c:v>2023</c:v>
                </c:pt>
                <c:pt idx="4">
                  <c:v>2024</c:v>
                </c:pt>
                <c:pt idx="5">
                  <c:v>2025</c:v>
                </c:pt>
                <c:pt idx="6">
                  <c:v>2026</c:v>
                </c:pt>
              </c:numCache>
            </c:numRef>
          </c:cat>
          <c:val>
            <c:numRef>
              <c:f>BDP_doprinosi!$AE$8:$AK$8</c:f>
              <c:numCache>
                <c:formatCode>0.0</c:formatCode>
                <c:ptCount val="7"/>
                <c:pt idx="0">
                  <c:v>-1.276456005932219</c:v>
                </c:pt>
                <c:pt idx="1">
                  <c:v>5.1644078383781409</c:v>
                </c:pt>
                <c:pt idx="2">
                  <c:v>2.4143109319682265</c:v>
                </c:pt>
                <c:pt idx="3">
                  <c:v>0.66600955932363004</c:v>
                </c:pt>
                <c:pt idx="4">
                  <c:v>2.9949122264715338</c:v>
                </c:pt>
                <c:pt idx="5">
                  <c:v>2.3244445710925739</c:v>
                </c:pt>
                <c:pt idx="6">
                  <c:v>2.2457711971314711</c:v>
                </c:pt>
              </c:numCache>
            </c:numRef>
          </c:val>
          <c:extLst>
            <c:ext xmlns:c16="http://schemas.microsoft.com/office/drawing/2014/chart" uri="{C3380CC4-5D6E-409C-BE32-E72D297353CC}">
              <c16:uniqueId val="{00000000-EC05-4616-BEE0-F5E31E61D87C}"/>
            </c:ext>
          </c:extLst>
        </c:ser>
        <c:ser>
          <c:idx val="3"/>
          <c:order val="1"/>
          <c:tx>
            <c:strRef>
              <c:f>BDP_doprinosi!$R$9</c:f>
              <c:strCache>
                <c:ptCount val="1"/>
                <c:pt idx="0">
                  <c:v>Државна потрошња</c:v>
                </c:pt>
              </c:strCache>
            </c:strRef>
          </c:tx>
          <c:spPr>
            <a:solidFill>
              <a:srgbClr val="29489A"/>
            </a:solidFill>
            <a:ln>
              <a:noFill/>
            </a:ln>
            <a:effectLst/>
          </c:spPr>
          <c:invertIfNegative val="0"/>
          <c:cat>
            <c:numRef>
              <c:f>BDP_doprinosi!$AE$6:$AK$6</c:f>
              <c:numCache>
                <c:formatCode>General</c:formatCode>
                <c:ptCount val="7"/>
                <c:pt idx="0">
                  <c:v>2020</c:v>
                </c:pt>
                <c:pt idx="1">
                  <c:v>2021</c:v>
                </c:pt>
                <c:pt idx="2">
                  <c:v>2022</c:v>
                </c:pt>
                <c:pt idx="3">
                  <c:v>2023</c:v>
                </c:pt>
                <c:pt idx="4">
                  <c:v>2024</c:v>
                </c:pt>
                <c:pt idx="5">
                  <c:v>2025</c:v>
                </c:pt>
                <c:pt idx="6">
                  <c:v>2026</c:v>
                </c:pt>
              </c:numCache>
            </c:numRef>
          </c:cat>
          <c:val>
            <c:numRef>
              <c:f>BDP_doprinosi!$AE$9:$AK$9</c:f>
              <c:numCache>
                <c:formatCode>0.0</c:formatCode>
                <c:ptCount val="7"/>
                <c:pt idx="0">
                  <c:v>0.4668109924715052</c:v>
                </c:pt>
                <c:pt idx="1">
                  <c:v>0.72386985247045288</c:v>
                </c:pt>
                <c:pt idx="2">
                  <c:v>3.7973062175956161E-2</c:v>
                </c:pt>
                <c:pt idx="3">
                  <c:v>-0.19885468794006478</c:v>
                </c:pt>
                <c:pt idx="4">
                  <c:v>0.22104703373790252</c:v>
                </c:pt>
                <c:pt idx="5">
                  <c:v>0.16481314694125315</c:v>
                </c:pt>
                <c:pt idx="6">
                  <c:v>0.25858443763752126</c:v>
                </c:pt>
              </c:numCache>
            </c:numRef>
          </c:val>
          <c:extLst>
            <c:ext xmlns:c16="http://schemas.microsoft.com/office/drawing/2014/chart" uri="{C3380CC4-5D6E-409C-BE32-E72D297353CC}">
              <c16:uniqueId val="{00000001-EC05-4616-BEE0-F5E31E61D87C}"/>
            </c:ext>
          </c:extLst>
        </c:ser>
        <c:ser>
          <c:idx val="1"/>
          <c:order val="2"/>
          <c:tx>
            <c:strRef>
              <c:f>BDP_doprinosi!$R$10</c:f>
              <c:strCache>
                <c:ptCount val="1"/>
                <c:pt idx="0">
                  <c:v>Инвестиције</c:v>
                </c:pt>
              </c:strCache>
            </c:strRef>
          </c:tx>
          <c:spPr>
            <a:solidFill>
              <a:srgbClr val="2183C4"/>
            </a:solidFill>
            <a:ln>
              <a:noFill/>
            </a:ln>
            <a:effectLst/>
          </c:spPr>
          <c:invertIfNegative val="0"/>
          <c:cat>
            <c:numRef>
              <c:f>BDP_doprinosi!$AE$6:$AK$6</c:f>
              <c:numCache>
                <c:formatCode>General</c:formatCode>
                <c:ptCount val="7"/>
                <c:pt idx="0">
                  <c:v>2020</c:v>
                </c:pt>
                <c:pt idx="1">
                  <c:v>2021</c:v>
                </c:pt>
                <c:pt idx="2">
                  <c:v>2022</c:v>
                </c:pt>
                <c:pt idx="3">
                  <c:v>2023</c:v>
                </c:pt>
                <c:pt idx="4">
                  <c:v>2024</c:v>
                </c:pt>
                <c:pt idx="5">
                  <c:v>2025</c:v>
                </c:pt>
                <c:pt idx="6">
                  <c:v>2026</c:v>
                </c:pt>
              </c:numCache>
            </c:numRef>
          </c:cat>
          <c:val>
            <c:numRef>
              <c:f>BDP_doprinosi!$AE$10:$AK$10</c:f>
              <c:numCache>
                <c:formatCode>0.0</c:formatCode>
                <c:ptCount val="7"/>
                <c:pt idx="0">
                  <c:v>-0.42709983187539963</c:v>
                </c:pt>
                <c:pt idx="1">
                  <c:v>3.4031230334282987</c:v>
                </c:pt>
                <c:pt idx="2">
                  <c:v>-0.13198889505350136</c:v>
                </c:pt>
                <c:pt idx="3">
                  <c:v>0.73224469395665359</c:v>
                </c:pt>
                <c:pt idx="4">
                  <c:v>1.2455704314412432</c:v>
                </c:pt>
                <c:pt idx="5">
                  <c:v>1.4507634938554634</c:v>
                </c:pt>
                <c:pt idx="6">
                  <c:v>1.7095638093084338</c:v>
                </c:pt>
              </c:numCache>
            </c:numRef>
          </c:val>
          <c:extLst>
            <c:ext xmlns:c16="http://schemas.microsoft.com/office/drawing/2014/chart" uri="{C3380CC4-5D6E-409C-BE32-E72D297353CC}">
              <c16:uniqueId val="{00000002-EC05-4616-BEE0-F5E31E61D87C}"/>
            </c:ext>
          </c:extLst>
        </c:ser>
        <c:ser>
          <c:idx val="0"/>
          <c:order val="3"/>
          <c:tx>
            <c:strRef>
              <c:f>BDP_doprinosi!$R$11</c:f>
              <c:strCache>
                <c:ptCount val="1"/>
                <c:pt idx="0">
                  <c:v>Нето извоз</c:v>
                </c:pt>
              </c:strCache>
            </c:strRef>
          </c:tx>
          <c:spPr>
            <a:solidFill>
              <a:srgbClr val="51BBE7"/>
            </a:solidFill>
            <a:ln>
              <a:noFill/>
            </a:ln>
            <a:effectLst/>
          </c:spPr>
          <c:invertIfNegative val="0"/>
          <c:cat>
            <c:numRef>
              <c:f>BDP_doprinosi!$AE$6:$AK$6</c:f>
              <c:numCache>
                <c:formatCode>General</c:formatCode>
                <c:ptCount val="7"/>
                <c:pt idx="0">
                  <c:v>2020</c:v>
                </c:pt>
                <c:pt idx="1">
                  <c:v>2021</c:v>
                </c:pt>
                <c:pt idx="2">
                  <c:v>2022</c:v>
                </c:pt>
                <c:pt idx="3">
                  <c:v>2023</c:v>
                </c:pt>
                <c:pt idx="4">
                  <c:v>2024</c:v>
                </c:pt>
                <c:pt idx="5">
                  <c:v>2025</c:v>
                </c:pt>
                <c:pt idx="6">
                  <c:v>2026</c:v>
                </c:pt>
              </c:numCache>
            </c:numRef>
          </c:cat>
          <c:val>
            <c:numRef>
              <c:f>BDP_doprinosi!$AE$11:$AK$11</c:f>
              <c:numCache>
                <c:formatCode>0.0</c:formatCode>
                <c:ptCount val="7"/>
                <c:pt idx="0">
                  <c:v>4.8655617295410014E-2</c:v>
                </c:pt>
                <c:pt idx="1">
                  <c:v>-0.5777612705316848</c:v>
                </c:pt>
                <c:pt idx="2">
                  <c:v>-1.4687107861311404</c:v>
                </c:pt>
                <c:pt idx="3">
                  <c:v>3.1785341318271065</c:v>
                </c:pt>
                <c:pt idx="4">
                  <c:v>-1.0133383628002175</c:v>
                </c:pt>
                <c:pt idx="5">
                  <c:v>-1.5570890656178636E-2</c:v>
                </c:pt>
                <c:pt idx="6">
                  <c:v>-2.1421339454490835E-2</c:v>
                </c:pt>
              </c:numCache>
            </c:numRef>
          </c:val>
          <c:extLst>
            <c:ext xmlns:c16="http://schemas.microsoft.com/office/drawing/2014/chart" uri="{C3380CC4-5D6E-409C-BE32-E72D297353CC}">
              <c16:uniqueId val="{00000003-EC05-4616-BEE0-F5E31E61D87C}"/>
            </c:ext>
          </c:extLst>
        </c:ser>
        <c:ser>
          <c:idx val="4"/>
          <c:order val="4"/>
          <c:tx>
            <c:strRef>
              <c:f>BDP_doprinosi!$R$12</c:f>
              <c:strCache>
                <c:ptCount val="1"/>
                <c:pt idx="0">
                  <c:v>Промена у залихама</c:v>
                </c:pt>
              </c:strCache>
            </c:strRef>
          </c:tx>
          <c:spPr>
            <a:solidFill>
              <a:srgbClr val="9ED1E6"/>
            </a:solidFill>
            <a:ln>
              <a:noFill/>
            </a:ln>
            <a:effectLst/>
          </c:spPr>
          <c:invertIfNegative val="0"/>
          <c:cat>
            <c:numRef>
              <c:f>BDP_doprinosi!$AE$6:$AK$6</c:f>
              <c:numCache>
                <c:formatCode>General</c:formatCode>
                <c:ptCount val="7"/>
                <c:pt idx="0">
                  <c:v>2020</c:v>
                </c:pt>
                <c:pt idx="1">
                  <c:v>2021</c:v>
                </c:pt>
                <c:pt idx="2">
                  <c:v>2022</c:v>
                </c:pt>
                <c:pt idx="3">
                  <c:v>2023</c:v>
                </c:pt>
                <c:pt idx="4">
                  <c:v>2024</c:v>
                </c:pt>
                <c:pt idx="5">
                  <c:v>2025</c:v>
                </c:pt>
                <c:pt idx="6">
                  <c:v>2026</c:v>
                </c:pt>
              </c:numCache>
            </c:numRef>
          </c:cat>
          <c:val>
            <c:numRef>
              <c:f>BDP_doprinosi!$AE$12:$AK$12</c:f>
              <c:numCache>
                <c:formatCode>0.0</c:formatCode>
                <c:ptCount val="7"/>
                <c:pt idx="0">
                  <c:v>0.28486952590482217</c:v>
                </c:pt>
                <c:pt idx="1">
                  <c:v>-1.1637273459474233</c:v>
                </c:pt>
                <c:pt idx="2">
                  <c:v>1.3998635432636903</c:v>
                </c:pt>
                <c:pt idx="3">
                  <c:v>-1.9269336971673268</c:v>
                </c:pt>
                <c:pt idx="4">
                  <c:v>1.1808671149538746E-2</c:v>
                </c:pt>
                <c:pt idx="5">
                  <c:v>0.04</c:v>
                </c:pt>
                <c:pt idx="6">
                  <c:v>4.0446020489711465E-2</c:v>
                </c:pt>
              </c:numCache>
            </c:numRef>
          </c:val>
          <c:extLst>
            <c:ext xmlns:c16="http://schemas.microsoft.com/office/drawing/2014/chart" uri="{C3380CC4-5D6E-409C-BE32-E72D297353CC}">
              <c16:uniqueId val="{00000004-EC05-4616-BEE0-F5E31E61D87C}"/>
            </c:ext>
          </c:extLst>
        </c:ser>
        <c:dLbls>
          <c:showLegendKey val="0"/>
          <c:showVal val="0"/>
          <c:showCatName val="0"/>
          <c:showSerName val="0"/>
          <c:showPercent val="0"/>
          <c:showBubbleSize val="0"/>
        </c:dLbls>
        <c:gapWidth val="60"/>
        <c:overlap val="100"/>
        <c:axId val="1768857248"/>
        <c:axId val="1768855072"/>
      </c:barChart>
      <c:lineChart>
        <c:grouping val="standard"/>
        <c:varyColors val="0"/>
        <c:ser>
          <c:idx val="5"/>
          <c:order val="5"/>
          <c:tx>
            <c:strRef>
              <c:f>BDP_doprinosi!$R$13</c:f>
              <c:strCache>
                <c:ptCount val="1"/>
                <c:pt idx="0">
                  <c:v>Реални раст БДП</c:v>
                </c:pt>
              </c:strCache>
            </c:strRef>
          </c:tx>
          <c:spPr>
            <a:ln w="25400" cap="rnd">
              <a:solidFill>
                <a:srgbClr val="FF0000"/>
              </a:solidFill>
              <a:round/>
            </a:ln>
            <a:effectLst/>
          </c:spPr>
          <c:marker>
            <c:symbol val="none"/>
          </c:marker>
          <c:dLbls>
            <c:dLbl>
              <c:idx val="0"/>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C05-4616-BEE0-F5E31E61D87C}"/>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BDP_doprinosi!$AE$6:$AK$6</c:f>
              <c:numCache>
                <c:formatCode>General</c:formatCode>
                <c:ptCount val="7"/>
                <c:pt idx="0">
                  <c:v>2020</c:v>
                </c:pt>
                <c:pt idx="1">
                  <c:v>2021</c:v>
                </c:pt>
                <c:pt idx="2">
                  <c:v>2022</c:v>
                </c:pt>
                <c:pt idx="3">
                  <c:v>2023</c:v>
                </c:pt>
                <c:pt idx="4">
                  <c:v>2024</c:v>
                </c:pt>
                <c:pt idx="5">
                  <c:v>2025</c:v>
                </c:pt>
                <c:pt idx="6">
                  <c:v>2026</c:v>
                </c:pt>
              </c:numCache>
            </c:numRef>
          </c:cat>
          <c:val>
            <c:numRef>
              <c:f>BDP_doprinosi!$AE$13:$AK$13</c:f>
              <c:numCache>
                <c:formatCode>0.0</c:formatCode>
                <c:ptCount val="7"/>
                <c:pt idx="0">
                  <c:v>-0.90321970213580016</c:v>
                </c:pt>
                <c:pt idx="1">
                  <c:v>7.5499121077977236</c:v>
                </c:pt>
                <c:pt idx="2">
                  <c:v>2.251447856223237</c:v>
                </c:pt>
                <c:pt idx="3">
                  <c:v>2.4500000000000006</c:v>
                </c:pt>
                <c:pt idx="4">
                  <c:v>3.5</c:v>
                </c:pt>
                <c:pt idx="5">
                  <c:v>4</c:v>
                </c:pt>
                <c:pt idx="6">
                  <c:v>4.2510000000000003</c:v>
                </c:pt>
              </c:numCache>
            </c:numRef>
          </c:val>
          <c:smooth val="0"/>
          <c:extLst>
            <c:ext xmlns:c16="http://schemas.microsoft.com/office/drawing/2014/chart" uri="{C3380CC4-5D6E-409C-BE32-E72D297353CC}">
              <c16:uniqueId val="{00000006-EC05-4616-BEE0-F5E31E61D87C}"/>
            </c:ext>
          </c:extLst>
        </c:ser>
        <c:dLbls>
          <c:showLegendKey val="0"/>
          <c:showVal val="0"/>
          <c:showCatName val="0"/>
          <c:showSerName val="0"/>
          <c:showPercent val="0"/>
          <c:showBubbleSize val="0"/>
        </c:dLbls>
        <c:marker val="1"/>
        <c:smooth val="0"/>
        <c:axId val="1768857248"/>
        <c:axId val="1768855072"/>
      </c:lineChart>
      <c:catAx>
        <c:axId val="1768857248"/>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5072"/>
        <c:crosses val="autoZero"/>
        <c:auto val="1"/>
        <c:lblAlgn val="ctr"/>
        <c:lblOffset val="100"/>
        <c:noMultiLvlLbl val="0"/>
      </c:catAx>
      <c:valAx>
        <c:axId val="1768855072"/>
        <c:scaling>
          <c:orientation val="minMax"/>
          <c:min val="-4"/>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248"/>
        <c:crosses val="autoZero"/>
        <c:crossBetween val="between"/>
      </c:valAx>
      <c:spPr>
        <a:noFill/>
        <a:ln>
          <a:noFill/>
        </a:ln>
        <a:effectLst/>
      </c:spPr>
    </c:plotArea>
    <c:legend>
      <c:legendPos val="b"/>
      <c:layout>
        <c:manualLayout>
          <c:xMode val="edge"/>
          <c:yMode val="edge"/>
          <c:x val="0"/>
          <c:y val="0.83244109195402283"/>
          <c:w val="1"/>
          <c:h val="0.167558908045977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7.0236607987885669E-2"/>
          <c:w val="0.90740810185185183"/>
          <c:h val="0.66834989589248528"/>
        </c:manualLayout>
      </c:layout>
      <c:barChart>
        <c:barDir val="col"/>
        <c:grouping val="stacked"/>
        <c:varyColors val="0"/>
        <c:ser>
          <c:idx val="0"/>
          <c:order val="0"/>
          <c:tx>
            <c:strRef>
              <c:f>BDP_doprinosi!$R$34</c:f>
              <c:strCache>
                <c:ptCount val="1"/>
                <c:pt idx="0">
                  <c:v>Пољопривреда</c:v>
                </c:pt>
              </c:strCache>
            </c:strRef>
          </c:tx>
          <c:spPr>
            <a:solidFill>
              <a:srgbClr val="10103C"/>
            </a:solidFill>
            <a:ln>
              <a:noFill/>
            </a:ln>
            <a:effectLst/>
          </c:spPr>
          <c:invertIfNegative val="0"/>
          <c:cat>
            <c:numRef>
              <c:f>BDP_doprinosi!$AE$33:$AK$33</c:f>
              <c:numCache>
                <c:formatCode>General</c:formatCode>
                <c:ptCount val="7"/>
                <c:pt idx="0">
                  <c:v>2020</c:v>
                </c:pt>
                <c:pt idx="1">
                  <c:v>2021</c:v>
                </c:pt>
                <c:pt idx="2">
                  <c:v>2022</c:v>
                </c:pt>
                <c:pt idx="3">
                  <c:v>2023</c:v>
                </c:pt>
                <c:pt idx="4">
                  <c:v>2024</c:v>
                </c:pt>
                <c:pt idx="5">
                  <c:v>2025</c:v>
                </c:pt>
                <c:pt idx="6">
                  <c:v>2026</c:v>
                </c:pt>
              </c:numCache>
            </c:numRef>
          </c:cat>
          <c:val>
            <c:numRef>
              <c:f>BDP_doprinosi!$AE$34:$AK$34</c:f>
              <c:numCache>
                <c:formatCode>0.0</c:formatCode>
                <c:ptCount val="7"/>
                <c:pt idx="0">
                  <c:v>0.138469335745035</c:v>
                </c:pt>
                <c:pt idx="1">
                  <c:v>-0.35981848856476101</c:v>
                </c:pt>
                <c:pt idx="2">
                  <c:v>-0.52167009993496993</c:v>
                </c:pt>
                <c:pt idx="3">
                  <c:v>0.42987482300153451</c:v>
                </c:pt>
                <c:pt idx="4">
                  <c:v>5.6397571530813567E-2</c:v>
                </c:pt>
                <c:pt idx="5">
                  <c:v>0</c:v>
                </c:pt>
                <c:pt idx="6">
                  <c:v>0</c:v>
                </c:pt>
              </c:numCache>
            </c:numRef>
          </c:val>
          <c:extLst>
            <c:ext xmlns:c16="http://schemas.microsoft.com/office/drawing/2014/chart" uri="{C3380CC4-5D6E-409C-BE32-E72D297353CC}">
              <c16:uniqueId val="{00000000-2976-41C3-A9B2-86D303B93CC2}"/>
            </c:ext>
          </c:extLst>
        </c:ser>
        <c:ser>
          <c:idx val="1"/>
          <c:order val="1"/>
          <c:tx>
            <c:strRef>
              <c:f>BDP_doprinosi!$R$35</c:f>
              <c:strCache>
                <c:ptCount val="1"/>
                <c:pt idx="0">
                  <c:v>Индустрија</c:v>
                </c:pt>
              </c:strCache>
            </c:strRef>
          </c:tx>
          <c:spPr>
            <a:solidFill>
              <a:srgbClr val="29489A"/>
            </a:solidFill>
            <a:ln>
              <a:noFill/>
            </a:ln>
            <a:effectLst/>
          </c:spPr>
          <c:invertIfNegative val="0"/>
          <c:cat>
            <c:numRef>
              <c:f>BDP_doprinosi!$AE$33:$AK$33</c:f>
              <c:numCache>
                <c:formatCode>General</c:formatCode>
                <c:ptCount val="7"/>
                <c:pt idx="0">
                  <c:v>2020</c:v>
                </c:pt>
                <c:pt idx="1">
                  <c:v>2021</c:v>
                </c:pt>
                <c:pt idx="2">
                  <c:v>2022</c:v>
                </c:pt>
                <c:pt idx="3">
                  <c:v>2023</c:v>
                </c:pt>
                <c:pt idx="4">
                  <c:v>2024</c:v>
                </c:pt>
                <c:pt idx="5">
                  <c:v>2025</c:v>
                </c:pt>
                <c:pt idx="6">
                  <c:v>2026</c:v>
                </c:pt>
              </c:numCache>
            </c:numRef>
          </c:cat>
          <c:val>
            <c:numRef>
              <c:f>BDP_doprinosi!$AE$35:$AK$35</c:f>
              <c:numCache>
                <c:formatCode>0.0</c:formatCode>
                <c:ptCount val="7"/>
                <c:pt idx="0">
                  <c:v>0.10531165255688558</c:v>
                </c:pt>
                <c:pt idx="1">
                  <c:v>1.2275105576497753</c:v>
                </c:pt>
                <c:pt idx="2">
                  <c:v>0.35113010082165297</c:v>
                </c:pt>
                <c:pt idx="3">
                  <c:v>0.42280658153280765</c:v>
                </c:pt>
                <c:pt idx="4">
                  <c:v>0.72481128262767025</c:v>
                </c:pt>
                <c:pt idx="5">
                  <c:v>1.0872169239415055</c:v>
                </c:pt>
                <c:pt idx="6">
                  <c:v>1.115404029377026</c:v>
                </c:pt>
              </c:numCache>
            </c:numRef>
          </c:val>
          <c:extLst>
            <c:ext xmlns:c16="http://schemas.microsoft.com/office/drawing/2014/chart" uri="{C3380CC4-5D6E-409C-BE32-E72D297353CC}">
              <c16:uniqueId val="{00000001-2976-41C3-A9B2-86D303B93CC2}"/>
            </c:ext>
          </c:extLst>
        </c:ser>
        <c:ser>
          <c:idx val="2"/>
          <c:order val="2"/>
          <c:tx>
            <c:strRef>
              <c:f>BDP_doprinosi!$R$36</c:f>
              <c:strCache>
                <c:ptCount val="1"/>
                <c:pt idx="0">
                  <c:v>Грађевинарство</c:v>
                </c:pt>
              </c:strCache>
            </c:strRef>
          </c:tx>
          <c:spPr>
            <a:solidFill>
              <a:srgbClr val="2183C4"/>
            </a:solidFill>
            <a:ln>
              <a:noFill/>
            </a:ln>
            <a:effectLst/>
          </c:spPr>
          <c:invertIfNegative val="0"/>
          <c:cat>
            <c:numRef>
              <c:f>BDP_doprinosi!$AE$33:$AK$33</c:f>
              <c:numCache>
                <c:formatCode>General</c:formatCode>
                <c:ptCount val="7"/>
                <c:pt idx="0">
                  <c:v>2020</c:v>
                </c:pt>
                <c:pt idx="1">
                  <c:v>2021</c:v>
                </c:pt>
                <c:pt idx="2">
                  <c:v>2022</c:v>
                </c:pt>
                <c:pt idx="3">
                  <c:v>2023</c:v>
                </c:pt>
                <c:pt idx="4">
                  <c:v>2024</c:v>
                </c:pt>
                <c:pt idx="5">
                  <c:v>2025</c:v>
                </c:pt>
                <c:pt idx="6">
                  <c:v>2026</c:v>
                </c:pt>
              </c:numCache>
            </c:numRef>
          </c:cat>
          <c:val>
            <c:numRef>
              <c:f>BDP_doprinosi!$AE$36:$AK$36</c:f>
              <c:numCache>
                <c:formatCode>0.0</c:formatCode>
                <c:ptCount val="7"/>
                <c:pt idx="0">
                  <c:v>-0.18747252948257079</c:v>
                </c:pt>
                <c:pt idx="1">
                  <c:v>0.95949670248185714</c:v>
                </c:pt>
                <c:pt idx="2">
                  <c:v>-0.58732029689570664</c:v>
                </c:pt>
                <c:pt idx="3">
                  <c:v>4.7015975740353377E-2</c:v>
                </c:pt>
                <c:pt idx="4">
                  <c:v>0.28428264401143905</c:v>
                </c:pt>
                <c:pt idx="5">
                  <c:v>0.32255146147451735</c:v>
                </c:pt>
                <c:pt idx="6">
                  <c:v>0.38815514855408018</c:v>
                </c:pt>
              </c:numCache>
            </c:numRef>
          </c:val>
          <c:extLst>
            <c:ext xmlns:c16="http://schemas.microsoft.com/office/drawing/2014/chart" uri="{C3380CC4-5D6E-409C-BE32-E72D297353CC}">
              <c16:uniqueId val="{00000002-2976-41C3-A9B2-86D303B93CC2}"/>
            </c:ext>
          </c:extLst>
        </c:ser>
        <c:ser>
          <c:idx val="3"/>
          <c:order val="3"/>
          <c:tx>
            <c:strRef>
              <c:f>BDP_doprinosi!$R$37</c:f>
              <c:strCache>
                <c:ptCount val="1"/>
                <c:pt idx="0">
                  <c:v>Услуге</c:v>
                </c:pt>
              </c:strCache>
            </c:strRef>
          </c:tx>
          <c:spPr>
            <a:solidFill>
              <a:srgbClr val="51BBE7"/>
            </a:solidFill>
            <a:ln>
              <a:noFill/>
            </a:ln>
            <a:effectLst/>
          </c:spPr>
          <c:invertIfNegative val="0"/>
          <c:cat>
            <c:numRef>
              <c:f>BDP_doprinosi!$AE$33:$AK$33</c:f>
              <c:numCache>
                <c:formatCode>General</c:formatCode>
                <c:ptCount val="7"/>
                <c:pt idx="0">
                  <c:v>2020</c:v>
                </c:pt>
                <c:pt idx="1">
                  <c:v>2021</c:v>
                </c:pt>
                <c:pt idx="2">
                  <c:v>2022</c:v>
                </c:pt>
                <c:pt idx="3">
                  <c:v>2023</c:v>
                </c:pt>
                <c:pt idx="4">
                  <c:v>2024</c:v>
                </c:pt>
                <c:pt idx="5">
                  <c:v>2025</c:v>
                </c:pt>
                <c:pt idx="6">
                  <c:v>2026</c:v>
                </c:pt>
              </c:numCache>
            </c:numRef>
          </c:cat>
          <c:val>
            <c:numRef>
              <c:f>BDP_doprinosi!$AE$37:$AK$37</c:f>
              <c:numCache>
                <c:formatCode>0.0</c:formatCode>
                <c:ptCount val="7"/>
                <c:pt idx="0">
                  <c:v>-0.55831807615929374</c:v>
                </c:pt>
                <c:pt idx="1">
                  <c:v>4.3280934358140177</c:v>
                </c:pt>
                <c:pt idx="2">
                  <c:v>2.3060949184206749</c:v>
                </c:pt>
                <c:pt idx="3">
                  <c:v>1.2735944855718304</c:v>
                </c:pt>
                <c:pt idx="4">
                  <c:v>1.9358636180691819</c:v>
                </c:pt>
                <c:pt idx="5">
                  <c:v>2.0377511769149286</c:v>
                </c:pt>
                <c:pt idx="6">
                  <c:v>2.1600162475298244</c:v>
                </c:pt>
              </c:numCache>
            </c:numRef>
          </c:val>
          <c:extLst>
            <c:ext xmlns:c16="http://schemas.microsoft.com/office/drawing/2014/chart" uri="{C3380CC4-5D6E-409C-BE32-E72D297353CC}">
              <c16:uniqueId val="{00000003-2976-41C3-A9B2-86D303B93CC2}"/>
            </c:ext>
          </c:extLst>
        </c:ser>
        <c:ser>
          <c:idx val="4"/>
          <c:order val="4"/>
          <c:tx>
            <c:strRef>
              <c:f>BDP_doprinosi!$R$38</c:f>
              <c:strCache>
                <c:ptCount val="1"/>
                <c:pt idx="0">
                  <c:v>Нето порези</c:v>
                </c:pt>
              </c:strCache>
            </c:strRef>
          </c:tx>
          <c:spPr>
            <a:solidFill>
              <a:srgbClr val="9ED1E6"/>
            </a:solidFill>
            <a:ln>
              <a:noFill/>
            </a:ln>
            <a:effectLst/>
          </c:spPr>
          <c:invertIfNegative val="0"/>
          <c:cat>
            <c:numRef>
              <c:f>BDP_doprinosi!$AE$33:$AK$33</c:f>
              <c:numCache>
                <c:formatCode>General</c:formatCode>
                <c:ptCount val="7"/>
                <c:pt idx="0">
                  <c:v>2020</c:v>
                </c:pt>
                <c:pt idx="1">
                  <c:v>2021</c:v>
                </c:pt>
                <c:pt idx="2">
                  <c:v>2022</c:v>
                </c:pt>
                <c:pt idx="3">
                  <c:v>2023</c:v>
                </c:pt>
                <c:pt idx="4">
                  <c:v>2024</c:v>
                </c:pt>
                <c:pt idx="5">
                  <c:v>2025</c:v>
                </c:pt>
                <c:pt idx="6">
                  <c:v>2026</c:v>
                </c:pt>
              </c:numCache>
            </c:numRef>
          </c:cat>
          <c:val>
            <c:numRef>
              <c:f>BDP_doprinosi!$AE$38:$AK$38</c:f>
              <c:numCache>
                <c:formatCode>0.0</c:formatCode>
                <c:ptCount val="7"/>
                <c:pt idx="0">
                  <c:v>-0.40121008479588849</c:v>
                </c:pt>
                <c:pt idx="1">
                  <c:v>1.3946299004168881</c:v>
                </c:pt>
                <c:pt idx="2">
                  <c:v>0.70321323381155765</c:v>
                </c:pt>
                <c:pt idx="3">
                  <c:v>0.33690838031734011</c:v>
                </c:pt>
                <c:pt idx="4">
                  <c:v>0.50880041109149321</c:v>
                </c:pt>
                <c:pt idx="5">
                  <c:v>0.51567609232245937</c:v>
                </c:pt>
                <c:pt idx="6">
                  <c:v>0.59130858586308677</c:v>
                </c:pt>
              </c:numCache>
            </c:numRef>
          </c:val>
          <c:extLst>
            <c:ext xmlns:c16="http://schemas.microsoft.com/office/drawing/2014/chart" uri="{C3380CC4-5D6E-409C-BE32-E72D297353CC}">
              <c16:uniqueId val="{00000004-2976-41C3-A9B2-86D303B93CC2}"/>
            </c:ext>
          </c:extLst>
        </c:ser>
        <c:dLbls>
          <c:showLegendKey val="0"/>
          <c:showVal val="0"/>
          <c:showCatName val="0"/>
          <c:showSerName val="0"/>
          <c:showPercent val="0"/>
          <c:showBubbleSize val="0"/>
        </c:dLbls>
        <c:gapWidth val="60"/>
        <c:overlap val="100"/>
        <c:axId val="1768857792"/>
        <c:axId val="1768858336"/>
      </c:barChart>
      <c:lineChart>
        <c:grouping val="standard"/>
        <c:varyColors val="0"/>
        <c:ser>
          <c:idx val="5"/>
          <c:order val="5"/>
          <c:tx>
            <c:strRef>
              <c:f>BDP_doprinosi!$R$39</c:f>
              <c:strCache>
                <c:ptCount val="1"/>
                <c:pt idx="0">
                  <c:v>Реални раст БДП</c:v>
                </c:pt>
              </c:strCache>
            </c:strRef>
          </c:tx>
          <c:spPr>
            <a:ln w="25400" cap="rnd">
              <a:solidFill>
                <a:srgbClr val="FF0000"/>
              </a:solidFill>
              <a:round/>
            </a:ln>
            <a:effectLst/>
          </c:spPr>
          <c:marker>
            <c:symbol val="none"/>
          </c:marker>
          <c:dLbls>
            <c:dLbl>
              <c:idx val="0"/>
              <c:layout>
                <c:manualLayout>
                  <c:x val="-6.6898148148148151E-2"/>
                  <c:y val="5.154978232065114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976-41C3-A9B2-86D303B93CC2}"/>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BDP_doprinosi!$AE$33:$AK$33</c:f>
              <c:numCache>
                <c:formatCode>General</c:formatCode>
                <c:ptCount val="7"/>
                <c:pt idx="0">
                  <c:v>2020</c:v>
                </c:pt>
                <c:pt idx="1">
                  <c:v>2021</c:v>
                </c:pt>
                <c:pt idx="2">
                  <c:v>2022</c:v>
                </c:pt>
                <c:pt idx="3">
                  <c:v>2023</c:v>
                </c:pt>
                <c:pt idx="4">
                  <c:v>2024</c:v>
                </c:pt>
                <c:pt idx="5">
                  <c:v>2025</c:v>
                </c:pt>
                <c:pt idx="6">
                  <c:v>2026</c:v>
                </c:pt>
              </c:numCache>
            </c:numRef>
          </c:cat>
          <c:val>
            <c:numRef>
              <c:f>BDP_doprinosi!$AE$39:$AK$39</c:f>
              <c:numCache>
                <c:formatCode>0.0</c:formatCode>
                <c:ptCount val="7"/>
                <c:pt idx="0">
                  <c:v>-0.90321970213587122</c:v>
                </c:pt>
                <c:pt idx="1">
                  <c:v>7.5499121077977662</c:v>
                </c:pt>
                <c:pt idx="2">
                  <c:v>2.2514478562232227</c:v>
                </c:pt>
                <c:pt idx="3">
                  <c:v>2.5102002461638659</c:v>
                </c:pt>
                <c:pt idx="4">
                  <c:v>3.510155527330598</c:v>
                </c:pt>
                <c:pt idx="5">
                  <c:v>3.9631956546534108</c:v>
                </c:pt>
                <c:pt idx="6">
                  <c:v>4.2548840113240169</c:v>
                </c:pt>
              </c:numCache>
            </c:numRef>
          </c:val>
          <c:smooth val="0"/>
          <c:extLst>
            <c:ext xmlns:c16="http://schemas.microsoft.com/office/drawing/2014/chart" uri="{C3380CC4-5D6E-409C-BE32-E72D297353CC}">
              <c16:uniqueId val="{00000006-2976-41C3-A9B2-86D303B93CC2}"/>
            </c:ext>
          </c:extLst>
        </c:ser>
        <c:dLbls>
          <c:showLegendKey val="0"/>
          <c:showVal val="0"/>
          <c:showCatName val="0"/>
          <c:showSerName val="0"/>
          <c:showPercent val="0"/>
          <c:showBubbleSize val="0"/>
        </c:dLbls>
        <c:marker val="1"/>
        <c:smooth val="0"/>
        <c:axId val="1768857792"/>
        <c:axId val="1768858336"/>
      </c:lineChart>
      <c:catAx>
        <c:axId val="1768857792"/>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8336"/>
        <c:crosses val="autoZero"/>
        <c:auto val="1"/>
        <c:lblAlgn val="ctr"/>
        <c:lblOffset val="100"/>
        <c:noMultiLvlLbl val="0"/>
      </c:catAx>
      <c:valAx>
        <c:axId val="1768858336"/>
        <c:scaling>
          <c:orientation val="minMax"/>
          <c:max val="8"/>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792"/>
        <c:crosses val="autoZero"/>
        <c:crossBetween val="between"/>
        <c:majorUnit val="2"/>
      </c:valAx>
      <c:spPr>
        <a:noFill/>
        <a:ln>
          <a:noFill/>
        </a:ln>
        <a:effectLst/>
      </c:spPr>
    </c:plotArea>
    <c:legend>
      <c:legendPos val="b"/>
      <c:layout>
        <c:manualLayout>
          <c:xMode val="edge"/>
          <c:yMode val="edge"/>
          <c:x val="2.9349664625255175E-2"/>
          <c:y val="0.83022713506965473"/>
          <c:w val="0.93586103820355804"/>
          <c:h val="0.1668034524530587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4217259528330458E-2"/>
          <c:y val="6.7551982074010614E-2"/>
          <c:w val="0.91156548094333911"/>
          <c:h val="0.82429264255212753"/>
        </c:manualLayout>
      </c:layout>
      <c:areaChart>
        <c:grouping val="stacked"/>
        <c:varyColors val="0"/>
        <c:ser>
          <c:idx val="0"/>
          <c:order val="1"/>
          <c:tx>
            <c:strRef>
              <c:f>'fan chart srbija'!$G$4</c:f>
              <c:strCache>
                <c:ptCount val="1"/>
                <c:pt idx="0">
                  <c:v>dno</c:v>
                </c:pt>
              </c:strCache>
            </c:strRef>
          </c:tx>
          <c:spPr>
            <a:noFill/>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srbija'!$G$8:$G$15</c:f>
              <c:numCache>
                <c:formatCode>0.0</c:formatCode>
                <c:ptCount val="8"/>
                <c:pt idx="0">
                  <c:v>4.3</c:v>
                </c:pt>
                <c:pt idx="1">
                  <c:v>-0.9</c:v>
                </c:pt>
                <c:pt idx="2">
                  <c:v>7.5</c:v>
                </c:pt>
                <c:pt idx="3">
                  <c:v>2.1</c:v>
                </c:pt>
                <c:pt idx="4">
                  <c:v>1.2</c:v>
                </c:pt>
                <c:pt idx="5">
                  <c:v>1.3</c:v>
                </c:pt>
                <c:pt idx="6">
                  <c:v>1.3</c:v>
                </c:pt>
                <c:pt idx="7">
                  <c:v>1.5</c:v>
                </c:pt>
              </c:numCache>
            </c:numRef>
          </c:val>
          <c:extLst>
            <c:ext xmlns:c16="http://schemas.microsoft.com/office/drawing/2014/chart" uri="{C3380CC4-5D6E-409C-BE32-E72D297353CC}">
              <c16:uniqueId val="{00000000-FCB5-42F7-AF11-9C5D0075FEE1}"/>
            </c:ext>
          </c:extLst>
        </c:ser>
        <c:ser>
          <c:idx val="2"/>
          <c:order val="2"/>
          <c:tx>
            <c:strRef>
              <c:f>'fan chart srbija'!$H$4</c:f>
              <c:strCache>
                <c:ptCount val="1"/>
                <c:pt idx="0">
                  <c:v>90</c:v>
                </c:pt>
              </c:strCache>
            </c:strRef>
          </c:tx>
          <c:spPr>
            <a:solidFill>
              <a:srgbClr val="FFF1F1"/>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srbija'!$H$8:$H$15</c:f>
              <c:numCache>
                <c:formatCode>0.0</c:formatCode>
                <c:ptCount val="8"/>
                <c:pt idx="0">
                  <c:v>0</c:v>
                </c:pt>
                <c:pt idx="1">
                  <c:v>0</c:v>
                </c:pt>
                <c:pt idx="2">
                  <c:v>0</c:v>
                </c:pt>
                <c:pt idx="3">
                  <c:v>0.2</c:v>
                </c:pt>
                <c:pt idx="4">
                  <c:v>0.3</c:v>
                </c:pt>
                <c:pt idx="5">
                  <c:v>0.6</c:v>
                </c:pt>
                <c:pt idx="6">
                  <c:v>0.8</c:v>
                </c:pt>
                <c:pt idx="7">
                  <c:v>1</c:v>
                </c:pt>
              </c:numCache>
            </c:numRef>
          </c:val>
          <c:extLst>
            <c:ext xmlns:c16="http://schemas.microsoft.com/office/drawing/2014/chart" uri="{C3380CC4-5D6E-409C-BE32-E72D297353CC}">
              <c16:uniqueId val="{00000001-FCB5-42F7-AF11-9C5D0075FEE1}"/>
            </c:ext>
          </c:extLst>
        </c:ser>
        <c:ser>
          <c:idx val="3"/>
          <c:order val="3"/>
          <c:tx>
            <c:strRef>
              <c:f>'fan chart srbija'!$I$4</c:f>
              <c:strCache>
                <c:ptCount val="1"/>
                <c:pt idx="0">
                  <c:v>80</c:v>
                </c:pt>
              </c:strCache>
            </c:strRef>
          </c:tx>
          <c:spPr>
            <a:solidFill>
              <a:srgbClr val="FFD5D5"/>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srbija'!$I$8:$I$15</c:f>
              <c:numCache>
                <c:formatCode>0.0</c:formatCode>
                <c:ptCount val="8"/>
                <c:pt idx="0">
                  <c:v>0</c:v>
                </c:pt>
                <c:pt idx="1">
                  <c:v>0</c:v>
                </c:pt>
                <c:pt idx="2">
                  <c:v>0</c:v>
                </c:pt>
                <c:pt idx="3">
                  <c:v>0.1</c:v>
                </c:pt>
                <c:pt idx="4">
                  <c:v>0.2</c:v>
                </c:pt>
                <c:pt idx="5">
                  <c:v>0.6</c:v>
                </c:pt>
                <c:pt idx="6">
                  <c:v>0.7</c:v>
                </c:pt>
                <c:pt idx="7">
                  <c:v>0.8</c:v>
                </c:pt>
              </c:numCache>
            </c:numRef>
          </c:val>
          <c:extLst>
            <c:ext xmlns:c16="http://schemas.microsoft.com/office/drawing/2014/chart" uri="{C3380CC4-5D6E-409C-BE32-E72D297353CC}">
              <c16:uniqueId val="{00000002-FCB5-42F7-AF11-9C5D0075FEE1}"/>
            </c:ext>
          </c:extLst>
        </c:ser>
        <c:ser>
          <c:idx val="4"/>
          <c:order val="4"/>
          <c:tx>
            <c:strRef>
              <c:f>'fan chart srbija'!$J$4</c:f>
              <c:strCache>
                <c:ptCount val="1"/>
                <c:pt idx="0">
                  <c:v>70</c:v>
                </c:pt>
              </c:strCache>
            </c:strRef>
          </c:tx>
          <c:spPr>
            <a:solidFill>
              <a:srgbClr val="FFAFAF"/>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srbija'!$J$8:$J$15</c:f>
              <c:numCache>
                <c:formatCode>0.0</c:formatCode>
                <c:ptCount val="8"/>
                <c:pt idx="0">
                  <c:v>0</c:v>
                </c:pt>
                <c:pt idx="1">
                  <c:v>0</c:v>
                </c:pt>
                <c:pt idx="2">
                  <c:v>0</c:v>
                </c:pt>
                <c:pt idx="3">
                  <c:v>0</c:v>
                </c:pt>
                <c:pt idx="4">
                  <c:v>0.1</c:v>
                </c:pt>
                <c:pt idx="5">
                  <c:v>0.3</c:v>
                </c:pt>
                <c:pt idx="6">
                  <c:v>0.4</c:v>
                </c:pt>
                <c:pt idx="7">
                  <c:v>0.5</c:v>
                </c:pt>
              </c:numCache>
            </c:numRef>
          </c:val>
          <c:extLst>
            <c:ext xmlns:c16="http://schemas.microsoft.com/office/drawing/2014/chart" uri="{C3380CC4-5D6E-409C-BE32-E72D297353CC}">
              <c16:uniqueId val="{00000003-FCB5-42F7-AF11-9C5D0075FEE1}"/>
            </c:ext>
          </c:extLst>
        </c:ser>
        <c:ser>
          <c:idx val="5"/>
          <c:order val="5"/>
          <c:tx>
            <c:strRef>
              <c:f>'fan chart srbija'!$K$4</c:f>
              <c:strCache>
                <c:ptCount val="1"/>
                <c:pt idx="0">
                  <c:v>60</c:v>
                </c:pt>
              </c:strCache>
            </c:strRef>
          </c:tx>
          <c:spPr>
            <a:solidFill>
              <a:srgbClr val="FF7D7D"/>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srbija'!$K$8:$K$15</c:f>
              <c:numCache>
                <c:formatCode>0.0</c:formatCode>
                <c:ptCount val="8"/>
                <c:pt idx="0">
                  <c:v>0</c:v>
                </c:pt>
                <c:pt idx="1">
                  <c:v>0</c:v>
                </c:pt>
                <c:pt idx="2">
                  <c:v>0</c:v>
                </c:pt>
                <c:pt idx="3">
                  <c:v>0</c:v>
                </c:pt>
                <c:pt idx="4">
                  <c:v>0.1</c:v>
                </c:pt>
                <c:pt idx="5">
                  <c:v>0.1</c:v>
                </c:pt>
                <c:pt idx="6">
                  <c:v>0.2</c:v>
                </c:pt>
                <c:pt idx="7">
                  <c:v>0.2</c:v>
                </c:pt>
              </c:numCache>
            </c:numRef>
          </c:val>
          <c:extLst>
            <c:ext xmlns:c16="http://schemas.microsoft.com/office/drawing/2014/chart" uri="{C3380CC4-5D6E-409C-BE32-E72D297353CC}">
              <c16:uniqueId val="{00000004-FCB5-42F7-AF11-9C5D0075FEE1}"/>
            </c:ext>
          </c:extLst>
        </c:ser>
        <c:ser>
          <c:idx val="6"/>
          <c:order val="6"/>
          <c:tx>
            <c:strRef>
              <c:f>'fan chart srbija'!$L$4</c:f>
              <c:strCache>
                <c:ptCount val="1"/>
                <c:pt idx="0">
                  <c:v>50</c:v>
                </c:pt>
              </c:strCache>
            </c:strRef>
          </c:tx>
          <c:spPr>
            <a:solidFill>
              <a:srgbClr val="FF4747"/>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srbija'!$L$8:$L$15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5-FCB5-42F7-AF11-9C5D0075FEE1}"/>
            </c:ext>
          </c:extLst>
        </c:ser>
        <c:ser>
          <c:idx val="7"/>
          <c:order val="7"/>
          <c:tx>
            <c:strRef>
              <c:f>'fan chart srbija'!$M$4</c:f>
              <c:strCache>
                <c:ptCount val="1"/>
                <c:pt idx="0">
                  <c:v>40</c:v>
                </c:pt>
              </c:strCache>
            </c:strRef>
          </c:tx>
          <c:spPr>
            <a:solidFill>
              <a:srgbClr val="C0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srbija'!$M$8:$M$15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6-FCB5-42F7-AF11-9C5D0075FEE1}"/>
            </c:ext>
          </c:extLst>
        </c:ser>
        <c:ser>
          <c:idx val="8"/>
          <c:order val="8"/>
          <c:tx>
            <c:strRef>
              <c:f>'fan chart srbija'!$N$4</c:f>
              <c:strCache>
                <c:ptCount val="1"/>
                <c:pt idx="0">
                  <c:v>30</c:v>
                </c:pt>
              </c:strCache>
            </c:strRef>
          </c:tx>
          <c:spPr>
            <a:solidFill>
              <a:srgbClr val="74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srbija'!$N$8:$N$15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7-FCB5-42F7-AF11-9C5D0075FEE1}"/>
            </c:ext>
          </c:extLst>
        </c:ser>
        <c:ser>
          <c:idx val="9"/>
          <c:order val="9"/>
          <c:tx>
            <c:strRef>
              <c:f>'fan chart srbija'!$O$4</c:f>
              <c:strCache>
                <c:ptCount val="1"/>
                <c:pt idx="0">
                  <c:v>20</c:v>
                </c:pt>
              </c:strCache>
            </c:strRef>
          </c:tx>
          <c:spPr>
            <a:solidFill>
              <a:srgbClr val="46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srbija'!$O$8:$O$15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8-FCB5-42F7-AF11-9C5D0075FEE1}"/>
            </c:ext>
          </c:extLst>
        </c:ser>
        <c:ser>
          <c:idx val="10"/>
          <c:order val="10"/>
          <c:tx>
            <c:strRef>
              <c:f>'fan chart srbija'!$P$4</c:f>
              <c:strCache>
                <c:ptCount val="1"/>
                <c:pt idx="0">
                  <c:v>10</c:v>
                </c:pt>
              </c:strCache>
            </c:strRef>
          </c:tx>
          <c:spPr>
            <a:solidFill>
              <a:srgbClr val="14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srbija'!$P$8:$P$15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9-FCB5-42F7-AF11-9C5D0075FEE1}"/>
            </c:ext>
          </c:extLst>
        </c:ser>
        <c:ser>
          <c:idx val="11"/>
          <c:order val="11"/>
          <c:tx>
            <c:strRef>
              <c:f>'fan chart srbija'!$Q$4</c:f>
              <c:strCache>
                <c:ptCount val="1"/>
                <c:pt idx="0">
                  <c:v>10</c:v>
                </c:pt>
              </c:strCache>
            </c:strRef>
          </c:tx>
          <c:spPr>
            <a:solidFill>
              <a:srgbClr val="14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srbija'!$Q$8:$Q$15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A-FCB5-42F7-AF11-9C5D0075FEE1}"/>
            </c:ext>
          </c:extLst>
        </c:ser>
        <c:ser>
          <c:idx val="12"/>
          <c:order val="12"/>
          <c:tx>
            <c:strRef>
              <c:f>'fan chart srbija'!$R$4</c:f>
              <c:strCache>
                <c:ptCount val="1"/>
                <c:pt idx="0">
                  <c:v>20</c:v>
                </c:pt>
              </c:strCache>
            </c:strRef>
          </c:tx>
          <c:spPr>
            <a:solidFill>
              <a:srgbClr val="46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srbija'!$R$8:$R$15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B-FCB5-42F7-AF11-9C5D0075FEE1}"/>
            </c:ext>
          </c:extLst>
        </c:ser>
        <c:ser>
          <c:idx val="13"/>
          <c:order val="13"/>
          <c:tx>
            <c:strRef>
              <c:f>'fan chart srbija'!$S$4</c:f>
              <c:strCache>
                <c:ptCount val="1"/>
                <c:pt idx="0">
                  <c:v>30</c:v>
                </c:pt>
              </c:strCache>
            </c:strRef>
          </c:tx>
          <c:spPr>
            <a:solidFill>
              <a:srgbClr val="74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srbija'!$S$8:$S$15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C-FCB5-42F7-AF11-9C5D0075FEE1}"/>
            </c:ext>
          </c:extLst>
        </c:ser>
        <c:ser>
          <c:idx val="14"/>
          <c:order val="14"/>
          <c:tx>
            <c:strRef>
              <c:f>'fan chart srbija'!$T$4</c:f>
              <c:strCache>
                <c:ptCount val="1"/>
                <c:pt idx="0">
                  <c:v>40</c:v>
                </c:pt>
              </c:strCache>
            </c:strRef>
          </c:tx>
          <c:spPr>
            <a:solidFill>
              <a:srgbClr val="C0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srbija'!$T$8:$T$15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D-FCB5-42F7-AF11-9C5D0075FEE1}"/>
            </c:ext>
          </c:extLst>
        </c:ser>
        <c:ser>
          <c:idx val="15"/>
          <c:order val="15"/>
          <c:tx>
            <c:strRef>
              <c:f>'fan chart srbija'!$U$4</c:f>
              <c:strCache>
                <c:ptCount val="1"/>
                <c:pt idx="0">
                  <c:v>50</c:v>
                </c:pt>
              </c:strCache>
            </c:strRef>
          </c:tx>
          <c:spPr>
            <a:solidFill>
              <a:srgbClr val="FF4747"/>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srbija'!$U$8:$U$15</c:f>
              <c:numCache>
                <c:formatCode>0.0</c:formatCode>
                <c:ptCount val="8"/>
                <c:pt idx="0">
                  <c:v>0</c:v>
                </c:pt>
                <c:pt idx="1">
                  <c:v>0</c:v>
                </c:pt>
                <c:pt idx="2">
                  <c:v>0</c:v>
                </c:pt>
                <c:pt idx="3">
                  <c:v>0</c:v>
                </c:pt>
                <c:pt idx="4">
                  <c:v>0.1</c:v>
                </c:pt>
                <c:pt idx="5">
                  <c:v>0.2</c:v>
                </c:pt>
                <c:pt idx="6">
                  <c:v>0.1</c:v>
                </c:pt>
                <c:pt idx="7">
                  <c:v>0.1</c:v>
                </c:pt>
              </c:numCache>
            </c:numRef>
          </c:val>
          <c:extLst>
            <c:ext xmlns:c16="http://schemas.microsoft.com/office/drawing/2014/chart" uri="{C3380CC4-5D6E-409C-BE32-E72D297353CC}">
              <c16:uniqueId val="{0000000E-FCB5-42F7-AF11-9C5D0075FEE1}"/>
            </c:ext>
          </c:extLst>
        </c:ser>
        <c:ser>
          <c:idx val="16"/>
          <c:order val="16"/>
          <c:tx>
            <c:strRef>
              <c:f>'fan chart srbija'!$V$4</c:f>
              <c:strCache>
                <c:ptCount val="1"/>
                <c:pt idx="0">
                  <c:v>60</c:v>
                </c:pt>
              </c:strCache>
            </c:strRef>
          </c:tx>
          <c:spPr>
            <a:solidFill>
              <a:srgbClr val="FF7D7D"/>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srbija'!$V$8:$V$15</c:f>
              <c:numCache>
                <c:formatCode>0.0</c:formatCode>
                <c:ptCount val="8"/>
                <c:pt idx="0">
                  <c:v>0</c:v>
                </c:pt>
                <c:pt idx="1">
                  <c:v>0</c:v>
                </c:pt>
                <c:pt idx="2">
                  <c:v>0</c:v>
                </c:pt>
                <c:pt idx="3">
                  <c:v>0</c:v>
                </c:pt>
                <c:pt idx="4">
                  <c:v>0.1</c:v>
                </c:pt>
                <c:pt idx="5">
                  <c:v>0.3</c:v>
                </c:pt>
                <c:pt idx="6">
                  <c:v>0.2</c:v>
                </c:pt>
                <c:pt idx="7">
                  <c:v>0.2</c:v>
                </c:pt>
              </c:numCache>
            </c:numRef>
          </c:val>
          <c:extLst>
            <c:ext xmlns:c16="http://schemas.microsoft.com/office/drawing/2014/chart" uri="{C3380CC4-5D6E-409C-BE32-E72D297353CC}">
              <c16:uniqueId val="{0000000F-FCB5-42F7-AF11-9C5D0075FEE1}"/>
            </c:ext>
          </c:extLst>
        </c:ser>
        <c:ser>
          <c:idx val="17"/>
          <c:order val="17"/>
          <c:tx>
            <c:strRef>
              <c:f>'fan chart srbija'!$W$4</c:f>
              <c:strCache>
                <c:ptCount val="1"/>
                <c:pt idx="0">
                  <c:v>70</c:v>
                </c:pt>
              </c:strCache>
            </c:strRef>
          </c:tx>
          <c:spPr>
            <a:solidFill>
              <a:srgbClr val="FFAFAF"/>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srbija'!$W$8:$W$15</c:f>
              <c:numCache>
                <c:formatCode>0.0</c:formatCode>
                <c:ptCount val="8"/>
                <c:pt idx="0">
                  <c:v>0</c:v>
                </c:pt>
                <c:pt idx="1">
                  <c:v>0</c:v>
                </c:pt>
                <c:pt idx="2">
                  <c:v>0</c:v>
                </c:pt>
                <c:pt idx="3">
                  <c:v>0</c:v>
                </c:pt>
                <c:pt idx="4">
                  <c:v>0.2</c:v>
                </c:pt>
                <c:pt idx="5">
                  <c:v>0.3</c:v>
                </c:pt>
                <c:pt idx="6">
                  <c:v>0.4</c:v>
                </c:pt>
                <c:pt idx="7">
                  <c:v>0.5</c:v>
                </c:pt>
              </c:numCache>
            </c:numRef>
          </c:val>
          <c:extLst>
            <c:ext xmlns:c16="http://schemas.microsoft.com/office/drawing/2014/chart" uri="{C3380CC4-5D6E-409C-BE32-E72D297353CC}">
              <c16:uniqueId val="{00000010-FCB5-42F7-AF11-9C5D0075FEE1}"/>
            </c:ext>
          </c:extLst>
        </c:ser>
        <c:ser>
          <c:idx val="18"/>
          <c:order val="18"/>
          <c:tx>
            <c:strRef>
              <c:f>'fan chart srbija'!$X$4</c:f>
              <c:strCache>
                <c:ptCount val="1"/>
                <c:pt idx="0">
                  <c:v>80</c:v>
                </c:pt>
              </c:strCache>
            </c:strRef>
          </c:tx>
          <c:spPr>
            <a:solidFill>
              <a:srgbClr val="FFD5D5"/>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srbija'!$X$8:$X$15</c:f>
              <c:numCache>
                <c:formatCode>0.0</c:formatCode>
                <c:ptCount val="8"/>
                <c:pt idx="0">
                  <c:v>0</c:v>
                </c:pt>
                <c:pt idx="1">
                  <c:v>0</c:v>
                </c:pt>
                <c:pt idx="2">
                  <c:v>0</c:v>
                </c:pt>
                <c:pt idx="3">
                  <c:v>0.1</c:v>
                </c:pt>
                <c:pt idx="4">
                  <c:v>0.2</c:v>
                </c:pt>
                <c:pt idx="5">
                  <c:v>0.6</c:v>
                </c:pt>
                <c:pt idx="6">
                  <c:v>0.7</c:v>
                </c:pt>
                <c:pt idx="7">
                  <c:v>0.8</c:v>
                </c:pt>
              </c:numCache>
            </c:numRef>
          </c:val>
          <c:extLst>
            <c:ext xmlns:c16="http://schemas.microsoft.com/office/drawing/2014/chart" uri="{C3380CC4-5D6E-409C-BE32-E72D297353CC}">
              <c16:uniqueId val="{00000011-FCB5-42F7-AF11-9C5D0075FEE1}"/>
            </c:ext>
          </c:extLst>
        </c:ser>
        <c:ser>
          <c:idx val="19"/>
          <c:order val="19"/>
          <c:tx>
            <c:strRef>
              <c:f>'fan chart srbija'!$Y$4</c:f>
              <c:strCache>
                <c:ptCount val="1"/>
                <c:pt idx="0">
                  <c:v>90</c:v>
                </c:pt>
              </c:strCache>
            </c:strRef>
          </c:tx>
          <c:spPr>
            <a:solidFill>
              <a:srgbClr val="FFF1F1"/>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srbija'!$Y$8:$Y$15</c:f>
              <c:numCache>
                <c:formatCode>0.0</c:formatCode>
                <c:ptCount val="8"/>
                <c:pt idx="0">
                  <c:v>0</c:v>
                </c:pt>
                <c:pt idx="1">
                  <c:v>0</c:v>
                </c:pt>
                <c:pt idx="2">
                  <c:v>0</c:v>
                </c:pt>
                <c:pt idx="3">
                  <c:v>0.2</c:v>
                </c:pt>
                <c:pt idx="4">
                  <c:v>0.3</c:v>
                </c:pt>
                <c:pt idx="5">
                  <c:v>0.6</c:v>
                </c:pt>
                <c:pt idx="6">
                  <c:v>0.8</c:v>
                </c:pt>
                <c:pt idx="7">
                  <c:v>1</c:v>
                </c:pt>
              </c:numCache>
            </c:numRef>
          </c:val>
          <c:extLst>
            <c:ext xmlns:c16="http://schemas.microsoft.com/office/drawing/2014/chart" uri="{C3380CC4-5D6E-409C-BE32-E72D297353CC}">
              <c16:uniqueId val="{00000012-FCB5-42F7-AF11-9C5D0075FEE1}"/>
            </c:ext>
          </c:extLst>
        </c:ser>
        <c:dLbls>
          <c:showLegendKey val="0"/>
          <c:showVal val="0"/>
          <c:showCatName val="0"/>
          <c:showSerName val="0"/>
          <c:showPercent val="0"/>
          <c:showBubbleSize val="0"/>
        </c:dLbls>
        <c:axId val="1761020848"/>
        <c:axId val="1761011056"/>
      </c:areaChart>
      <c:lineChart>
        <c:grouping val="standard"/>
        <c:varyColors val="0"/>
        <c:ser>
          <c:idx val="1"/>
          <c:order val="0"/>
          <c:tx>
            <c:strRef>
              <c:f>'fan chart srbija'!$F$4</c:f>
              <c:strCache>
                <c:ptCount val="1"/>
                <c:pt idx="0">
                  <c:v>srednja</c:v>
                </c:pt>
              </c:strCache>
            </c:strRef>
          </c:tx>
          <c:spPr>
            <a:ln w="19050">
              <a:solidFill>
                <a:sysClr val="windowText" lastClr="000000"/>
              </a:solidFill>
            </a:ln>
          </c:spPr>
          <c:marker>
            <c:symbol val="none"/>
          </c:marke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srbija'!$F$8:$F$15</c:f>
              <c:numCache>
                <c:formatCode>0.0</c:formatCode>
                <c:ptCount val="8"/>
                <c:pt idx="0">
                  <c:v>4.3</c:v>
                </c:pt>
                <c:pt idx="1">
                  <c:v>-0.9</c:v>
                </c:pt>
                <c:pt idx="2">
                  <c:v>7.5</c:v>
                </c:pt>
                <c:pt idx="3">
                  <c:v>2.2999999999999998</c:v>
                </c:pt>
                <c:pt idx="4">
                  <c:v>2.5</c:v>
                </c:pt>
                <c:pt idx="5">
                  <c:v>3.5</c:v>
                </c:pt>
                <c:pt idx="6">
                  <c:v>4</c:v>
                </c:pt>
                <c:pt idx="7">
                  <c:v>4.3</c:v>
                </c:pt>
              </c:numCache>
            </c:numRef>
          </c:val>
          <c:smooth val="0"/>
          <c:extLst>
            <c:ext xmlns:c16="http://schemas.microsoft.com/office/drawing/2014/chart" uri="{C3380CC4-5D6E-409C-BE32-E72D297353CC}">
              <c16:uniqueId val="{00000013-FCB5-42F7-AF11-9C5D0075FEE1}"/>
            </c:ext>
          </c:extLst>
        </c:ser>
        <c:dLbls>
          <c:showLegendKey val="0"/>
          <c:showVal val="0"/>
          <c:showCatName val="0"/>
          <c:showSerName val="0"/>
          <c:showPercent val="0"/>
          <c:showBubbleSize val="0"/>
        </c:dLbls>
        <c:marker val="1"/>
        <c:smooth val="0"/>
        <c:axId val="1761020848"/>
        <c:axId val="1761011056"/>
      </c:lineChart>
      <c:catAx>
        <c:axId val="1761020848"/>
        <c:scaling>
          <c:orientation val="minMax"/>
        </c:scaling>
        <c:delete val="0"/>
        <c:axPos val="b"/>
        <c:numFmt formatCode="General" sourceLinked="1"/>
        <c:majorTickMark val="none"/>
        <c:minorTickMark val="none"/>
        <c:tickLblPos val="low"/>
        <c:spPr>
          <a:ln w="6350">
            <a:solidFill>
              <a:srgbClr val="898989"/>
            </a:solidFill>
          </a:ln>
        </c:spPr>
        <c:txPr>
          <a:bodyPr rot="0" vert="horz"/>
          <a:lstStyle/>
          <a:p>
            <a:pPr>
              <a:defRPr>
                <a:solidFill>
                  <a:schemeClr val="tx2"/>
                </a:solidFill>
              </a:defRPr>
            </a:pPr>
            <a:endParaRPr lang="sr-Latn-RS"/>
          </a:p>
        </c:txPr>
        <c:crossAx val="1761011056"/>
        <c:crosses val="autoZero"/>
        <c:auto val="1"/>
        <c:lblAlgn val="ctr"/>
        <c:lblOffset val="100"/>
        <c:tickLblSkip val="1"/>
        <c:noMultiLvlLbl val="0"/>
      </c:catAx>
      <c:valAx>
        <c:axId val="1761011056"/>
        <c:scaling>
          <c:orientation val="minMax"/>
          <c:max val="9"/>
          <c:min val="-2"/>
        </c:scaling>
        <c:delete val="0"/>
        <c:axPos val="l"/>
        <c:numFmt formatCode="0" sourceLinked="0"/>
        <c:majorTickMark val="none"/>
        <c:minorTickMark val="none"/>
        <c:tickLblPos val="nextTo"/>
        <c:spPr>
          <a:ln w="12700">
            <a:noFill/>
          </a:ln>
        </c:spPr>
        <c:txPr>
          <a:bodyPr rot="0" vert="horz"/>
          <a:lstStyle/>
          <a:p>
            <a:pPr>
              <a:defRPr>
                <a:solidFill>
                  <a:schemeClr val="tx2"/>
                </a:solidFill>
              </a:defRPr>
            </a:pPr>
            <a:endParaRPr lang="sr-Latn-RS"/>
          </a:p>
        </c:txPr>
        <c:crossAx val="1761020848"/>
        <c:crosses val="autoZero"/>
        <c:crossBetween val="midCat"/>
        <c:majorUnit val="2"/>
      </c:valAx>
      <c:spPr>
        <a:noFill/>
        <a:ln>
          <a:noFill/>
        </a:ln>
      </c:spPr>
    </c:plotArea>
    <c:plotVisOnly val="1"/>
    <c:dispBlanksAs val="gap"/>
    <c:showDLblsOverMax val="0"/>
  </c:chart>
  <c:spPr>
    <a:noFill/>
    <a:ln w="9525">
      <a:noFill/>
    </a:ln>
  </c:spPr>
  <c:txPr>
    <a:bodyPr/>
    <a:lstStyle/>
    <a:p>
      <a:pPr>
        <a:defRPr sz="750" b="0" i="0" u="none" strike="noStrike" baseline="0">
          <a:solidFill>
            <a:schemeClr val="tx2"/>
          </a:solidFill>
          <a:latin typeface="+mn-lt"/>
          <a:ea typeface="Calibri"/>
          <a:cs typeface="Calibri"/>
        </a:defRPr>
      </a:pPr>
      <a:endParaRPr lang="sr-Latn-RS"/>
    </a:p>
  </c:txPr>
  <c:externalData r:id="rId2">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890798861412E-2"/>
          <c:y val="0.12259765625000001"/>
          <c:w val="0.90740810185185183"/>
          <c:h val="0.55332899305555561"/>
        </c:manualLayout>
      </c:layout>
      <c:barChart>
        <c:barDir val="col"/>
        <c:grouping val="stacked"/>
        <c:varyColors val="0"/>
        <c:ser>
          <c:idx val="2"/>
          <c:order val="1"/>
          <c:tx>
            <c:strRef>
              <c:f>'nepoljoprivredni BDP'!$D$5</c:f>
              <c:strCache>
                <c:ptCount val="1"/>
                <c:pt idx="0">
                  <c:v>Допринос фактора рада, п.п.</c:v>
                </c:pt>
              </c:strCache>
            </c:strRef>
          </c:tx>
          <c:spPr>
            <a:solidFill>
              <a:srgbClr val="10103C"/>
            </a:solidFill>
            <a:ln>
              <a:noFill/>
            </a:ln>
            <a:effectLst/>
          </c:spPr>
          <c:invertIfNegative val="0"/>
          <c:cat>
            <c:numRef>
              <c:f>'nepoljoprivredni BDP'!$B$11:$B$17</c:f>
              <c:numCache>
                <c:formatCode>General</c:formatCode>
                <c:ptCount val="7"/>
                <c:pt idx="0">
                  <c:v>2020</c:v>
                </c:pt>
                <c:pt idx="1">
                  <c:v>2021</c:v>
                </c:pt>
                <c:pt idx="2">
                  <c:v>2022</c:v>
                </c:pt>
                <c:pt idx="3">
                  <c:v>2023</c:v>
                </c:pt>
                <c:pt idx="4">
                  <c:v>2024</c:v>
                </c:pt>
                <c:pt idx="5">
                  <c:v>2025</c:v>
                </c:pt>
                <c:pt idx="6">
                  <c:v>2026</c:v>
                </c:pt>
              </c:numCache>
            </c:numRef>
          </c:cat>
          <c:val>
            <c:numRef>
              <c:f>'nepoljoprivredni BDP'!$D$11:$D$17</c:f>
              <c:numCache>
                <c:formatCode>#.#00</c:formatCode>
                <c:ptCount val="7"/>
                <c:pt idx="0">
                  <c:v>1.1242598022776884</c:v>
                </c:pt>
                <c:pt idx="1">
                  <c:v>1.0175759324396527</c:v>
                </c:pt>
                <c:pt idx="2">
                  <c:v>0.70596112753339213</c:v>
                </c:pt>
                <c:pt idx="3">
                  <c:v>0.92166092390758692</c:v>
                </c:pt>
                <c:pt idx="4">
                  <c:v>0.96245201967982696</c:v>
                </c:pt>
                <c:pt idx="5">
                  <c:v>0.87882786820316139</c:v>
                </c:pt>
                <c:pt idx="6">
                  <c:v>0.82355778634196752</c:v>
                </c:pt>
              </c:numCache>
            </c:numRef>
          </c:val>
          <c:extLst>
            <c:ext xmlns:c16="http://schemas.microsoft.com/office/drawing/2014/chart" uri="{C3380CC4-5D6E-409C-BE32-E72D297353CC}">
              <c16:uniqueId val="{00000000-3E01-4E22-A76F-E2AB10DA5407}"/>
            </c:ext>
          </c:extLst>
        </c:ser>
        <c:ser>
          <c:idx val="1"/>
          <c:order val="2"/>
          <c:tx>
            <c:strRef>
              <c:f>'nepoljoprivredni BDP'!$E$5</c:f>
              <c:strCache>
                <c:ptCount val="1"/>
                <c:pt idx="0">
                  <c:v>Допринос капитала, п.п.</c:v>
                </c:pt>
              </c:strCache>
            </c:strRef>
          </c:tx>
          <c:spPr>
            <a:solidFill>
              <a:srgbClr val="29489A"/>
            </a:solidFill>
            <a:ln>
              <a:noFill/>
            </a:ln>
            <a:effectLst/>
          </c:spPr>
          <c:invertIfNegative val="0"/>
          <c:cat>
            <c:numRef>
              <c:f>'nepoljoprivredni BDP'!$B$11:$B$17</c:f>
              <c:numCache>
                <c:formatCode>General</c:formatCode>
                <c:ptCount val="7"/>
                <c:pt idx="0">
                  <c:v>2020</c:v>
                </c:pt>
                <c:pt idx="1">
                  <c:v>2021</c:v>
                </c:pt>
                <c:pt idx="2">
                  <c:v>2022</c:v>
                </c:pt>
                <c:pt idx="3">
                  <c:v>2023</c:v>
                </c:pt>
                <c:pt idx="4">
                  <c:v>2024</c:v>
                </c:pt>
                <c:pt idx="5">
                  <c:v>2025</c:v>
                </c:pt>
                <c:pt idx="6">
                  <c:v>2026</c:v>
                </c:pt>
              </c:numCache>
            </c:numRef>
          </c:cat>
          <c:val>
            <c:numRef>
              <c:f>'nepoljoprivredni BDP'!$E$11:$E$17</c:f>
              <c:numCache>
                <c:formatCode>#.#00</c:formatCode>
                <c:ptCount val="7"/>
                <c:pt idx="0">
                  <c:v>1.2520403410443093</c:v>
                </c:pt>
                <c:pt idx="1">
                  <c:v>1.7094420925119269</c:v>
                </c:pt>
                <c:pt idx="2">
                  <c:v>1.484499789187731</c:v>
                </c:pt>
                <c:pt idx="3">
                  <c:v>1.4124778292940918</c:v>
                </c:pt>
                <c:pt idx="4">
                  <c:v>1.3803076949611635</c:v>
                </c:pt>
                <c:pt idx="5">
                  <c:v>1.4512571428644738</c:v>
                </c:pt>
                <c:pt idx="6">
                  <c:v>1.5542905318753206</c:v>
                </c:pt>
              </c:numCache>
            </c:numRef>
          </c:val>
          <c:extLst>
            <c:ext xmlns:c16="http://schemas.microsoft.com/office/drawing/2014/chart" uri="{C3380CC4-5D6E-409C-BE32-E72D297353CC}">
              <c16:uniqueId val="{00000001-3E01-4E22-A76F-E2AB10DA5407}"/>
            </c:ext>
          </c:extLst>
        </c:ser>
        <c:ser>
          <c:idx val="3"/>
          <c:order val="3"/>
          <c:tx>
            <c:strRef>
              <c:f>'nepoljoprivredni BDP'!$F$5</c:f>
              <c:strCache>
                <c:ptCount val="1"/>
                <c:pt idx="0">
                  <c:v>ТФП, п.п.</c:v>
                </c:pt>
              </c:strCache>
            </c:strRef>
          </c:tx>
          <c:spPr>
            <a:solidFill>
              <a:srgbClr val="51BBE7"/>
            </a:solidFill>
            <a:ln>
              <a:noFill/>
            </a:ln>
            <a:effectLst/>
          </c:spPr>
          <c:invertIfNegative val="0"/>
          <c:cat>
            <c:numRef>
              <c:f>'nepoljoprivredni BDP'!$B$11:$B$17</c:f>
              <c:numCache>
                <c:formatCode>General</c:formatCode>
                <c:ptCount val="7"/>
                <c:pt idx="0">
                  <c:v>2020</c:v>
                </c:pt>
                <c:pt idx="1">
                  <c:v>2021</c:v>
                </c:pt>
                <c:pt idx="2">
                  <c:v>2022</c:v>
                </c:pt>
                <c:pt idx="3">
                  <c:v>2023</c:v>
                </c:pt>
                <c:pt idx="4">
                  <c:v>2024</c:v>
                </c:pt>
                <c:pt idx="5">
                  <c:v>2025</c:v>
                </c:pt>
                <c:pt idx="6">
                  <c:v>2026</c:v>
                </c:pt>
              </c:numCache>
            </c:numRef>
          </c:cat>
          <c:val>
            <c:numRef>
              <c:f>'nepoljoprivredni BDP'!$F$11:$F$17</c:f>
              <c:numCache>
                <c:formatCode>#.#00</c:formatCode>
                <c:ptCount val="7"/>
                <c:pt idx="0">
                  <c:v>0.91156043051123703</c:v>
                </c:pt>
                <c:pt idx="1">
                  <c:v>0.66483744675676992</c:v>
                </c:pt>
                <c:pt idx="2">
                  <c:v>1.2153546298593587</c:v>
                </c:pt>
                <c:pt idx="3">
                  <c:v>1.0982163524538813</c:v>
                </c:pt>
                <c:pt idx="4">
                  <c:v>1.2246931462213175</c:v>
                </c:pt>
                <c:pt idx="5">
                  <c:v>1.43070031482218</c:v>
                </c:pt>
                <c:pt idx="6">
                  <c:v>1.5548609376255929</c:v>
                </c:pt>
              </c:numCache>
            </c:numRef>
          </c:val>
          <c:extLst>
            <c:ext xmlns:c16="http://schemas.microsoft.com/office/drawing/2014/chart" uri="{C3380CC4-5D6E-409C-BE32-E72D297353CC}">
              <c16:uniqueId val="{00000002-3E01-4E22-A76F-E2AB10DA5407}"/>
            </c:ext>
          </c:extLst>
        </c:ser>
        <c:dLbls>
          <c:showLegendKey val="0"/>
          <c:showVal val="0"/>
          <c:showCatName val="0"/>
          <c:showSerName val="0"/>
          <c:showPercent val="0"/>
          <c:showBubbleSize val="0"/>
        </c:dLbls>
        <c:gapWidth val="60"/>
        <c:overlap val="100"/>
        <c:axId val="1961428144"/>
        <c:axId val="1961437392"/>
      </c:barChart>
      <c:lineChart>
        <c:grouping val="standard"/>
        <c:varyColors val="0"/>
        <c:ser>
          <c:idx val="0"/>
          <c:order val="0"/>
          <c:tx>
            <c:strRef>
              <c:f>'nepoljoprivredni BDP'!$C$5</c:f>
              <c:strCache>
                <c:ptCount val="1"/>
                <c:pt idx="0">
                  <c:v>Раст потенцијалног БДП, %</c:v>
                </c:pt>
              </c:strCache>
            </c:strRef>
          </c:tx>
          <c:spPr>
            <a:ln w="28575" cap="rnd">
              <a:solidFill>
                <a:srgbClr val="FF0000"/>
              </a:solidFill>
              <a:round/>
            </a:ln>
            <a:effectLst/>
          </c:spPr>
          <c:marker>
            <c:symbol val="none"/>
          </c:marker>
          <c:dLbls>
            <c:dLbl>
              <c:idx val="6"/>
              <c:tx>
                <c:rich>
                  <a:bodyPr/>
                  <a:lstStyle/>
                  <a:p>
                    <a:r>
                      <a:rPr lang="en-US"/>
                      <a:t>4,0</a:t>
                    </a:r>
                  </a:p>
                </c:rich>
              </c:tx>
              <c:dLblPos val="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29F9-4BB1-BFC6-3D99AC9D2BBF}"/>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'nepoljoprivredni BDP'!$B$11:$B$17</c:f>
              <c:numCache>
                <c:formatCode>General</c:formatCode>
                <c:ptCount val="7"/>
                <c:pt idx="0">
                  <c:v>2020</c:v>
                </c:pt>
                <c:pt idx="1">
                  <c:v>2021</c:v>
                </c:pt>
                <c:pt idx="2">
                  <c:v>2022</c:v>
                </c:pt>
                <c:pt idx="3">
                  <c:v>2023</c:v>
                </c:pt>
                <c:pt idx="4">
                  <c:v>2024</c:v>
                </c:pt>
                <c:pt idx="5">
                  <c:v>2025</c:v>
                </c:pt>
                <c:pt idx="6">
                  <c:v>2026</c:v>
                </c:pt>
              </c:numCache>
            </c:numRef>
          </c:cat>
          <c:val>
            <c:numRef>
              <c:f>'nepoljoprivredni BDP'!$C$11:$C$17</c:f>
              <c:numCache>
                <c:formatCode>#.#00</c:formatCode>
                <c:ptCount val="7"/>
                <c:pt idx="0">
                  <c:v>3.2878605738332345</c:v>
                </c:pt>
                <c:pt idx="1">
                  <c:v>3.3918554717083493</c:v>
                </c:pt>
                <c:pt idx="2">
                  <c:v>3.4058155465804818</c:v>
                </c:pt>
                <c:pt idx="3">
                  <c:v>3.4323551056555601</c:v>
                </c:pt>
                <c:pt idx="4">
                  <c:v>3.567452860862308</c:v>
                </c:pt>
                <c:pt idx="5">
                  <c:v>3.760785325889815</c:v>
                </c:pt>
                <c:pt idx="6">
                  <c:v>3.9327092558428811</c:v>
                </c:pt>
              </c:numCache>
            </c:numRef>
          </c:val>
          <c:smooth val="0"/>
          <c:extLst>
            <c:ext xmlns:c16="http://schemas.microsoft.com/office/drawing/2014/chart" uri="{C3380CC4-5D6E-409C-BE32-E72D297353CC}">
              <c16:uniqueId val="{00000003-3E01-4E22-A76F-E2AB10DA5407}"/>
            </c:ext>
          </c:extLst>
        </c:ser>
        <c:dLbls>
          <c:showLegendKey val="0"/>
          <c:showVal val="0"/>
          <c:showCatName val="0"/>
          <c:showSerName val="0"/>
          <c:showPercent val="0"/>
          <c:showBubbleSize val="0"/>
        </c:dLbls>
        <c:marker val="1"/>
        <c:smooth val="0"/>
        <c:axId val="1961428144"/>
        <c:axId val="1961437392"/>
      </c:lineChart>
      <c:catAx>
        <c:axId val="196142814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961437392"/>
        <c:crossesAt val="0"/>
        <c:auto val="1"/>
        <c:lblAlgn val="ctr"/>
        <c:lblOffset val="100"/>
        <c:noMultiLvlLbl val="0"/>
      </c:catAx>
      <c:valAx>
        <c:axId val="1961437392"/>
        <c:scaling>
          <c:orientation val="minMax"/>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961428144"/>
        <c:crosses val="autoZero"/>
        <c:crossBetween val="between"/>
        <c:majorUnit val="1"/>
        <c:minorUnit val="0.2"/>
      </c:valAx>
      <c:spPr>
        <a:noFill/>
        <a:ln>
          <a:noFill/>
        </a:ln>
        <a:effectLst/>
      </c:spPr>
    </c:plotArea>
    <c:legend>
      <c:legendPos val="b"/>
      <c:layout>
        <c:manualLayout>
          <c:xMode val="edge"/>
          <c:yMode val="edge"/>
          <c:x val="1.4346234889652889E-3"/>
          <c:y val="0.79209678819444451"/>
          <c:w val="0.99827437063324831"/>
          <c:h val="0.19444878472222224"/>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165682414698163"/>
          <c:y val="6.035665294924554E-2"/>
          <c:w val="0.71252661125692618"/>
          <c:h val="0.70831513409961688"/>
        </c:manualLayout>
      </c:layout>
      <c:barChart>
        <c:barDir val="col"/>
        <c:grouping val="clustered"/>
        <c:varyColors val="0"/>
        <c:ser>
          <c:idx val="1"/>
          <c:order val="1"/>
          <c:tx>
            <c:strRef>
              <c:f>'Trziste rada-br zap croso'!$B$15</c:f>
              <c:strCache>
                <c:ptCount val="1"/>
                <c:pt idx="0">
                  <c:v>Стопа раста, у % (десна скала)</c:v>
                </c:pt>
              </c:strCache>
            </c:strRef>
          </c:tx>
          <c:spPr>
            <a:solidFill>
              <a:srgbClr val="29489A"/>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rada-br zap croso'!$C$13:$H$13</c:f>
              <c:strCache>
                <c:ptCount val="6"/>
                <c:pt idx="0">
                  <c:v>2018</c:v>
                </c:pt>
                <c:pt idx="1">
                  <c:v>2019</c:v>
                </c:pt>
                <c:pt idx="2">
                  <c:v>2020</c:v>
                </c:pt>
                <c:pt idx="3">
                  <c:v>2021</c:v>
                </c:pt>
                <c:pt idx="4">
                  <c:v>2022</c:v>
                </c:pt>
                <c:pt idx="5">
                  <c:v>I–VII 2023</c:v>
                </c:pt>
              </c:strCache>
            </c:strRef>
          </c:cat>
          <c:val>
            <c:numRef>
              <c:f>'Trziste rada-br zap croso'!$C$15:$H$15</c:f>
              <c:numCache>
                <c:formatCode>0.0</c:formatCode>
                <c:ptCount val="6"/>
                <c:pt idx="0">
                  <c:v>3.8024992025341504</c:v>
                </c:pt>
                <c:pt idx="1">
                  <c:v>2.3736491221046947</c:v>
                </c:pt>
                <c:pt idx="2">
                  <c:v>2.2763571179288817</c:v>
                </c:pt>
                <c:pt idx="3">
                  <c:v>2.9561962168021836</c:v>
                </c:pt>
                <c:pt idx="4">
                  <c:v>1.8458948204450394</c:v>
                </c:pt>
                <c:pt idx="5">
                  <c:v>2.8148057442828502</c:v>
                </c:pt>
              </c:numCache>
            </c:numRef>
          </c:val>
          <c:extLst>
            <c:ext xmlns:c16="http://schemas.microsoft.com/office/drawing/2014/chart" uri="{C3380CC4-5D6E-409C-BE32-E72D297353CC}">
              <c16:uniqueId val="{00000000-6D95-497C-A23A-AEF381BFC355}"/>
            </c:ext>
          </c:extLst>
        </c:ser>
        <c:dLbls>
          <c:showLegendKey val="0"/>
          <c:showVal val="0"/>
          <c:showCatName val="0"/>
          <c:showSerName val="0"/>
          <c:showPercent val="0"/>
          <c:showBubbleSize val="0"/>
        </c:dLbls>
        <c:gapWidth val="32"/>
        <c:axId val="1699767695"/>
        <c:axId val="1699779759"/>
      </c:barChart>
      <c:lineChart>
        <c:grouping val="standard"/>
        <c:varyColors val="0"/>
        <c:ser>
          <c:idx val="0"/>
          <c:order val="0"/>
          <c:tx>
            <c:strRef>
              <c:f>'Trziste rada-br zap croso'!$B$14</c:f>
              <c:strCache>
                <c:ptCount val="1"/>
                <c:pt idx="0">
                  <c:v>Просечан број запослених, у хиљ.</c:v>
                </c:pt>
              </c:strCache>
            </c:strRef>
          </c:tx>
          <c:spPr>
            <a:ln w="28575" cap="rnd">
              <a:solidFill>
                <a:srgbClr val="FF0000"/>
              </a:solidFill>
              <a:round/>
            </a:ln>
            <a:effectLst/>
          </c:spPr>
          <c:marker>
            <c:symbol val="circle"/>
            <c:size val="18"/>
            <c:spPr>
              <a:solidFill>
                <a:srgbClr val="FF0000"/>
              </a:solidFill>
              <a:ln w="9525">
                <a:solidFill>
                  <a:srgbClr val="ED1C2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rada-br zap croso'!$C$13:$H$13</c:f>
              <c:strCache>
                <c:ptCount val="6"/>
                <c:pt idx="0">
                  <c:v>2018</c:v>
                </c:pt>
                <c:pt idx="1">
                  <c:v>2019</c:v>
                </c:pt>
                <c:pt idx="2">
                  <c:v>2020</c:v>
                </c:pt>
                <c:pt idx="3">
                  <c:v>2021</c:v>
                </c:pt>
                <c:pt idx="4">
                  <c:v>2022</c:v>
                </c:pt>
                <c:pt idx="5">
                  <c:v>I–VII 2023</c:v>
                </c:pt>
              </c:strCache>
            </c:strRef>
          </c:cat>
          <c:val>
            <c:numRef>
              <c:f>'Trziste rada-br zap croso'!$C$14:$H$14</c:f>
              <c:numCache>
                <c:formatCode>0</c:formatCode>
                <c:ptCount val="6"/>
                <c:pt idx="0">
                  <c:v>2052.5464166666666</c:v>
                </c:pt>
                <c:pt idx="1">
                  <c:v>2101.2666666666664</c:v>
                </c:pt>
                <c:pt idx="2">
                  <c:v>2149.0990000000002</c:v>
                </c:pt>
                <c:pt idx="3">
                  <c:v>2212.6305833333336</c:v>
                </c:pt>
                <c:pt idx="4">
                  <c:v>2253.4734166666667</c:v>
                </c:pt>
                <c:pt idx="5">
                  <c:v>2302.9914285714285</c:v>
                </c:pt>
              </c:numCache>
            </c:numRef>
          </c:val>
          <c:smooth val="0"/>
          <c:extLst>
            <c:ext xmlns:c16="http://schemas.microsoft.com/office/drawing/2014/chart" uri="{C3380CC4-5D6E-409C-BE32-E72D297353CC}">
              <c16:uniqueId val="{00000001-6D95-497C-A23A-AEF381BFC355}"/>
            </c:ext>
          </c:extLst>
        </c:ser>
        <c:dLbls>
          <c:showLegendKey val="0"/>
          <c:showVal val="0"/>
          <c:showCatName val="0"/>
          <c:showSerName val="0"/>
          <c:showPercent val="0"/>
          <c:showBubbleSize val="0"/>
        </c:dLbls>
        <c:marker val="1"/>
        <c:smooth val="0"/>
        <c:axId val="1299337759"/>
        <c:axId val="1299338591"/>
      </c:lineChart>
      <c:catAx>
        <c:axId val="1299337759"/>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299338591"/>
        <c:crosses val="autoZero"/>
        <c:auto val="1"/>
        <c:lblAlgn val="ctr"/>
        <c:lblOffset val="100"/>
        <c:noMultiLvlLbl val="0"/>
      </c:catAx>
      <c:valAx>
        <c:axId val="1299338591"/>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299337759"/>
        <c:crosses val="autoZero"/>
        <c:crossBetween val="between"/>
      </c:valAx>
      <c:valAx>
        <c:axId val="1699779759"/>
        <c:scaling>
          <c:orientation val="minMax"/>
        </c:scaling>
        <c:delete val="0"/>
        <c:axPos val="r"/>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sz="700">
                    <a:solidFill>
                      <a:schemeClr val="tx2"/>
                    </a:solidFill>
                  </a:rPr>
                  <a:t>Промена у односу</a:t>
                </a:r>
                <a:r>
                  <a:rPr lang="sr-Cyrl-RS" sz="700" baseline="0">
                    <a:solidFill>
                      <a:schemeClr val="tx2"/>
                    </a:solidFill>
                  </a:rPr>
                  <a:t> на и</a:t>
                </a:r>
                <a:r>
                  <a:rPr lang="sr-Cyrl-RS" sz="700">
                    <a:solidFill>
                      <a:schemeClr val="tx2"/>
                    </a:solidFill>
                  </a:rPr>
                  <a:t>сти период претходне године, %</a:t>
                </a:r>
                <a:endParaRPr lang="en-GB" sz="700">
                  <a:solidFill>
                    <a:schemeClr val="tx2"/>
                  </a:solidFill>
                </a:endParaRPr>
              </a:p>
            </c:rich>
          </c:tx>
          <c:layout>
            <c:manualLayout>
              <c:xMode val="edge"/>
              <c:yMode val="edge"/>
              <c:x val="0.90699074074074071"/>
              <c:y val="9.5669408756055813E-2"/>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699767695"/>
        <c:crosses val="max"/>
        <c:crossBetween val="between"/>
      </c:valAx>
      <c:catAx>
        <c:axId val="1699767695"/>
        <c:scaling>
          <c:orientation val="minMax"/>
        </c:scaling>
        <c:delete val="1"/>
        <c:axPos val="b"/>
        <c:numFmt formatCode="General" sourceLinked="1"/>
        <c:majorTickMark val="out"/>
        <c:minorTickMark val="none"/>
        <c:tickLblPos val="nextTo"/>
        <c:crossAx val="1699779759"/>
        <c:crosses val="autoZero"/>
        <c:auto val="1"/>
        <c:lblAlgn val="ctr"/>
        <c:lblOffset val="100"/>
        <c:noMultiLvlLbl val="0"/>
      </c:catAx>
      <c:spPr>
        <a:noFill/>
        <a:ln>
          <a:noFill/>
        </a:ln>
        <a:effectLst/>
      </c:spPr>
    </c:plotArea>
    <c:legend>
      <c:legendPos val="b"/>
      <c:layout>
        <c:manualLayout>
          <c:xMode val="edge"/>
          <c:yMode val="edge"/>
          <c:x val="0"/>
          <c:y val="0.88085296934865898"/>
          <c:w val="0.9740740740740742"/>
          <c:h val="0.119147030651341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79862933799949E-2"/>
          <c:y val="9.8260956915078204E-2"/>
          <c:w val="0.92629337999416761"/>
          <c:h val="0.72096111111111116"/>
        </c:manualLayout>
      </c:layout>
      <c:barChart>
        <c:barDir val="col"/>
        <c:grouping val="clustered"/>
        <c:varyColors val="0"/>
        <c:ser>
          <c:idx val="0"/>
          <c:order val="0"/>
          <c:spPr>
            <a:solidFill>
              <a:srgbClr val="29489A"/>
            </a:solidFill>
            <a:ln>
              <a:noFill/>
            </a:ln>
            <a:effectLst/>
          </c:spPr>
          <c:invertIfNegative val="0"/>
          <c:dLbls>
            <c:dLbl>
              <c:idx val="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986-44D9-89AB-894F3B1D1F0C}"/>
                </c:ext>
              </c:extLst>
            </c:dLbl>
            <c:dLbl>
              <c:idx val="1"/>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986-44D9-89AB-894F3B1D1F0C}"/>
                </c:ext>
              </c:extLst>
            </c:dLbl>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'Trziste rada-ARS'!$C$39:$D$64</c:f>
              <c:multiLvlStrCache>
                <c:ptCount val="14"/>
                <c:lvl>
                  <c:pt idx="0">
                    <c:v>I</c:v>
                  </c:pt>
                  <c:pt idx="1">
                    <c:v>II</c:v>
                  </c:pt>
                  <c:pt idx="2">
                    <c:v>I</c:v>
                  </c:pt>
                  <c:pt idx="3">
                    <c:v>II</c:v>
                  </c:pt>
                  <c:pt idx="4">
                    <c:v> </c:v>
                  </c:pt>
                  <c:pt idx="5">
                    <c:v>I</c:v>
                  </c:pt>
                  <c:pt idx="6">
                    <c:v>II</c:v>
                  </c:pt>
                  <c:pt idx="7">
                    <c:v>I</c:v>
                  </c:pt>
                  <c:pt idx="8">
                    <c:v>II</c:v>
                  </c:pt>
                  <c:pt idx="9">
                    <c:v> </c:v>
                  </c:pt>
                  <c:pt idx="10">
                    <c:v>I</c:v>
                  </c:pt>
                  <c:pt idx="11">
                    <c:v>II</c:v>
                  </c:pt>
                  <c:pt idx="12">
                    <c:v>I</c:v>
                  </c:pt>
                  <c:pt idx="13">
                    <c:v>II</c:v>
                  </c:pt>
                </c:lvl>
                <c:lvl>
                  <c:pt idx="0">
                    <c:v>2022</c:v>
                  </c:pt>
                  <c:pt idx="2">
                    <c:v>2023</c:v>
                  </c:pt>
                  <c:pt idx="4">
                    <c:v> </c:v>
                  </c:pt>
                  <c:pt idx="5">
                    <c:v>2022</c:v>
                  </c:pt>
                  <c:pt idx="7">
                    <c:v>2023</c:v>
                  </c:pt>
                  <c:pt idx="9">
                    <c:v> </c:v>
                  </c:pt>
                  <c:pt idx="10">
                    <c:v>2022</c:v>
                  </c:pt>
                  <c:pt idx="12">
                    <c:v>2023</c:v>
                  </c:pt>
                </c:lvl>
              </c:multiLvlStrCache>
            </c:multiLvlStrRef>
          </c:cat>
          <c:val>
            <c:numRef>
              <c:f>'Trziste rada-ARS'!$E$39:$E$64</c:f>
              <c:numCache>
                <c:formatCode>0.0%</c:formatCode>
                <c:ptCount val="14"/>
                <c:pt idx="0">
                  <c:v>0.109</c:v>
                </c:pt>
                <c:pt idx="1">
                  <c:v>8.8999999999999996E-2</c:v>
                </c:pt>
                <c:pt idx="5">
                  <c:v>0.48499999999999999</c:v>
                </c:pt>
                <c:pt idx="6">
                  <c:v>0.5</c:v>
                </c:pt>
                <c:pt idx="10">
                  <c:v>0.45600000000000002</c:v>
                </c:pt>
                <c:pt idx="11">
                  <c:v>0.45200000000000001</c:v>
                </c:pt>
              </c:numCache>
            </c:numRef>
          </c:val>
          <c:extLst>
            <c:ext xmlns:c16="http://schemas.microsoft.com/office/drawing/2014/chart" uri="{C3380CC4-5D6E-409C-BE32-E72D297353CC}">
              <c16:uniqueId val="{00000002-F986-44D9-89AB-894F3B1D1F0C}"/>
            </c:ext>
          </c:extLst>
        </c:ser>
        <c:dLbls>
          <c:showLegendKey val="0"/>
          <c:showVal val="0"/>
          <c:showCatName val="0"/>
          <c:showSerName val="0"/>
          <c:showPercent val="0"/>
          <c:showBubbleSize val="0"/>
        </c:dLbls>
        <c:gapWidth val="14"/>
        <c:overlap val="-27"/>
        <c:axId val="961497464"/>
        <c:axId val="961498448"/>
      </c:barChart>
      <c:barChart>
        <c:barDir val="col"/>
        <c:grouping val="clustered"/>
        <c:varyColors val="0"/>
        <c:ser>
          <c:idx val="1"/>
          <c:order val="1"/>
          <c:spPr>
            <a:solidFill>
              <a:srgbClr val="FF0000"/>
            </a:solidFill>
            <a:ln>
              <a:noFill/>
            </a:ln>
            <a:effectLst/>
          </c:spPr>
          <c:invertIfNegative val="0"/>
          <c:dLbls>
            <c:dLbl>
              <c:idx val="2"/>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FF0000"/>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986-44D9-89AB-894F3B1D1F0C}"/>
                </c:ext>
              </c:extLst>
            </c:dLbl>
            <c:dLbl>
              <c:idx val="3"/>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FF0000"/>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986-44D9-89AB-894F3B1D1F0C}"/>
                </c:ext>
              </c:extLst>
            </c:dLbl>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'Trziste rada-ARS'!$C$39:$D$64</c:f>
              <c:multiLvlStrCache>
                <c:ptCount val="14"/>
                <c:lvl>
                  <c:pt idx="0">
                    <c:v>I</c:v>
                  </c:pt>
                  <c:pt idx="1">
                    <c:v>II</c:v>
                  </c:pt>
                  <c:pt idx="2">
                    <c:v>I</c:v>
                  </c:pt>
                  <c:pt idx="3">
                    <c:v>II</c:v>
                  </c:pt>
                  <c:pt idx="4">
                    <c:v> </c:v>
                  </c:pt>
                  <c:pt idx="5">
                    <c:v>I</c:v>
                  </c:pt>
                  <c:pt idx="6">
                    <c:v>II</c:v>
                  </c:pt>
                  <c:pt idx="7">
                    <c:v>I</c:v>
                  </c:pt>
                  <c:pt idx="8">
                    <c:v>II</c:v>
                  </c:pt>
                  <c:pt idx="9">
                    <c:v> </c:v>
                  </c:pt>
                  <c:pt idx="10">
                    <c:v>I</c:v>
                  </c:pt>
                  <c:pt idx="11">
                    <c:v>II</c:v>
                  </c:pt>
                  <c:pt idx="12">
                    <c:v>I</c:v>
                  </c:pt>
                  <c:pt idx="13">
                    <c:v>II</c:v>
                  </c:pt>
                </c:lvl>
                <c:lvl>
                  <c:pt idx="0">
                    <c:v>2022</c:v>
                  </c:pt>
                  <c:pt idx="2">
                    <c:v>2023</c:v>
                  </c:pt>
                  <c:pt idx="4">
                    <c:v> </c:v>
                  </c:pt>
                  <c:pt idx="5">
                    <c:v>2022</c:v>
                  </c:pt>
                  <c:pt idx="7">
                    <c:v>2023</c:v>
                  </c:pt>
                  <c:pt idx="9">
                    <c:v> </c:v>
                  </c:pt>
                  <c:pt idx="10">
                    <c:v>2022</c:v>
                  </c:pt>
                  <c:pt idx="12">
                    <c:v>2023</c:v>
                  </c:pt>
                </c:lvl>
              </c:multiLvlStrCache>
            </c:multiLvlStrRef>
          </c:cat>
          <c:val>
            <c:numRef>
              <c:f>'Trziste rada-ARS'!$F$39:$F$64</c:f>
              <c:numCache>
                <c:formatCode>General</c:formatCode>
                <c:ptCount val="14"/>
                <c:pt idx="2" formatCode="0.0%">
                  <c:v>0.10100000000000001</c:v>
                </c:pt>
                <c:pt idx="3" formatCode="0.0%">
                  <c:v>9.6000000000000002E-2</c:v>
                </c:pt>
                <c:pt idx="7" formatCode="0.0%">
                  <c:v>0.496</c:v>
                </c:pt>
                <c:pt idx="8" formatCode="0.0%">
                  <c:v>0.504</c:v>
                </c:pt>
                <c:pt idx="12" formatCode="0.0%">
                  <c:v>0.44800000000000001</c:v>
                </c:pt>
                <c:pt idx="13" formatCode="0.0%">
                  <c:v>0.442</c:v>
                </c:pt>
              </c:numCache>
            </c:numRef>
          </c:val>
          <c:extLst>
            <c:ext xmlns:c16="http://schemas.microsoft.com/office/drawing/2014/chart" uri="{C3380CC4-5D6E-409C-BE32-E72D297353CC}">
              <c16:uniqueId val="{00000005-F986-44D9-89AB-894F3B1D1F0C}"/>
            </c:ext>
          </c:extLst>
        </c:ser>
        <c:dLbls>
          <c:showLegendKey val="0"/>
          <c:showVal val="0"/>
          <c:showCatName val="0"/>
          <c:showSerName val="0"/>
          <c:showPercent val="0"/>
          <c:showBubbleSize val="0"/>
        </c:dLbls>
        <c:gapWidth val="14"/>
        <c:overlap val="-27"/>
        <c:axId val="1025104512"/>
        <c:axId val="1025106808"/>
      </c:barChart>
      <c:lineChart>
        <c:grouping val="standard"/>
        <c:varyColors val="0"/>
        <c:ser>
          <c:idx val="2"/>
          <c:order val="2"/>
          <c:spPr>
            <a:ln w="28575" cap="rnd">
              <a:noFill/>
              <a:round/>
            </a:ln>
            <a:effectLst/>
          </c:spPr>
          <c:marker>
            <c:symbol val="none"/>
          </c:marker>
          <c:dLbls>
            <c:dLbl>
              <c:idx val="0"/>
              <c:tx>
                <c:rich>
                  <a:bodyPr/>
                  <a:lstStyle/>
                  <a:p>
                    <a:fld id="{6CD6E1A7-3D5B-4674-A6C9-FCF5ABB93632}"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F986-44D9-89AB-894F3B1D1F0C}"/>
                </c:ext>
              </c:extLst>
            </c:dLbl>
            <c:dLbl>
              <c:idx val="1"/>
              <c:tx>
                <c:rich>
                  <a:bodyPr/>
                  <a:lstStyle/>
                  <a:p>
                    <a:fld id="{801CE8A2-E30E-4319-A65B-6D0D0F567817}"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F986-44D9-89AB-894F3B1D1F0C}"/>
                </c:ext>
              </c:extLst>
            </c:dLbl>
            <c:dLbl>
              <c:idx val="2"/>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F986-44D9-89AB-894F3B1D1F0C}"/>
                </c:ext>
              </c:extLst>
            </c:dLbl>
            <c:dLbl>
              <c:idx val="3"/>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F986-44D9-89AB-894F3B1D1F0C}"/>
                </c:ext>
              </c:extLst>
            </c:dLbl>
            <c:dLbl>
              <c:idx val="4"/>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A-F986-44D9-89AB-894F3B1D1F0C}"/>
                </c:ext>
              </c:extLst>
            </c:dLbl>
            <c:dLbl>
              <c:idx val="5"/>
              <c:tx>
                <c:rich>
                  <a:bodyPr/>
                  <a:lstStyle/>
                  <a:p>
                    <a:fld id="{5AD4A890-DF56-4455-AF0A-24D49EC49F72}"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F986-44D9-89AB-894F3B1D1F0C}"/>
                </c:ext>
              </c:extLst>
            </c:dLbl>
            <c:dLbl>
              <c:idx val="6"/>
              <c:tx>
                <c:rich>
                  <a:bodyPr/>
                  <a:lstStyle/>
                  <a:p>
                    <a:fld id="{4BD07121-EC8B-4F00-B591-16B921BE0991}"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F986-44D9-89AB-894F3B1D1F0C}"/>
                </c:ext>
              </c:extLst>
            </c:dLbl>
            <c:dLbl>
              <c:idx val="7"/>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F986-44D9-89AB-894F3B1D1F0C}"/>
                </c:ext>
              </c:extLst>
            </c:dLbl>
            <c:dLbl>
              <c:idx val="8"/>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E-F986-44D9-89AB-894F3B1D1F0C}"/>
                </c:ext>
              </c:extLst>
            </c:dLbl>
            <c:dLbl>
              <c:idx val="9"/>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F-F986-44D9-89AB-894F3B1D1F0C}"/>
                </c:ext>
              </c:extLst>
            </c:dLbl>
            <c:dLbl>
              <c:idx val="10"/>
              <c:tx>
                <c:rich>
                  <a:bodyPr/>
                  <a:lstStyle/>
                  <a:p>
                    <a:fld id="{F78740E2-D278-401E-8E15-DA9DCEC29C2F}"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0-F986-44D9-89AB-894F3B1D1F0C}"/>
                </c:ext>
              </c:extLst>
            </c:dLbl>
            <c:dLbl>
              <c:idx val="11"/>
              <c:tx>
                <c:rich>
                  <a:bodyPr/>
                  <a:lstStyle/>
                  <a:p>
                    <a:fld id="{E541028D-DDEA-4FB5-93EC-B684B778FD1A}"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F986-44D9-89AB-894F3B1D1F0C}"/>
                </c:ext>
              </c:extLst>
            </c:dLbl>
            <c:dLbl>
              <c:idx val="12"/>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2-F986-44D9-89AB-894F3B1D1F0C}"/>
                </c:ext>
              </c:extLst>
            </c:dLbl>
            <c:dLbl>
              <c:idx val="13"/>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3-F986-44D9-89AB-894F3B1D1F0C}"/>
                </c:ext>
              </c:extLst>
            </c:dLbl>
            <c:spPr>
              <a:noFill/>
              <a:ln>
                <a:noFill/>
              </a:ln>
              <a:effectLst/>
            </c:spPr>
            <c:txPr>
              <a:bodyPr rot="0" spcFirstLastPara="1" vertOverflow="ellipsis" vert="horz" wrap="square" lIns="38100" tIns="0" rIns="38100" bIns="0" anchor="t" anchorCtr="0">
                <a:spAutoFit/>
              </a:bodyPr>
              <a:lstStyle/>
              <a:p>
                <a:pPr>
                  <a:defRPr sz="750" b="1" i="0" u="none" strike="noStrike" kern="1200" baseline="0">
                    <a:solidFill>
                      <a:srgbClr val="29489A"/>
                    </a:solidFill>
                    <a:latin typeface="+mn-lt"/>
                    <a:ea typeface="+mn-ea"/>
                    <a:cs typeface="+mn-cs"/>
                  </a:defRPr>
                </a:pPr>
                <a:endParaRPr lang="sr-Latn-RS"/>
              </a:p>
            </c:txPr>
            <c:dLblPos val="b"/>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14"/>
                <c:lvl>
                  <c:pt idx="0">
                    <c:v>I</c:v>
                  </c:pt>
                  <c:pt idx="1">
                    <c:v>II</c:v>
                  </c:pt>
                  <c:pt idx="2">
                    <c:v>I</c:v>
                  </c:pt>
                  <c:pt idx="3">
                    <c:v>II</c:v>
                  </c:pt>
                  <c:pt idx="4">
                    <c:v> </c:v>
                  </c:pt>
                  <c:pt idx="5">
                    <c:v>I</c:v>
                  </c:pt>
                  <c:pt idx="6">
                    <c:v>II</c:v>
                  </c:pt>
                  <c:pt idx="7">
                    <c:v>I</c:v>
                  </c:pt>
                  <c:pt idx="8">
                    <c:v>II</c:v>
                  </c:pt>
                  <c:pt idx="9">
                    <c:v> </c:v>
                  </c:pt>
                  <c:pt idx="10">
                    <c:v>I</c:v>
                  </c:pt>
                  <c:pt idx="11">
                    <c:v>II</c:v>
                  </c:pt>
                  <c:pt idx="12">
                    <c:v>I</c:v>
                  </c:pt>
                  <c:pt idx="13">
                    <c:v>II</c:v>
                  </c:pt>
                </c:lvl>
                <c:lvl>
                  <c:pt idx="0">
                    <c:v>2022</c:v>
                  </c:pt>
                  <c:pt idx="2">
                    <c:v>2023</c:v>
                  </c:pt>
                  <c:pt idx="4">
                    <c:v> </c:v>
                  </c:pt>
                  <c:pt idx="5">
                    <c:v>2022</c:v>
                  </c:pt>
                  <c:pt idx="7">
                    <c:v>2023</c:v>
                  </c:pt>
                  <c:pt idx="9">
                    <c:v> </c:v>
                  </c:pt>
                  <c:pt idx="10">
                    <c:v>2022</c:v>
                  </c:pt>
                  <c:pt idx="12">
                    <c:v>2023</c:v>
                  </c:pt>
                </c:lvl>
              </c:multiLvlStrCache>
            </c:multiLvlStrRef>
          </c:cat>
          <c:val>
            <c:numRef>
              <c:f>'Trziste rada-ARS'!$G$39:$G$64</c:f>
              <c:numCache>
                <c:formatCode>General</c:formatCode>
                <c:ptCount val="14"/>
                <c:pt idx="0">
                  <c:v>0</c:v>
                </c:pt>
                <c:pt idx="1">
                  <c:v>0</c:v>
                </c:pt>
                <c:pt idx="5">
                  <c:v>0</c:v>
                </c:pt>
                <c:pt idx="6">
                  <c:v>0</c:v>
                </c:pt>
                <c:pt idx="10">
                  <c:v>0</c:v>
                </c:pt>
                <c:pt idx="11">
                  <c:v>0</c:v>
                </c:pt>
              </c:numCache>
            </c:numRef>
          </c:val>
          <c:smooth val="0"/>
          <c:extLst>
            <c:ext xmlns:c15="http://schemas.microsoft.com/office/drawing/2012/chart" uri="{02D57815-91ED-43cb-92C2-25804820EDAC}">
              <c15:datalabelsRange>
                <c15:f>'Trziste rada-ARS'!$K$39:$K$64</c15:f>
                <c15:dlblRangeCache>
                  <c:ptCount val="14"/>
                  <c:pt idx="0">
                    <c:v>I</c:v>
                  </c:pt>
                  <c:pt idx="1">
                    <c:v>II</c:v>
                  </c:pt>
                  <c:pt idx="4">
                    <c:v> </c:v>
                  </c:pt>
                  <c:pt idx="5">
                    <c:v>I</c:v>
                  </c:pt>
                  <c:pt idx="6">
                    <c:v>II</c:v>
                  </c:pt>
                  <c:pt idx="9">
                    <c:v> </c:v>
                  </c:pt>
                  <c:pt idx="10">
                    <c:v>I</c:v>
                  </c:pt>
                  <c:pt idx="11">
                    <c:v>II</c:v>
                  </c:pt>
                </c15:dlblRangeCache>
              </c15:datalabelsRange>
            </c:ext>
            <c:ext xmlns:c16="http://schemas.microsoft.com/office/drawing/2014/chart" uri="{C3380CC4-5D6E-409C-BE32-E72D297353CC}">
              <c16:uniqueId val="{00000014-F986-44D9-89AB-894F3B1D1F0C}"/>
            </c:ext>
          </c:extLst>
        </c:ser>
        <c:ser>
          <c:idx val="3"/>
          <c:order val="3"/>
          <c:spPr>
            <a:ln w="28575" cap="rnd">
              <a:noFill/>
              <a:round/>
            </a:ln>
            <a:effectLst/>
          </c:spPr>
          <c:marker>
            <c:symbol val="none"/>
          </c:marker>
          <c:dLbls>
            <c:dLbl>
              <c:idx val="0"/>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5-F986-44D9-89AB-894F3B1D1F0C}"/>
                </c:ext>
              </c:extLst>
            </c:dLbl>
            <c:dLbl>
              <c:idx val="1"/>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6-F986-44D9-89AB-894F3B1D1F0C}"/>
                </c:ext>
              </c:extLst>
            </c:dLbl>
            <c:dLbl>
              <c:idx val="2"/>
              <c:tx>
                <c:rich>
                  <a:bodyPr/>
                  <a:lstStyle/>
                  <a:p>
                    <a:fld id="{51B81360-5E44-45BD-AB96-21C03683511D}"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F986-44D9-89AB-894F3B1D1F0C}"/>
                </c:ext>
              </c:extLst>
            </c:dLbl>
            <c:dLbl>
              <c:idx val="3"/>
              <c:tx>
                <c:rich>
                  <a:bodyPr/>
                  <a:lstStyle/>
                  <a:p>
                    <a:fld id="{AA42FBD0-1204-47D3-9112-DD7FE279A499}"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8-F986-44D9-89AB-894F3B1D1F0C}"/>
                </c:ext>
              </c:extLst>
            </c:dLbl>
            <c:dLbl>
              <c:idx val="4"/>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9-F986-44D9-89AB-894F3B1D1F0C}"/>
                </c:ext>
              </c:extLst>
            </c:dLbl>
            <c:dLbl>
              <c:idx val="5"/>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A-F986-44D9-89AB-894F3B1D1F0C}"/>
                </c:ext>
              </c:extLst>
            </c:dLbl>
            <c:dLbl>
              <c:idx val="6"/>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B-F986-44D9-89AB-894F3B1D1F0C}"/>
                </c:ext>
              </c:extLst>
            </c:dLbl>
            <c:dLbl>
              <c:idx val="7"/>
              <c:tx>
                <c:rich>
                  <a:bodyPr/>
                  <a:lstStyle/>
                  <a:p>
                    <a:fld id="{5B83A7F7-6260-4418-B53E-9C3ABB22085D}"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C-F986-44D9-89AB-894F3B1D1F0C}"/>
                </c:ext>
              </c:extLst>
            </c:dLbl>
            <c:dLbl>
              <c:idx val="8"/>
              <c:tx>
                <c:rich>
                  <a:bodyPr/>
                  <a:lstStyle/>
                  <a:p>
                    <a:fld id="{9F385A98-3E38-4640-B149-BF0C74CEA398}"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F986-44D9-89AB-894F3B1D1F0C}"/>
                </c:ext>
              </c:extLst>
            </c:dLbl>
            <c:dLbl>
              <c:idx val="9"/>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E-F986-44D9-89AB-894F3B1D1F0C}"/>
                </c:ext>
              </c:extLst>
            </c:dLbl>
            <c:dLbl>
              <c:idx val="10"/>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F-F986-44D9-89AB-894F3B1D1F0C}"/>
                </c:ext>
              </c:extLst>
            </c:dLbl>
            <c:dLbl>
              <c:idx val="11"/>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0-F986-44D9-89AB-894F3B1D1F0C}"/>
                </c:ext>
              </c:extLst>
            </c:dLbl>
            <c:dLbl>
              <c:idx val="12"/>
              <c:tx>
                <c:rich>
                  <a:bodyPr/>
                  <a:lstStyle/>
                  <a:p>
                    <a:fld id="{2D8D2353-1C30-4271-AD04-89098C32C9BA}"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1-F986-44D9-89AB-894F3B1D1F0C}"/>
                </c:ext>
              </c:extLst>
            </c:dLbl>
            <c:dLbl>
              <c:idx val="13"/>
              <c:tx>
                <c:rich>
                  <a:bodyPr/>
                  <a:lstStyle/>
                  <a:p>
                    <a:fld id="{CE06A05C-7FDA-4982-95E1-B8DDBDA6EB80}"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2-F986-44D9-89AB-894F3B1D1F0C}"/>
                </c:ext>
              </c:extLst>
            </c:dLbl>
            <c:spPr>
              <a:noFill/>
              <a:ln>
                <a:noFill/>
              </a:ln>
              <a:effectLst/>
            </c:spPr>
            <c:txPr>
              <a:bodyPr rot="0" spcFirstLastPara="1" vertOverflow="ellipsis" vert="horz" wrap="square" lIns="38100" tIns="0" rIns="38100" bIns="0" anchor="t" anchorCtr="0">
                <a:spAutoFit/>
              </a:bodyPr>
              <a:lstStyle/>
              <a:p>
                <a:pPr>
                  <a:defRPr sz="750" b="1" i="0" u="none" strike="noStrike" kern="1200" baseline="0">
                    <a:solidFill>
                      <a:srgbClr val="FF0000"/>
                    </a:solidFill>
                    <a:latin typeface="+mn-lt"/>
                    <a:ea typeface="+mn-ea"/>
                    <a:cs typeface="+mn-cs"/>
                  </a:defRPr>
                </a:pPr>
                <a:endParaRPr lang="sr-Latn-RS"/>
              </a:p>
            </c:txPr>
            <c:dLblPos val="b"/>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14"/>
                <c:lvl>
                  <c:pt idx="0">
                    <c:v>I</c:v>
                  </c:pt>
                  <c:pt idx="1">
                    <c:v>II</c:v>
                  </c:pt>
                  <c:pt idx="2">
                    <c:v>I</c:v>
                  </c:pt>
                  <c:pt idx="3">
                    <c:v>II</c:v>
                  </c:pt>
                  <c:pt idx="4">
                    <c:v> </c:v>
                  </c:pt>
                  <c:pt idx="5">
                    <c:v>I</c:v>
                  </c:pt>
                  <c:pt idx="6">
                    <c:v>II</c:v>
                  </c:pt>
                  <c:pt idx="7">
                    <c:v>I</c:v>
                  </c:pt>
                  <c:pt idx="8">
                    <c:v>II</c:v>
                  </c:pt>
                  <c:pt idx="9">
                    <c:v> </c:v>
                  </c:pt>
                  <c:pt idx="10">
                    <c:v>I</c:v>
                  </c:pt>
                  <c:pt idx="11">
                    <c:v>II</c:v>
                  </c:pt>
                  <c:pt idx="12">
                    <c:v>I</c:v>
                  </c:pt>
                  <c:pt idx="13">
                    <c:v>II</c:v>
                  </c:pt>
                </c:lvl>
                <c:lvl>
                  <c:pt idx="0">
                    <c:v>2022</c:v>
                  </c:pt>
                  <c:pt idx="2">
                    <c:v>2023</c:v>
                  </c:pt>
                  <c:pt idx="4">
                    <c:v> </c:v>
                  </c:pt>
                  <c:pt idx="5">
                    <c:v>2022</c:v>
                  </c:pt>
                  <c:pt idx="7">
                    <c:v>2023</c:v>
                  </c:pt>
                  <c:pt idx="9">
                    <c:v> </c:v>
                  </c:pt>
                  <c:pt idx="10">
                    <c:v>2022</c:v>
                  </c:pt>
                  <c:pt idx="12">
                    <c:v>2023</c:v>
                  </c:pt>
                </c:lvl>
              </c:multiLvlStrCache>
            </c:multiLvlStrRef>
          </c:cat>
          <c:val>
            <c:numRef>
              <c:f>'Trziste rada-ARS'!$H$39:$H$64</c:f>
              <c:numCache>
                <c:formatCode>General</c:formatCode>
                <c:ptCount val="14"/>
                <c:pt idx="2">
                  <c:v>0</c:v>
                </c:pt>
                <c:pt idx="3">
                  <c:v>0</c:v>
                </c:pt>
                <c:pt idx="7">
                  <c:v>0</c:v>
                </c:pt>
                <c:pt idx="8">
                  <c:v>0</c:v>
                </c:pt>
                <c:pt idx="12">
                  <c:v>0</c:v>
                </c:pt>
                <c:pt idx="13">
                  <c:v>0</c:v>
                </c:pt>
              </c:numCache>
            </c:numRef>
          </c:val>
          <c:smooth val="0"/>
          <c:extLst>
            <c:ext xmlns:c15="http://schemas.microsoft.com/office/drawing/2012/chart" uri="{02D57815-91ED-43cb-92C2-25804820EDAC}">
              <c15:datalabelsRange>
                <c15:f>'Trziste rada-ARS'!$L$39:$L$64</c15:f>
                <c15:dlblRangeCache>
                  <c:ptCount val="14"/>
                  <c:pt idx="2">
                    <c:v>I</c:v>
                  </c:pt>
                  <c:pt idx="3">
                    <c:v>II</c:v>
                  </c:pt>
                  <c:pt idx="7">
                    <c:v>I</c:v>
                  </c:pt>
                  <c:pt idx="8">
                    <c:v>II</c:v>
                  </c:pt>
                  <c:pt idx="12">
                    <c:v>I</c:v>
                  </c:pt>
                  <c:pt idx="13">
                    <c:v>II</c:v>
                  </c:pt>
                </c15:dlblRangeCache>
              </c15:datalabelsRange>
            </c:ext>
            <c:ext xmlns:c16="http://schemas.microsoft.com/office/drawing/2014/chart" uri="{C3380CC4-5D6E-409C-BE32-E72D297353CC}">
              <c16:uniqueId val="{00000023-F986-44D9-89AB-894F3B1D1F0C}"/>
            </c:ext>
          </c:extLst>
        </c:ser>
        <c:ser>
          <c:idx val="4"/>
          <c:order val="4"/>
          <c:spPr>
            <a:ln w="28575" cap="rnd">
              <a:noFill/>
              <a:round/>
            </a:ln>
            <a:effectLst/>
          </c:spPr>
          <c:marker>
            <c:symbol val="none"/>
          </c:marker>
          <c:dLbls>
            <c:dLbl>
              <c:idx val="0"/>
              <c:layout>
                <c:manualLayout>
                  <c:x val="-3.9239119500306376E-2"/>
                  <c:y val="0.13676679707852063"/>
                </c:manualLayout>
              </c:layout>
              <c:tx>
                <c:rich>
                  <a:bodyPr/>
                  <a:lstStyle/>
                  <a:p>
                    <a:fld id="{4828BB8C-FCBD-4FE8-AEA2-0DDB87F66D1E}" type="CELLRANGE">
                      <a:rPr lang="en-U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F986-44D9-89AB-894F3B1D1F0C}"/>
                </c:ext>
              </c:extLst>
            </c:dLbl>
            <c:dLbl>
              <c:idx val="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5-F986-44D9-89AB-894F3B1D1F0C}"/>
                </c:ext>
              </c:extLst>
            </c:dLbl>
            <c:dLbl>
              <c:idx val="2"/>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6-F986-44D9-89AB-894F3B1D1F0C}"/>
                </c:ext>
              </c:extLst>
            </c:dLbl>
            <c:dLbl>
              <c:idx val="3"/>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7-F986-44D9-89AB-894F3B1D1F0C}"/>
                </c:ext>
              </c:extLst>
            </c:dLbl>
            <c:dLbl>
              <c:idx val="4"/>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8-F986-44D9-89AB-894F3B1D1F0C}"/>
                </c:ext>
              </c:extLst>
            </c:dLbl>
            <c:dLbl>
              <c:idx val="5"/>
              <c:layout>
                <c:manualLayout>
                  <c:x val="-4.1379095905694718E-2"/>
                  <c:y val="0.13676679707852063"/>
                </c:manualLayout>
              </c:layout>
              <c:tx>
                <c:rich>
                  <a:bodyPr/>
                  <a:lstStyle/>
                  <a:p>
                    <a:fld id="{0B5CD251-F88F-4F72-9603-CDCCCD6E1417}" type="CELLRANGE">
                      <a:rPr lang="en-U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9-F986-44D9-89AB-894F3B1D1F0C}"/>
                </c:ext>
              </c:extLst>
            </c:dLbl>
            <c:dLbl>
              <c:idx val="6"/>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A-F986-44D9-89AB-894F3B1D1F0C}"/>
                </c:ext>
              </c:extLst>
            </c:dLbl>
            <c:dLbl>
              <c:idx val="7"/>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B-F986-44D9-89AB-894F3B1D1F0C}"/>
                </c:ext>
              </c:extLst>
            </c:dLbl>
            <c:dLbl>
              <c:idx val="8"/>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C-F986-44D9-89AB-894F3B1D1F0C}"/>
                </c:ext>
              </c:extLst>
            </c:dLbl>
            <c:dLbl>
              <c:idx val="9"/>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D-F986-44D9-89AB-894F3B1D1F0C}"/>
                </c:ext>
              </c:extLst>
            </c:dLbl>
            <c:dLbl>
              <c:idx val="10"/>
              <c:layout>
                <c:manualLayout>
                  <c:x val="-3.883234107931622E-2"/>
                  <c:y val="0.13676679707852063"/>
                </c:manualLayout>
              </c:layout>
              <c:tx>
                <c:rich>
                  <a:bodyPr/>
                  <a:lstStyle/>
                  <a:p>
                    <a:fld id="{EDBFA7FD-0B68-48DC-9CDF-6C171A7BB013}" type="CELLRANGE">
                      <a:rPr lang="en-U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F986-44D9-89AB-894F3B1D1F0C}"/>
                </c:ext>
              </c:extLst>
            </c:dLbl>
            <c:dLbl>
              <c:idx val="1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F-F986-44D9-89AB-894F3B1D1F0C}"/>
                </c:ext>
              </c:extLst>
            </c:dLbl>
            <c:dLbl>
              <c:idx val="12"/>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0-F986-44D9-89AB-894F3B1D1F0C}"/>
                </c:ext>
              </c:extLst>
            </c:dLbl>
            <c:dLbl>
              <c:idx val="13"/>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1-F986-44D9-89AB-894F3B1D1F0C}"/>
                </c:ext>
              </c:extLst>
            </c:dLbl>
            <c:spPr>
              <a:noFill/>
              <a:ln>
                <a:noFill/>
              </a:ln>
              <a:effectLst/>
            </c:spPr>
            <c:txPr>
              <a:bodyPr rot="0" spcFirstLastPara="1" vertOverflow="ellipsis" vert="horz" wrap="none" lIns="38100" tIns="19050" rIns="38100" bIns="19050" anchor="ctr" anchorCtr="1">
                <a:spAutoFit/>
              </a:bodyPr>
              <a:lstStyle/>
              <a:p>
                <a:pPr>
                  <a:defRPr sz="759" b="1" i="0" u="none" strike="noStrike" kern="1200" baseline="0">
                    <a:solidFill>
                      <a:srgbClr val="29489A"/>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14"/>
                <c:lvl>
                  <c:pt idx="0">
                    <c:v>I</c:v>
                  </c:pt>
                  <c:pt idx="1">
                    <c:v>II</c:v>
                  </c:pt>
                  <c:pt idx="2">
                    <c:v>I</c:v>
                  </c:pt>
                  <c:pt idx="3">
                    <c:v>II</c:v>
                  </c:pt>
                  <c:pt idx="4">
                    <c:v> </c:v>
                  </c:pt>
                  <c:pt idx="5">
                    <c:v>I</c:v>
                  </c:pt>
                  <c:pt idx="6">
                    <c:v>II</c:v>
                  </c:pt>
                  <c:pt idx="7">
                    <c:v>I</c:v>
                  </c:pt>
                  <c:pt idx="8">
                    <c:v>II</c:v>
                  </c:pt>
                  <c:pt idx="9">
                    <c:v> </c:v>
                  </c:pt>
                  <c:pt idx="10">
                    <c:v>I</c:v>
                  </c:pt>
                  <c:pt idx="11">
                    <c:v>II</c:v>
                  </c:pt>
                  <c:pt idx="12">
                    <c:v>I</c:v>
                  </c:pt>
                  <c:pt idx="13">
                    <c:v>II</c:v>
                  </c:pt>
                </c:lvl>
                <c:lvl>
                  <c:pt idx="0">
                    <c:v>2022</c:v>
                  </c:pt>
                  <c:pt idx="2">
                    <c:v>2023</c:v>
                  </c:pt>
                  <c:pt idx="4">
                    <c:v> </c:v>
                  </c:pt>
                  <c:pt idx="5">
                    <c:v>2022</c:v>
                  </c:pt>
                  <c:pt idx="7">
                    <c:v>2023</c:v>
                  </c:pt>
                  <c:pt idx="9">
                    <c:v> </c:v>
                  </c:pt>
                  <c:pt idx="10">
                    <c:v>2022</c:v>
                  </c:pt>
                  <c:pt idx="12">
                    <c:v>2023</c:v>
                  </c:pt>
                </c:lvl>
              </c:multiLvlStrCache>
            </c:multiLvlStrRef>
          </c:cat>
          <c:val>
            <c:numRef>
              <c:f>'Trziste rada-ARS'!$I$39:$I$64</c:f>
              <c:numCache>
                <c:formatCode>General</c:formatCode>
                <c:ptCount val="14"/>
                <c:pt idx="0">
                  <c:v>0</c:v>
                </c:pt>
                <c:pt idx="5">
                  <c:v>0</c:v>
                </c:pt>
                <c:pt idx="10">
                  <c:v>0</c:v>
                </c:pt>
              </c:numCache>
            </c:numRef>
          </c:val>
          <c:smooth val="0"/>
          <c:extLst>
            <c:ext xmlns:c15="http://schemas.microsoft.com/office/drawing/2012/chart" uri="{02D57815-91ED-43cb-92C2-25804820EDAC}">
              <c15:datalabelsRange>
                <c15:f>'Trziste rada-ARS'!$M$39:$M$64</c15:f>
                <c15:dlblRangeCache>
                  <c:ptCount val="14"/>
                  <c:pt idx="0">
                    <c:v>2022</c:v>
                  </c:pt>
                  <c:pt idx="5">
                    <c:v>2022</c:v>
                  </c:pt>
                  <c:pt idx="10">
                    <c:v>2022</c:v>
                  </c:pt>
                </c15:dlblRangeCache>
              </c15:datalabelsRange>
            </c:ext>
            <c:ext xmlns:c16="http://schemas.microsoft.com/office/drawing/2014/chart" uri="{C3380CC4-5D6E-409C-BE32-E72D297353CC}">
              <c16:uniqueId val="{00000032-F986-44D9-89AB-894F3B1D1F0C}"/>
            </c:ext>
          </c:extLst>
        </c:ser>
        <c:ser>
          <c:idx val="5"/>
          <c:order val="5"/>
          <c:spPr>
            <a:ln w="28575" cap="rnd">
              <a:solidFill>
                <a:schemeClr val="accent6"/>
              </a:solidFill>
              <a:round/>
            </a:ln>
            <a:effectLst/>
          </c:spPr>
          <c:marker>
            <c:symbol val="none"/>
          </c:marker>
          <c:dLbls>
            <c:dLbl>
              <c:idx val="0"/>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3-F986-44D9-89AB-894F3B1D1F0C}"/>
                </c:ext>
              </c:extLst>
            </c:dLbl>
            <c:dLbl>
              <c:idx val="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4-F986-44D9-89AB-894F3B1D1F0C}"/>
                </c:ext>
              </c:extLst>
            </c:dLbl>
            <c:dLbl>
              <c:idx val="2"/>
              <c:layout>
                <c:manualLayout>
                  <c:x val="-4.3898049329199683E-2"/>
                  <c:y val="0.13716133444288792"/>
                </c:manualLayout>
              </c:layout>
              <c:tx>
                <c:rich>
                  <a:bodyPr/>
                  <a:lstStyle/>
                  <a:p>
                    <a:fld id="{A2E8A581-70D3-4D88-AFD0-A8AC0177A7D4}" type="CELLRANGE">
                      <a:rPr lang="en-US"/>
                      <a:pPr/>
                      <a:t>[CELLRANGE]</a:t>
                    </a:fld>
                    <a:endParaRPr lang="sr-Cyrl-RS"/>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5-F986-44D9-89AB-894F3B1D1F0C}"/>
                </c:ext>
              </c:extLst>
            </c:dLbl>
            <c:dLbl>
              <c:idx val="3"/>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6-F986-44D9-89AB-894F3B1D1F0C}"/>
                </c:ext>
              </c:extLst>
            </c:dLbl>
            <c:dLbl>
              <c:idx val="4"/>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7-F986-44D9-89AB-894F3B1D1F0C}"/>
                </c:ext>
              </c:extLst>
            </c:dLbl>
            <c:dLbl>
              <c:idx val="5"/>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8-F986-44D9-89AB-894F3B1D1F0C}"/>
                </c:ext>
              </c:extLst>
            </c:dLbl>
            <c:dLbl>
              <c:idx val="6"/>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9-F986-44D9-89AB-894F3B1D1F0C}"/>
                </c:ext>
              </c:extLst>
            </c:dLbl>
            <c:dLbl>
              <c:idx val="7"/>
              <c:layout>
                <c:manualLayout>
                  <c:x val="-4.1381290753289987E-2"/>
                  <c:y val="0.13716133444288792"/>
                </c:manualLayout>
              </c:layout>
              <c:tx>
                <c:rich>
                  <a:bodyPr/>
                  <a:lstStyle/>
                  <a:p>
                    <a:fld id="{161D77A6-0050-4322-9780-8E5E4B1C3EDD}" type="CELLRANGE">
                      <a:rPr lang="en-U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A-F986-44D9-89AB-894F3B1D1F0C}"/>
                </c:ext>
              </c:extLst>
            </c:dLbl>
            <c:dLbl>
              <c:idx val="8"/>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B-F986-44D9-89AB-894F3B1D1F0C}"/>
                </c:ext>
              </c:extLst>
            </c:dLbl>
            <c:dLbl>
              <c:idx val="9"/>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C-F986-44D9-89AB-894F3B1D1F0C}"/>
                </c:ext>
              </c:extLst>
            </c:dLbl>
            <c:dLbl>
              <c:idx val="10"/>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D-F986-44D9-89AB-894F3B1D1F0C}"/>
                </c:ext>
              </c:extLst>
            </c:dLbl>
            <c:dLbl>
              <c:idx val="1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E-F986-44D9-89AB-894F3B1D1F0C}"/>
                </c:ext>
              </c:extLst>
            </c:dLbl>
            <c:dLbl>
              <c:idx val="12"/>
              <c:layout>
                <c:manualLayout>
                  <c:x val="-4.1368121667718367E-2"/>
                  <c:y val="0.13716133444288792"/>
                </c:manualLayout>
              </c:layout>
              <c:tx>
                <c:rich>
                  <a:bodyPr/>
                  <a:lstStyle/>
                  <a:p>
                    <a:fld id="{DE04CC6D-AC01-4CA1-911B-A77AF18960FA}" type="CELLRANGE">
                      <a:rPr lang="en-U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F-F986-44D9-89AB-894F3B1D1F0C}"/>
                </c:ext>
              </c:extLst>
            </c:dLbl>
            <c:dLbl>
              <c:idx val="13"/>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0-F986-44D9-89AB-894F3B1D1F0C}"/>
                </c:ext>
              </c:extLst>
            </c:dLbl>
            <c:spPr>
              <a:noFill/>
              <a:ln>
                <a:noFill/>
              </a:ln>
              <a:effectLst/>
            </c:spPr>
            <c:txPr>
              <a:bodyPr rot="0" spcFirstLastPara="1" vertOverflow="ellipsis" vert="horz" wrap="non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14"/>
                <c:lvl>
                  <c:pt idx="0">
                    <c:v>I</c:v>
                  </c:pt>
                  <c:pt idx="1">
                    <c:v>II</c:v>
                  </c:pt>
                  <c:pt idx="2">
                    <c:v>I</c:v>
                  </c:pt>
                  <c:pt idx="3">
                    <c:v>II</c:v>
                  </c:pt>
                  <c:pt idx="4">
                    <c:v> </c:v>
                  </c:pt>
                  <c:pt idx="5">
                    <c:v>I</c:v>
                  </c:pt>
                  <c:pt idx="6">
                    <c:v>II</c:v>
                  </c:pt>
                  <c:pt idx="7">
                    <c:v>I</c:v>
                  </c:pt>
                  <c:pt idx="8">
                    <c:v>II</c:v>
                  </c:pt>
                  <c:pt idx="9">
                    <c:v> </c:v>
                  </c:pt>
                  <c:pt idx="10">
                    <c:v>I</c:v>
                  </c:pt>
                  <c:pt idx="11">
                    <c:v>II</c:v>
                  </c:pt>
                  <c:pt idx="12">
                    <c:v>I</c:v>
                  </c:pt>
                  <c:pt idx="13">
                    <c:v>II</c:v>
                  </c:pt>
                </c:lvl>
                <c:lvl>
                  <c:pt idx="0">
                    <c:v>2022</c:v>
                  </c:pt>
                  <c:pt idx="2">
                    <c:v>2023</c:v>
                  </c:pt>
                  <c:pt idx="4">
                    <c:v> </c:v>
                  </c:pt>
                  <c:pt idx="5">
                    <c:v>2022</c:v>
                  </c:pt>
                  <c:pt idx="7">
                    <c:v>2023</c:v>
                  </c:pt>
                  <c:pt idx="9">
                    <c:v> </c:v>
                  </c:pt>
                  <c:pt idx="10">
                    <c:v>2022</c:v>
                  </c:pt>
                  <c:pt idx="12">
                    <c:v>2023</c:v>
                  </c:pt>
                </c:lvl>
              </c:multiLvlStrCache>
            </c:multiLvlStrRef>
          </c:cat>
          <c:val>
            <c:numRef>
              <c:f>'Trziste rada-ARS'!$J$39:$J$64</c:f>
              <c:numCache>
                <c:formatCode>General</c:formatCode>
                <c:ptCount val="14"/>
                <c:pt idx="2">
                  <c:v>0</c:v>
                </c:pt>
                <c:pt idx="7">
                  <c:v>0</c:v>
                </c:pt>
                <c:pt idx="12">
                  <c:v>0</c:v>
                </c:pt>
              </c:numCache>
            </c:numRef>
          </c:val>
          <c:smooth val="0"/>
          <c:extLst>
            <c:ext xmlns:c15="http://schemas.microsoft.com/office/drawing/2012/chart" uri="{02D57815-91ED-43cb-92C2-25804820EDAC}">
              <c15:datalabelsRange>
                <c15:f>'Trziste rada-ARS'!$N$39:$N$64</c15:f>
                <c15:dlblRangeCache>
                  <c:ptCount val="14"/>
                  <c:pt idx="2">
                    <c:v>2023</c:v>
                  </c:pt>
                  <c:pt idx="7">
                    <c:v>2023</c:v>
                  </c:pt>
                  <c:pt idx="12">
                    <c:v>2023</c:v>
                  </c:pt>
                </c15:dlblRangeCache>
              </c15:datalabelsRange>
            </c:ext>
            <c:ext xmlns:c16="http://schemas.microsoft.com/office/drawing/2014/chart" uri="{C3380CC4-5D6E-409C-BE32-E72D297353CC}">
              <c16:uniqueId val="{00000041-F986-44D9-89AB-894F3B1D1F0C}"/>
            </c:ext>
          </c:extLst>
        </c:ser>
        <c:dLbls>
          <c:showLegendKey val="0"/>
          <c:showVal val="0"/>
          <c:showCatName val="0"/>
          <c:showSerName val="0"/>
          <c:showPercent val="0"/>
          <c:showBubbleSize val="0"/>
        </c:dLbls>
        <c:marker val="1"/>
        <c:smooth val="0"/>
        <c:axId val="961497464"/>
        <c:axId val="961498448"/>
      </c:lineChart>
      <c:catAx>
        <c:axId val="961497464"/>
        <c:scaling>
          <c:orientation val="minMax"/>
        </c:scaling>
        <c:delete val="0"/>
        <c:axPos val="b"/>
        <c:numFmt formatCode="General" sourceLinked="1"/>
        <c:majorTickMark val="none"/>
        <c:minorTickMark val="none"/>
        <c:tickLblPos val="none"/>
        <c:spPr>
          <a:noFill/>
          <a:ln w="9525" cap="flat" cmpd="sng" algn="ctr">
            <a:no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961498448"/>
        <c:crosses val="autoZero"/>
        <c:auto val="1"/>
        <c:lblAlgn val="ctr"/>
        <c:lblOffset val="100"/>
        <c:noMultiLvlLbl val="0"/>
      </c:catAx>
      <c:valAx>
        <c:axId val="961498448"/>
        <c:scaling>
          <c:orientation val="minMax"/>
        </c:scaling>
        <c:delete val="0"/>
        <c:axPos val="l"/>
        <c:numFmt formatCode="0%" sourceLinked="0"/>
        <c:majorTickMark val="none"/>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961497464"/>
        <c:crosses val="autoZero"/>
        <c:crossBetween val="between"/>
      </c:valAx>
      <c:valAx>
        <c:axId val="1025106808"/>
        <c:scaling>
          <c:orientation val="minMax"/>
        </c:scaling>
        <c:delete val="0"/>
        <c:axPos val="r"/>
        <c:numFmt formatCode="0%" sourceLinked="0"/>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025104512"/>
        <c:crosses val="max"/>
        <c:crossBetween val="between"/>
      </c:valAx>
      <c:catAx>
        <c:axId val="1025104512"/>
        <c:scaling>
          <c:orientation val="minMax"/>
        </c:scaling>
        <c:delete val="1"/>
        <c:axPos val="b"/>
        <c:numFmt formatCode="General" sourceLinked="1"/>
        <c:majorTickMark val="out"/>
        <c:minorTickMark val="none"/>
        <c:tickLblPos val="nextTo"/>
        <c:crossAx val="1025106808"/>
        <c:crosses val="autoZero"/>
        <c:auto val="1"/>
        <c:lblAlgn val="ctr"/>
        <c:lblOffset val="100"/>
        <c:noMultiLvlLbl val="0"/>
      </c:cat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sr-Latn-RS"/>
    </a:p>
  </c:txPr>
  <c:externalData r:id="rId2">
    <c:autoUpdate val="0"/>
  </c:externalData>
  <c:userShapes r:id="rId3"/>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700459317585304"/>
          <c:y val="6.4675925925925928E-2"/>
          <c:w val="0.66217155147273266"/>
          <c:h val="0.66223309478603765"/>
        </c:manualLayout>
      </c:layout>
      <c:barChart>
        <c:barDir val="col"/>
        <c:grouping val="clustered"/>
        <c:varyColors val="0"/>
        <c:ser>
          <c:idx val="0"/>
          <c:order val="0"/>
          <c:tx>
            <c:strRef>
              <c:f>Inflacija!$U$173</c:f>
              <c:strCache>
                <c:ptCount val="1"/>
                <c:pt idx="0">
                  <c:v>Месечна инфлација</c:v>
                </c:pt>
              </c:strCache>
            </c:strRef>
          </c:tx>
          <c:spPr>
            <a:solidFill>
              <a:srgbClr val="29489A"/>
            </a:solidFill>
            <a:ln>
              <a:noFill/>
            </a:ln>
            <a:effectLst/>
          </c:spPr>
          <c:invertIfNegative val="0"/>
          <c:cat>
            <c:multiLvlStrRef>
              <c:f>Inflacija!$R$174:$S$193</c:f>
              <c:multiLvlStrCache>
                <c:ptCount val="20"/>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lvl>
                <c:lvl>
                  <c:pt idx="0">
                    <c:v>2022</c:v>
                  </c:pt>
                  <c:pt idx="12">
                    <c:v>2023</c:v>
                  </c:pt>
                </c:lvl>
              </c:multiLvlStrCache>
            </c:multiLvlStrRef>
          </c:cat>
          <c:val>
            <c:numRef>
              <c:f>Inflacija!$U$174:$U$193</c:f>
              <c:numCache>
                <c:formatCode>0.0</c:formatCode>
                <c:ptCount val="20"/>
                <c:pt idx="0">
                  <c:v>0.8</c:v>
                </c:pt>
                <c:pt idx="1">
                  <c:v>1.1000000000000001</c:v>
                </c:pt>
                <c:pt idx="2">
                  <c:v>0.8</c:v>
                </c:pt>
                <c:pt idx="3">
                  <c:v>1.5</c:v>
                </c:pt>
                <c:pt idx="4">
                  <c:v>1.2</c:v>
                </c:pt>
                <c:pt idx="5">
                  <c:v>1.6</c:v>
                </c:pt>
                <c:pt idx="6">
                  <c:v>1</c:v>
                </c:pt>
                <c:pt idx="7">
                  <c:v>1.2</c:v>
                </c:pt>
                <c:pt idx="8">
                  <c:v>1.5</c:v>
                </c:pt>
                <c:pt idx="9">
                  <c:v>1.9</c:v>
                </c:pt>
                <c:pt idx="10">
                  <c:v>1</c:v>
                </c:pt>
                <c:pt idx="11">
                  <c:v>0.5</c:v>
                </c:pt>
                <c:pt idx="12">
                  <c:v>1.4</c:v>
                </c:pt>
                <c:pt idx="13">
                  <c:v>1.4</c:v>
                </c:pt>
                <c:pt idx="14">
                  <c:v>0.9</c:v>
                </c:pt>
                <c:pt idx="15">
                  <c:v>0.7</c:v>
                </c:pt>
                <c:pt idx="16">
                  <c:v>0.9</c:v>
                </c:pt>
                <c:pt idx="17">
                  <c:v>0.7</c:v>
                </c:pt>
                <c:pt idx="18">
                  <c:v>-0.1</c:v>
                </c:pt>
                <c:pt idx="19">
                  <c:v>0.4</c:v>
                </c:pt>
              </c:numCache>
            </c:numRef>
          </c:val>
          <c:extLst>
            <c:ext xmlns:c16="http://schemas.microsoft.com/office/drawing/2014/chart" uri="{C3380CC4-5D6E-409C-BE32-E72D297353CC}">
              <c16:uniqueId val="{00000000-FE49-4670-8BDD-3ED009569028}"/>
            </c:ext>
          </c:extLst>
        </c:ser>
        <c:dLbls>
          <c:showLegendKey val="0"/>
          <c:showVal val="0"/>
          <c:showCatName val="0"/>
          <c:showSerName val="0"/>
          <c:showPercent val="0"/>
          <c:showBubbleSize val="0"/>
        </c:dLbls>
        <c:gapWidth val="59"/>
        <c:axId val="807687135"/>
        <c:axId val="807693375"/>
      </c:barChart>
      <c:lineChart>
        <c:grouping val="standard"/>
        <c:varyColors val="0"/>
        <c:ser>
          <c:idx val="1"/>
          <c:order val="1"/>
          <c:tx>
            <c:strRef>
              <c:f>Inflacija!$V$173</c:f>
              <c:strCache>
                <c:ptCount val="1"/>
                <c:pt idx="0">
                  <c:v>Међугодишња инфлација (десна скала)</c:v>
                </c:pt>
              </c:strCache>
            </c:strRef>
          </c:tx>
          <c:spPr>
            <a:ln w="22225" cap="rnd">
              <a:solidFill>
                <a:srgbClr val="FF0000"/>
              </a:solidFill>
              <a:round/>
            </a:ln>
            <a:effectLst/>
          </c:spPr>
          <c:marker>
            <c:symbol val="none"/>
          </c:marker>
          <c:val>
            <c:numRef>
              <c:f>Inflacija!$V$174:$V$193</c:f>
              <c:numCache>
                <c:formatCode>0.0</c:formatCode>
                <c:ptCount val="20"/>
                <c:pt idx="0">
                  <c:v>8.1999999999999993</c:v>
                </c:pt>
                <c:pt idx="1">
                  <c:v>8.8000000000000007</c:v>
                </c:pt>
                <c:pt idx="2">
                  <c:v>9.1</c:v>
                </c:pt>
                <c:pt idx="3">
                  <c:v>9.6</c:v>
                </c:pt>
                <c:pt idx="4">
                  <c:v>10.4</c:v>
                </c:pt>
                <c:pt idx="5">
                  <c:v>11.9</c:v>
                </c:pt>
                <c:pt idx="6">
                  <c:v>12.8</c:v>
                </c:pt>
                <c:pt idx="7">
                  <c:v>13.2</c:v>
                </c:pt>
                <c:pt idx="8">
                  <c:v>14</c:v>
                </c:pt>
                <c:pt idx="9">
                  <c:v>15</c:v>
                </c:pt>
                <c:pt idx="10">
                  <c:v>15.1</c:v>
                </c:pt>
                <c:pt idx="11">
                  <c:v>15.1</c:v>
                </c:pt>
                <c:pt idx="12">
                  <c:v>15.8</c:v>
                </c:pt>
                <c:pt idx="13">
                  <c:v>16.100000000000001</c:v>
                </c:pt>
                <c:pt idx="14">
                  <c:v>16.2</c:v>
                </c:pt>
                <c:pt idx="15">
                  <c:v>15.1</c:v>
                </c:pt>
                <c:pt idx="16">
                  <c:v>14.8</c:v>
                </c:pt>
                <c:pt idx="17">
                  <c:v>13.7</c:v>
                </c:pt>
                <c:pt idx="18">
                  <c:v>12.5</c:v>
                </c:pt>
                <c:pt idx="19">
                  <c:v>11.5</c:v>
                </c:pt>
              </c:numCache>
            </c:numRef>
          </c:val>
          <c:smooth val="0"/>
          <c:extLst>
            <c:ext xmlns:c16="http://schemas.microsoft.com/office/drawing/2014/chart" uri="{C3380CC4-5D6E-409C-BE32-E72D297353CC}">
              <c16:uniqueId val="{00000001-FE49-4670-8BDD-3ED009569028}"/>
            </c:ext>
          </c:extLst>
        </c:ser>
        <c:dLbls>
          <c:showLegendKey val="0"/>
          <c:showVal val="0"/>
          <c:showCatName val="0"/>
          <c:showSerName val="0"/>
          <c:showPercent val="0"/>
          <c:showBubbleSize val="0"/>
        </c:dLbls>
        <c:marker val="1"/>
        <c:smooth val="0"/>
        <c:axId val="1141220367"/>
        <c:axId val="1141215375"/>
      </c:lineChart>
      <c:catAx>
        <c:axId val="807687135"/>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crossAx val="807693375"/>
        <c:crosses val="autoZero"/>
        <c:auto val="1"/>
        <c:lblAlgn val="ctr"/>
        <c:lblOffset val="100"/>
        <c:noMultiLvlLbl val="1"/>
      </c:catAx>
      <c:valAx>
        <c:axId val="807693375"/>
        <c:scaling>
          <c:orientation val="minMax"/>
        </c:scaling>
        <c:delete val="0"/>
        <c:axPos val="l"/>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sz="700">
                    <a:solidFill>
                      <a:schemeClr val="tx2"/>
                    </a:solidFill>
                  </a:rPr>
                  <a:t>Промена у односу на претходни месец, %</a:t>
                </a:r>
              </a:p>
            </c:rich>
          </c:tx>
          <c:layout>
            <c:manualLayout>
              <c:xMode val="edge"/>
              <c:yMode val="edge"/>
              <c:x val="2.0673301254009912E-2"/>
              <c:y val="3.8488802038431314E-3"/>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807687135"/>
        <c:crosses val="autoZero"/>
        <c:crossBetween val="between"/>
      </c:valAx>
      <c:valAx>
        <c:axId val="1141215375"/>
        <c:scaling>
          <c:orientation val="minMax"/>
        </c:scaling>
        <c:delete val="0"/>
        <c:axPos val="r"/>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sz="700">
                    <a:solidFill>
                      <a:schemeClr val="tx2"/>
                    </a:solidFill>
                  </a:rPr>
                  <a:t>Промена у односу на исти месец претходне године, %</a:t>
                </a:r>
              </a:p>
            </c:rich>
          </c:tx>
          <c:layout>
            <c:manualLayout>
              <c:xMode val="edge"/>
              <c:yMode val="edge"/>
              <c:x val="0.90699074074074071"/>
              <c:y val="7.6698854201666347E-2"/>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141220367"/>
        <c:crosses val="max"/>
        <c:crossBetween val="between"/>
      </c:valAx>
      <c:catAx>
        <c:axId val="1141220367"/>
        <c:scaling>
          <c:orientation val="minMax"/>
        </c:scaling>
        <c:delete val="1"/>
        <c:axPos val="b"/>
        <c:majorTickMark val="out"/>
        <c:minorTickMark val="none"/>
        <c:tickLblPos val="nextTo"/>
        <c:crossAx val="1141215375"/>
        <c:crosses val="autoZero"/>
        <c:auto val="1"/>
        <c:lblAlgn val="ctr"/>
        <c:lblOffset val="100"/>
        <c:noMultiLvlLbl val="0"/>
      </c:catAx>
      <c:spPr>
        <a:noFill/>
        <a:ln>
          <a:noFill/>
        </a:ln>
        <a:effectLst/>
      </c:spPr>
    </c:plotArea>
    <c:legend>
      <c:legendPos val="b"/>
      <c:layout>
        <c:manualLayout>
          <c:xMode val="edge"/>
          <c:yMode val="edge"/>
          <c:x val="0.10446741032370954"/>
          <c:y val="0.87872129629629614"/>
          <c:w val="0.77717592592592588"/>
          <c:h val="0.1095194444444444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0491452991453"/>
          <c:y val="3.9230096237970254E-2"/>
          <c:w val="0.83185352666049006"/>
          <c:h val="0.6289622222222222"/>
        </c:manualLayout>
      </c:layout>
      <c:lineChart>
        <c:grouping val="standard"/>
        <c:varyColors val="0"/>
        <c:ser>
          <c:idx val="0"/>
          <c:order val="0"/>
          <c:tx>
            <c:strRef>
              <c:f>Inflacija!$U$3</c:f>
              <c:strCache>
                <c:ptCount val="1"/>
                <c:pt idx="0">
                  <c:v>Референтна каматна стопа</c:v>
                </c:pt>
              </c:strCache>
            </c:strRef>
          </c:tx>
          <c:spPr>
            <a:ln w="22225" cap="rnd">
              <a:solidFill>
                <a:srgbClr val="51BBE7"/>
              </a:solidFill>
              <a:round/>
            </a:ln>
            <a:effectLst/>
          </c:spPr>
          <c:marker>
            <c:symbol val="none"/>
          </c:marker>
          <c:cat>
            <c:numRef>
              <c:f>Inflacija!$Q$40:$Q$167</c:f>
              <c:numCache>
                <c:formatCode>yyyy</c:formatCode>
                <c:ptCount val="128"/>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formatCode="yy">
                  <c:v>44927</c:v>
                </c:pt>
                <c:pt idx="121" formatCode="yy">
                  <c:v>44958</c:v>
                </c:pt>
                <c:pt idx="122" formatCode="yy">
                  <c:v>44986</c:v>
                </c:pt>
                <c:pt idx="123" formatCode="yy">
                  <c:v>45017</c:v>
                </c:pt>
                <c:pt idx="124" formatCode="yy">
                  <c:v>45047</c:v>
                </c:pt>
                <c:pt idx="125" formatCode="yy">
                  <c:v>45078</c:v>
                </c:pt>
                <c:pt idx="126" formatCode="yy">
                  <c:v>45108</c:v>
                </c:pt>
                <c:pt idx="127" formatCode="yy">
                  <c:v>45139</c:v>
                </c:pt>
              </c:numCache>
            </c:numRef>
          </c:cat>
          <c:val>
            <c:numRef>
              <c:f>Inflacija!$U$40:$U$167</c:f>
              <c:numCache>
                <c:formatCode>0.00</c:formatCode>
                <c:ptCount val="128"/>
                <c:pt idx="0">
                  <c:v>11.5</c:v>
                </c:pt>
                <c:pt idx="1">
                  <c:v>11.75</c:v>
                </c:pt>
                <c:pt idx="2">
                  <c:v>11.75</c:v>
                </c:pt>
                <c:pt idx="3">
                  <c:v>11.75</c:v>
                </c:pt>
                <c:pt idx="4">
                  <c:v>11.25</c:v>
                </c:pt>
                <c:pt idx="5">
                  <c:v>11</c:v>
                </c:pt>
                <c:pt idx="6">
                  <c:v>11</c:v>
                </c:pt>
                <c:pt idx="7">
                  <c:v>11</c:v>
                </c:pt>
                <c:pt idx="8">
                  <c:v>11</c:v>
                </c:pt>
                <c:pt idx="9">
                  <c:v>10.5</c:v>
                </c:pt>
                <c:pt idx="10">
                  <c:v>10</c:v>
                </c:pt>
                <c:pt idx="11">
                  <c:v>9.5</c:v>
                </c:pt>
                <c:pt idx="12">
                  <c:v>9.5</c:v>
                </c:pt>
                <c:pt idx="13">
                  <c:v>9.5</c:v>
                </c:pt>
                <c:pt idx="14">
                  <c:v>9.5</c:v>
                </c:pt>
                <c:pt idx="15">
                  <c:v>9.5</c:v>
                </c:pt>
                <c:pt idx="16">
                  <c:v>9</c:v>
                </c:pt>
                <c:pt idx="17">
                  <c:v>8.5</c:v>
                </c:pt>
                <c:pt idx="18">
                  <c:v>8.5</c:v>
                </c:pt>
                <c:pt idx="19">
                  <c:v>8.5</c:v>
                </c:pt>
                <c:pt idx="20">
                  <c:v>8.5</c:v>
                </c:pt>
                <c:pt idx="21">
                  <c:v>8.5</c:v>
                </c:pt>
                <c:pt idx="22">
                  <c:v>8</c:v>
                </c:pt>
                <c:pt idx="23">
                  <c:v>8</c:v>
                </c:pt>
                <c:pt idx="24">
                  <c:v>8</c:v>
                </c:pt>
                <c:pt idx="25">
                  <c:v>8</c:v>
                </c:pt>
                <c:pt idx="26">
                  <c:v>7.5</c:v>
                </c:pt>
                <c:pt idx="27">
                  <c:v>7</c:v>
                </c:pt>
                <c:pt idx="28">
                  <c:v>6.5</c:v>
                </c:pt>
                <c:pt idx="29">
                  <c:v>6</c:v>
                </c:pt>
                <c:pt idx="30">
                  <c:v>6</c:v>
                </c:pt>
                <c:pt idx="31">
                  <c:v>5.5</c:v>
                </c:pt>
                <c:pt idx="32">
                  <c:v>5</c:v>
                </c:pt>
                <c:pt idx="33">
                  <c:v>4.5</c:v>
                </c:pt>
                <c:pt idx="34">
                  <c:v>4.5</c:v>
                </c:pt>
                <c:pt idx="35">
                  <c:v>4.5</c:v>
                </c:pt>
                <c:pt idx="36">
                  <c:v>4.5</c:v>
                </c:pt>
                <c:pt idx="37">
                  <c:v>4.25</c:v>
                </c:pt>
                <c:pt idx="38">
                  <c:v>4.25</c:v>
                </c:pt>
                <c:pt idx="39">
                  <c:v>4.25</c:v>
                </c:pt>
                <c:pt idx="40">
                  <c:v>4.25</c:v>
                </c:pt>
                <c:pt idx="41">
                  <c:v>4.25</c:v>
                </c:pt>
                <c:pt idx="42">
                  <c:v>4</c:v>
                </c:pt>
                <c:pt idx="43">
                  <c:v>4</c:v>
                </c:pt>
                <c:pt idx="44">
                  <c:v>4</c:v>
                </c:pt>
                <c:pt idx="45">
                  <c:v>4</c:v>
                </c:pt>
                <c:pt idx="46">
                  <c:v>4</c:v>
                </c:pt>
                <c:pt idx="47">
                  <c:v>4</c:v>
                </c:pt>
                <c:pt idx="48">
                  <c:v>4</c:v>
                </c:pt>
                <c:pt idx="49">
                  <c:v>4</c:v>
                </c:pt>
                <c:pt idx="50">
                  <c:v>4</c:v>
                </c:pt>
                <c:pt idx="51">
                  <c:v>4</c:v>
                </c:pt>
                <c:pt idx="52">
                  <c:v>4</c:v>
                </c:pt>
                <c:pt idx="53">
                  <c:v>4</c:v>
                </c:pt>
                <c:pt idx="54">
                  <c:v>4</c:v>
                </c:pt>
                <c:pt idx="55">
                  <c:v>4</c:v>
                </c:pt>
                <c:pt idx="56">
                  <c:v>3.75</c:v>
                </c:pt>
                <c:pt idx="57">
                  <c:v>3.5</c:v>
                </c:pt>
                <c:pt idx="58">
                  <c:v>3.5</c:v>
                </c:pt>
                <c:pt idx="59">
                  <c:v>3.5</c:v>
                </c:pt>
                <c:pt idx="60">
                  <c:v>3.5</c:v>
                </c:pt>
                <c:pt idx="61">
                  <c:v>3.5</c:v>
                </c:pt>
                <c:pt idx="62">
                  <c:v>3.25</c:v>
                </c:pt>
                <c:pt idx="63">
                  <c:v>3</c:v>
                </c:pt>
                <c:pt idx="64">
                  <c:v>3</c:v>
                </c:pt>
                <c:pt idx="65">
                  <c:v>3</c:v>
                </c:pt>
                <c:pt idx="66">
                  <c:v>3</c:v>
                </c:pt>
                <c:pt idx="67">
                  <c:v>3</c:v>
                </c:pt>
                <c:pt idx="68">
                  <c:v>3</c:v>
                </c:pt>
                <c:pt idx="69">
                  <c:v>3</c:v>
                </c:pt>
                <c:pt idx="70">
                  <c:v>3</c:v>
                </c:pt>
                <c:pt idx="71">
                  <c:v>3</c:v>
                </c:pt>
                <c:pt idx="72">
                  <c:v>3</c:v>
                </c:pt>
                <c:pt idx="73">
                  <c:v>3</c:v>
                </c:pt>
                <c:pt idx="74">
                  <c:v>3</c:v>
                </c:pt>
                <c:pt idx="75">
                  <c:v>3</c:v>
                </c:pt>
                <c:pt idx="76">
                  <c:v>3</c:v>
                </c:pt>
                <c:pt idx="77">
                  <c:v>3</c:v>
                </c:pt>
                <c:pt idx="78">
                  <c:v>2.75</c:v>
                </c:pt>
                <c:pt idx="79">
                  <c:v>2.5</c:v>
                </c:pt>
                <c:pt idx="80">
                  <c:v>2.5</c:v>
                </c:pt>
                <c:pt idx="81">
                  <c:v>2.5</c:v>
                </c:pt>
                <c:pt idx="82">
                  <c:v>2.25</c:v>
                </c:pt>
                <c:pt idx="83">
                  <c:v>2.25</c:v>
                </c:pt>
                <c:pt idx="84">
                  <c:v>2.25</c:v>
                </c:pt>
                <c:pt idx="85">
                  <c:v>2.25</c:v>
                </c:pt>
                <c:pt idx="86">
                  <c:v>1.75</c:v>
                </c:pt>
                <c:pt idx="87">
                  <c:v>1.5</c:v>
                </c:pt>
                <c:pt idx="88">
                  <c:v>1.5</c:v>
                </c:pt>
                <c:pt idx="89">
                  <c:v>1.25</c:v>
                </c:pt>
                <c:pt idx="90">
                  <c:v>1.25</c:v>
                </c:pt>
                <c:pt idx="91">
                  <c:v>1.25</c:v>
                </c:pt>
                <c:pt idx="92">
                  <c:v>1.25</c:v>
                </c:pt>
                <c:pt idx="93" formatCode="General">
                  <c:v>1.25</c:v>
                </c:pt>
                <c:pt idx="94" formatCode="General">
                  <c:v>1.25</c:v>
                </c:pt>
                <c:pt idx="95">
                  <c:v>1</c:v>
                </c:pt>
                <c:pt idx="96">
                  <c:v>1</c:v>
                </c:pt>
                <c:pt idx="97">
                  <c:v>1</c:v>
                </c:pt>
                <c:pt idx="98">
                  <c:v>1</c:v>
                </c:pt>
                <c:pt idx="99">
                  <c:v>1</c:v>
                </c:pt>
                <c:pt idx="100">
                  <c:v>1</c:v>
                </c:pt>
                <c:pt idx="101">
                  <c:v>1</c:v>
                </c:pt>
                <c:pt idx="102">
                  <c:v>1</c:v>
                </c:pt>
                <c:pt idx="103">
                  <c:v>1</c:v>
                </c:pt>
                <c:pt idx="104">
                  <c:v>1</c:v>
                </c:pt>
                <c:pt idx="105">
                  <c:v>1</c:v>
                </c:pt>
                <c:pt idx="106">
                  <c:v>1</c:v>
                </c:pt>
                <c:pt idx="107">
                  <c:v>1</c:v>
                </c:pt>
                <c:pt idx="108">
                  <c:v>1</c:v>
                </c:pt>
                <c:pt idx="109">
                  <c:v>1</c:v>
                </c:pt>
                <c:pt idx="110">
                  <c:v>1</c:v>
                </c:pt>
                <c:pt idx="111">
                  <c:v>1.5</c:v>
                </c:pt>
                <c:pt idx="112">
                  <c:v>2</c:v>
                </c:pt>
                <c:pt idx="113">
                  <c:v>2.5</c:v>
                </c:pt>
                <c:pt idx="114">
                  <c:v>2.75</c:v>
                </c:pt>
                <c:pt idx="115">
                  <c:v>3</c:v>
                </c:pt>
                <c:pt idx="116">
                  <c:v>3.5</c:v>
                </c:pt>
                <c:pt idx="117">
                  <c:v>4</c:v>
                </c:pt>
                <c:pt idx="118">
                  <c:v>4.5</c:v>
                </c:pt>
                <c:pt idx="119">
                  <c:v>5</c:v>
                </c:pt>
                <c:pt idx="120">
                  <c:v>5.25</c:v>
                </c:pt>
                <c:pt idx="121">
                  <c:v>5.5</c:v>
                </c:pt>
                <c:pt idx="122">
                  <c:v>5.75</c:v>
                </c:pt>
                <c:pt idx="123">
                  <c:v>6</c:v>
                </c:pt>
                <c:pt idx="124">
                  <c:v>6</c:v>
                </c:pt>
                <c:pt idx="125" formatCode="General">
                  <c:v>6.25</c:v>
                </c:pt>
                <c:pt idx="126">
                  <c:v>6.5</c:v>
                </c:pt>
                <c:pt idx="127">
                  <c:v>6.5</c:v>
                </c:pt>
              </c:numCache>
            </c:numRef>
          </c:val>
          <c:smooth val="0"/>
          <c:extLst>
            <c:ext xmlns:c16="http://schemas.microsoft.com/office/drawing/2014/chart" uri="{C3380CC4-5D6E-409C-BE32-E72D297353CC}">
              <c16:uniqueId val="{00000000-878D-47F0-BD0D-87BB8649F9E6}"/>
            </c:ext>
          </c:extLst>
        </c:ser>
        <c:ser>
          <c:idx val="1"/>
          <c:order val="1"/>
          <c:tx>
            <c:strRef>
              <c:f>Inflacija!$V$3</c:f>
              <c:strCache>
                <c:ptCount val="1"/>
                <c:pt idx="0">
                  <c:v>Потрошачке цене</c:v>
                </c:pt>
              </c:strCache>
            </c:strRef>
          </c:tx>
          <c:spPr>
            <a:ln w="22225" cap="rnd">
              <a:solidFill>
                <a:srgbClr val="7F3F98"/>
              </a:solidFill>
              <a:round/>
            </a:ln>
            <a:effectLst/>
          </c:spPr>
          <c:marker>
            <c:symbol val="none"/>
          </c:marker>
          <c:cat>
            <c:numRef>
              <c:f>Inflacija!$Q$40:$Q$167</c:f>
              <c:numCache>
                <c:formatCode>yyyy</c:formatCode>
                <c:ptCount val="128"/>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formatCode="yy">
                  <c:v>44927</c:v>
                </c:pt>
                <c:pt idx="121" formatCode="yy">
                  <c:v>44958</c:v>
                </c:pt>
                <c:pt idx="122" formatCode="yy">
                  <c:v>44986</c:v>
                </c:pt>
                <c:pt idx="123" formatCode="yy">
                  <c:v>45017</c:v>
                </c:pt>
                <c:pt idx="124" formatCode="yy">
                  <c:v>45047</c:v>
                </c:pt>
                <c:pt idx="125" formatCode="yy">
                  <c:v>45078</c:v>
                </c:pt>
                <c:pt idx="126" formatCode="yy">
                  <c:v>45108</c:v>
                </c:pt>
                <c:pt idx="127" formatCode="yy">
                  <c:v>45139</c:v>
                </c:pt>
              </c:numCache>
            </c:numRef>
          </c:cat>
          <c:val>
            <c:numRef>
              <c:f>Inflacija!$V$40:$V$167</c:f>
              <c:numCache>
                <c:formatCode>0.0</c:formatCode>
                <c:ptCount val="128"/>
                <c:pt idx="0">
                  <c:v>12.753293315144077</c:v>
                </c:pt>
                <c:pt idx="1">
                  <c:v>12.412739988820135</c:v>
                </c:pt>
                <c:pt idx="2">
                  <c:v>11.175774206136737</c:v>
                </c:pt>
                <c:pt idx="3">
                  <c:v>11.4</c:v>
                </c:pt>
                <c:pt idx="4">
                  <c:v>9.9</c:v>
                </c:pt>
                <c:pt idx="5">
                  <c:v>9.8000000000000007</c:v>
                </c:pt>
                <c:pt idx="6">
                  <c:v>8.6</c:v>
                </c:pt>
                <c:pt idx="7" formatCode="General">
                  <c:v>7.3</c:v>
                </c:pt>
                <c:pt idx="8">
                  <c:v>4.8545411542100254</c:v>
                </c:pt>
                <c:pt idx="9">
                  <c:v>2.1686608375517835</c:v>
                </c:pt>
                <c:pt idx="10">
                  <c:v>1.5706806282722425</c:v>
                </c:pt>
                <c:pt idx="11">
                  <c:v>2.2241478913922492</c:v>
                </c:pt>
                <c:pt idx="12" formatCode="General">
                  <c:v>3.1</c:v>
                </c:pt>
                <c:pt idx="13" formatCode="General">
                  <c:v>2.6</c:v>
                </c:pt>
                <c:pt idx="14" formatCode="General">
                  <c:v>2.2999999999999998</c:v>
                </c:pt>
                <c:pt idx="15" formatCode="General">
                  <c:v>2.1</c:v>
                </c:pt>
                <c:pt idx="16">
                  <c:v>2.1</c:v>
                </c:pt>
                <c:pt idx="17" formatCode="General">
                  <c:v>1.3</c:v>
                </c:pt>
                <c:pt idx="18" formatCode="General">
                  <c:v>2.1</c:v>
                </c:pt>
                <c:pt idx="19" formatCode="General">
                  <c:v>1.5</c:v>
                </c:pt>
                <c:pt idx="20" formatCode="General">
                  <c:v>2.1</c:v>
                </c:pt>
                <c:pt idx="21" formatCode="General">
                  <c:v>1.8</c:v>
                </c:pt>
                <c:pt idx="22" formatCode="General">
                  <c:v>2.4</c:v>
                </c:pt>
                <c:pt idx="23" formatCode="General">
                  <c:v>1.7</c:v>
                </c:pt>
                <c:pt idx="24" formatCode="General">
                  <c:v>0.1</c:v>
                </c:pt>
                <c:pt idx="25" formatCode="General">
                  <c:v>0.8</c:v>
                </c:pt>
                <c:pt idx="26" formatCode="General">
                  <c:v>1.9</c:v>
                </c:pt>
                <c:pt idx="27" formatCode="General">
                  <c:v>1.8</c:v>
                </c:pt>
                <c:pt idx="28">
                  <c:v>1.5</c:v>
                </c:pt>
                <c:pt idx="29">
                  <c:v>1.9</c:v>
                </c:pt>
                <c:pt idx="30">
                  <c:v>1</c:v>
                </c:pt>
                <c:pt idx="31" formatCode="General">
                  <c:v>2.1</c:v>
                </c:pt>
                <c:pt idx="32" formatCode="General">
                  <c:v>1.4</c:v>
                </c:pt>
                <c:pt idx="33" formatCode="General">
                  <c:v>1.4</c:v>
                </c:pt>
                <c:pt idx="34" formatCode="General">
                  <c:v>1.3</c:v>
                </c:pt>
                <c:pt idx="35" formatCode="General">
                  <c:v>1.5</c:v>
                </c:pt>
                <c:pt idx="36" formatCode="General">
                  <c:v>2.4</c:v>
                </c:pt>
                <c:pt idx="37" formatCode="General">
                  <c:v>1.5</c:v>
                </c:pt>
                <c:pt idx="38" formatCode="General">
                  <c:v>0.6</c:v>
                </c:pt>
                <c:pt idx="39" formatCode="General">
                  <c:v>0.4</c:v>
                </c:pt>
                <c:pt idx="40">
                  <c:v>0.7</c:v>
                </c:pt>
                <c:pt idx="41">
                  <c:v>0.3</c:v>
                </c:pt>
                <c:pt idx="42">
                  <c:v>1.2</c:v>
                </c:pt>
                <c:pt idx="43" formatCode="General">
                  <c:v>1.2</c:v>
                </c:pt>
                <c:pt idx="44" formatCode="General">
                  <c:v>0.6</c:v>
                </c:pt>
                <c:pt idx="45" formatCode="General">
                  <c:v>1.5</c:v>
                </c:pt>
                <c:pt idx="46" formatCode="General">
                  <c:v>1.5</c:v>
                </c:pt>
                <c:pt idx="47" formatCode="General">
                  <c:v>1.6</c:v>
                </c:pt>
                <c:pt idx="48" formatCode="General">
                  <c:v>2.4</c:v>
                </c:pt>
                <c:pt idx="49" formatCode="General">
                  <c:v>3.2</c:v>
                </c:pt>
                <c:pt idx="50" formatCode="General">
                  <c:v>3.6</c:v>
                </c:pt>
                <c:pt idx="51">
                  <c:v>4</c:v>
                </c:pt>
                <c:pt idx="52">
                  <c:v>3.5</c:v>
                </c:pt>
                <c:pt idx="53">
                  <c:v>3.6</c:v>
                </c:pt>
                <c:pt idx="54">
                  <c:v>3.2</c:v>
                </c:pt>
                <c:pt idx="55" formatCode="General">
                  <c:v>2.5</c:v>
                </c:pt>
                <c:pt idx="56" formatCode="General">
                  <c:v>3.2</c:v>
                </c:pt>
                <c:pt idx="57" formatCode="General">
                  <c:v>2.8</c:v>
                </c:pt>
                <c:pt idx="58" formatCode="General">
                  <c:v>2.8</c:v>
                </c:pt>
                <c:pt idx="59">
                  <c:v>3</c:v>
                </c:pt>
                <c:pt idx="60">
                  <c:v>1.9</c:v>
                </c:pt>
                <c:pt idx="61" formatCode="General">
                  <c:v>1.5</c:v>
                </c:pt>
                <c:pt idx="62" formatCode="General">
                  <c:v>1.4</c:v>
                </c:pt>
                <c:pt idx="63">
                  <c:v>1.1000000000000001</c:v>
                </c:pt>
                <c:pt idx="64" formatCode="General">
                  <c:v>2.1</c:v>
                </c:pt>
                <c:pt idx="65" formatCode="General">
                  <c:v>2.2999999999999998</c:v>
                </c:pt>
                <c:pt idx="66" formatCode="General">
                  <c:v>2.4</c:v>
                </c:pt>
                <c:pt idx="67" formatCode="General">
                  <c:v>2.6</c:v>
                </c:pt>
                <c:pt idx="68" formatCode="General">
                  <c:v>2.1</c:v>
                </c:pt>
                <c:pt idx="69" formatCode="General">
                  <c:v>2.2000000000000002</c:v>
                </c:pt>
                <c:pt idx="70" formatCode="General">
                  <c:v>1.9</c:v>
                </c:pt>
                <c:pt idx="71">
                  <c:v>2</c:v>
                </c:pt>
                <c:pt idx="72">
                  <c:v>2.1</c:v>
                </c:pt>
                <c:pt idx="73">
                  <c:v>2.4</c:v>
                </c:pt>
                <c:pt idx="74" formatCode="General">
                  <c:v>2.8</c:v>
                </c:pt>
                <c:pt idx="75" formatCode="General">
                  <c:v>3.1</c:v>
                </c:pt>
                <c:pt idx="76" formatCode="General">
                  <c:v>2.2000000000000002</c:v>
                </c:pt>
                <c:pt idx="77" formatCode="General">
                  <c:v>1.5</c:v>
                </c:pt>
                <c:pt idx="78" formatCode="General">
                  <c:v>1.6</c:v>
                </c:pt>
                <c:pt idx="79" formatCode="General">
                  <c:v>1.3</c:v>
                </c:pt>
                <c:pt idx="80" formatCode="General">
                  <c:v>1.1000000000000001</c:v>
                </c:pt>
                <c:pt idx="81">
                  <c:v>1</c:v>
                </c:pt>
                <c:pt idx="82">
                  <c:v>1.5</c:v>
                </c:pt>
                <c:pt idx="83">
                  <c:v>1.9</c:v>
                </c:pt>
                <c:pt idx="84">
                  <c:v>2</c:v>
                </c:pt>
                <c:pt idx="85">
                  <c:v>1.9</c:v>
                </c:pt>
                <c:pt idx="86">
                  <c:v>1.3</c:v>
                </c:pt>
                <c:pt idx="87">
                  <c:v>0.6</c:v>
                </c:pt>
                <c:pt idx="88">
                  <c:v>0.7</c:v>
                </c:pt>
                <c:pt idx="89">
                  <c:v>1.6</c:v>
                </c:pt>
                <c:pt idx="90">
                  <c:v>2</c:v>
                </c:pt>
                <c:pt idx="91">
                  <c:v>1.9</c:v>
                </c:pt>
                <c:pt idx="92">
                  <c:v>1.8</c:v>
                </c:pt>
                <c:pt idx="93">
                  <c:v>1.8</c:v>
                </c:pt>
                <c:pt idx="94">
                  <c:v>1.7</c:v>
                </c:pt>
                <c:pt idx="95">
                  <c:v>1.3</c:v>
                </c:pt>
                <c:pt idx="96">
                  <c:v>1.1000000000000001</c:v>
                </c:pt>
                <c:pt idx="97">
                  <c:v>1.2</c:v>
                </c:pt>
                <c:pt idx="98">
                  <c:v>1.8</c:v>
                </c:pt>
                <c:pt idx="99">
                  <c:v>2.8</c:v>
                </c:pt>
                <c:pt idx="100">
                  <c:v>3.6</c:v>
                </c:pt>
                <c:pt idx="101">
                  <c:v>3.3</c:v>
                </c:pt>
                <c:pt idx="102">
                  <c:v>3.3</c:v>
                </c:pt>
                <c:pt idx="103">
                  <c:v>4.3</c:v>
                </c:pt>
                <c:pt idx="104">
                  <c:v>5.7</c:v>
                </c:pt>
                <c:pt idx="105" formatCode="General">
                  <c:v>6.6</c:v>
                </c:pt>
                <c:pt idx="106" formatCode="General">
                  <c:v>7.5</c:v>
                </c:pt>
                <c:pt idx="107" formatCode="General">
                  <c:v>7.9</c:v>
                </c:pt>
                <c:pt idx="108" formatCode="General">
                  <c:v>8.1999999999999993</c:v>
                </c:pt>
                <c:pt idx="109" formatCode="General">
                  <c:v>8.8000000000000007</c:v>
                </c:pt>
                <c:pt idx="110" formatCode="General">
                  <c:v>9.1</c:v>
                </c:pt>
                <c:pt idx="111" formatCode="General">
                  <c:v>9.6</c:v>
                </c:pt>
                <c:pt idx="112" formatCode="General">
                  <c:v>10.4</c:v>
                </c:pt>
                <c:pt idx="113" formatCode="General">
                  <c:v>11.9</c:v>
                </c:pt>
                <c:pt idx="114" formatCode="General">
                  <c:v>12.8</c:v>
                </c:pt>
                <c:pt idx="115" formatCode="General">
                  <c:v>13.2</c:v>
                </c:pt>
                <c:pt idx="116">
                  <c:v>14</c:v>
                </c:pt>
                <c:pt idx="117">
                  <c:v>15</c:v>
                </c:pt>
                <c:pt idx="118" formatCode="General">
                  <c:v>15.1</c:v>
                </c:pt>
                <c:pt idx="119" formatCode="General">
                  <c:v>15.1</c:v>
                </c:pt>
                <c:pt idx="120" formatCode="General">
                  <c:v>15.8</c:v>
                </c:pt>
                <c:pt idx="121" formatCode="General">
                  <c:v>16.100000000000001</c:v>
                </c:pt>
                <c:pt idx="122" formatCode="General">
                  <c:v>16.2</c:v>
                </c:pt>
                <c:pt idx="123" formatCode="General">
                  <c:v>15.1</c:v>
                </c:pt>
                <c:pt idx="124" formatCode="General">
                  <c:v>14.8</c:v>
                </c:pt>
                <c:pt idx="125" formatCode="General">
                  <c:v>13.7</c:v>
                </c:pt>
                <c:pt idx="126" formatCode="General">
                  <c:v>12.5</c:v>
                </c:pt>
                <c:pt idx="127" formatCode="General">
                  <c:v>11.5</c:v>
                </c:pt>
              </c:numCache>
            </c:numRef>
          </c:val>
          <c:smooth val="0"/>
          <c:extLst>
            <c:ext xmlns:c16="http://schemas.microsoft.com/office/drawing/2014/chart" uri="{C3380CC4-5D6E-409C-BE32-E72D297353CC}">
              <c16:uniqueId val="{00000001-878D-47F0-BD0D-87BB8649F9E6}"/>
            </c:ext>
          </c:extLst>
        </c:ser>
        <c:ser>
          <c:idx val="2"/>
          <c:order val="2"/>
          <c:tx>
            <c:strRef>
              <c:f>Inflacija!$W$3</c:f>
              <c:strCache>
                <c:ptCount val="1"/>
                <c:pt idx="0">
                  <c:v>Циљана инфлација</c:v>
                </c:pt>
              </c:strCache>
            </c:strRef>
          </c:tx>
          <c:spPr>
            <a:ln w="22225" cap="rnd">
              <a:solidFill>
                <a:srgbClr val="FF0000"/>
              </a:solidFill>
              <a:round/>
            </a:ln>
            <a:effectLst/>
          </c:spPr>
          <c:marker>
            <c:symbol val="none"/>
          </c:marker>
          <c:cat>
            <c:numRef>
              <c:f>Inflacija!$Q$40:$Q$167</c:f>
              <c:numCache>
                <c:formatCode>yyyy</c:formatCode>
                <c:ptCount val="128"/>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formatCode="yy">
                  <c:v>44927</c:v>
                </c:pt>
                <c:pt idx="121" formatCode="yy">
                  <c:v>44958</c:v>
                </c:pt>
                <c:pt idx="122" formatCode="yy">
                  <c:v>44986</c:v>
                </c:pt>
                <c:pt idx="123" formatCode="yy">
                  <c:v>45017</c:v>
                </c:pt>
                <c:pt idx="124" formatCode="yy">
                  <c:v>45047</c:v>
                </c:pt>
                <c:pt idx="125" formatCode="yy">
                  <c:v>45078</c:v>
                </c:pt>
                <c:pt idx="126" formatCode="yy">
                  <c:v>45108</c:v>
                </c:pt>
                <c:pt idx="127" formatCode="yy">
                  <c:v>45139</c:v>
                </c:pt>
              </c:numCache>
            </c:numRef>
          </c:cat>
          <c:val>
            <c:numRef>
              <c:f>Inflacija!$W$40:$W$167</c:f>
              <c:numCache>
                <c:formatCode>0.0</c:formatCode>
                <c:ptCount val="128"/>
                <c:pt idx="0">
                  <c:v>4</c:v>
                </c:pt>
                <c:pt idx="1">
                  <c:v>4</c:v>
                </c:pt>
                <c:pt idx="2">
                  <c:v>4</c:v>
                </c:pt>
                <c:pt idx="3">
                  <c:v>4</c:v>
                </c:pt>
                <c:pt idx="4">
                  <c:v>4</c:v>
                </c:pt>
                <c:pt idx="5">
                  <c:v>4</c:v>
                </c:pt>
                <c:pt idx="6">
                  <c:v>4</c:v>
                </c:pt>
                <c:pt idx="7">
                  <c:v>4</c:v>
                </c:pt>
                <c:pt idx="8">
                  <c:v>4</c:v>
                </c:pt>
                <c:pt idx="9">
                  <c:v>4</c:v>
                </c:pt>
                <c:pt idx="10">
                  <c:v>4</c:v>
                </c:pt>
                <c:pt idx="11">
                  <c:v>4</c:v>
                </c:pt>
                <c:pt idx="12">
                  <c:v>4</c:v>
                </c:pt>
                <c:pt idx="13">
                  <c:v>4</c:v>
                </c:pt>
                <c:pt idx="14">
                  <c:v>4</c:v>
                </c:pt>
                <c:pt idx="15">
                  <c:v>4</c:v>
                </c:pt>
                <c:pt idx="16">
                  <c:v>4</c:v>
                </c:pt>
                <c:pt idx="17">
                  <c:v>4</c:v>
                </c:pt>
                <c:pt idx="18">
                  <c:v>4</c:v>
                </c:pt>
                <c:pt idx="19">
                  <c:v>4</c:v>
                </c:pt>
                <c:pt idx="20">
                  <c:v>4</c:v>
                </c:pt>
                <c:pt idx="21">
                  <c:v>4</c:v>
                </c:pt>
                <c:pt idx="22">
                  <c:v>4</c:v>
                </c:pt>
                <c:pt idx="23">
                  <c:v>4</c:v>
                </c:pt>
                <c:pt idx="24">
                  <c:v>4</c:v>
                </c:pt>
                <c:pt idx="25">
                  <c:v>4</c:v>
                </c:pt>
                <c:pt idx="26">
                  <c:v>4</c:v>
                </c:pt>
                <c:pt idx="27">
                  <c:v>4</c:v>
                </c:pt>
                <c:pt idx="28">
                  <c:v>4</c:v>
                </c:pt>
                <c:pt idx="29">
                  <c:v>4</c:v>
                </c:pt>
                <c:pt idx="30">
                  <c:v>4</c:v>
                </c:pt>
                <c:pt idx="31">
                  <c:v>4</c:v>
                </c:pt>
                <c:pt idx="32">
                  <c:v>4</c:v>
                </c:pt>
                <c:pt idx="33">
                  <c:v>4</c:v>
                </c:pt>
                <c:pt idx="34">
                  <c:v>4</c:v>
                </c:pt>
                <c:pt idx="35">
                  <c:v>4</c:v>
                </c:pt>
                <c:pt idx="36">
                  <c:v>4</c:v>
                </c:pt>
                <c:pt idx="37">
                  <c:v>4</c:v>
                </c:pt>
                <c:pt idx="38">
                  <c:v>4</c:v>
                </c:pt>
                <c:pt idx="39">
                  <c:v>4</c:v>
                </c:pt>
                <c:pt idx="40">
                  <c:v>4</c:v>
                </c:pt>
                <c:pt idx="41">
                  <c:v>4</c:v>
                </c:pt>
                <c:pt idx="42">
                  <c:v>4</c:v>
                </c:pt>
                <c:pt idx="43">
                  <c:v>4</c:v>
                </c:pt>
                <c:pt idx="44">
                  <c:v>4</c:v>
                </c:pt>
                <c:pt idx="45">
                  <c:v>4</c:v>
                </c:pt>
                <c:pt idx="46">
                  <c:v>4</c:v>
                </c:pt>
                <c:pt idx="47">
                  <c:v>4</c:v>
                </c:pt>
                <c:pt idx="48">
                  <c:v>3</c:v>
                </c:pt>
                <c:pt idx="49">
                  <c:v>3</c:v>
                </c:pt>
                <c:pt idx="50">
                  <c:v>3</c:v>
                </c:pt>
                <c:pt idx="51">
                  <c:v>3</c:v>
                </c:pt>
                <c:pt idx="52">
                  <c:v>3</c:v>
                </c:pt>
                <c:pt idx="53">
                  <c:v>3</c:v>
                </c:pt>
                <c:pt idx="54">
                  <c:v>3</c:v>
                </c:pt>
                <c:pt idx="55">
                  <c:v>3</c:v>
                </c:pt>
                <c:pt idx="56">
                  <c:v>3</c:v>
                </c:pt>
                <c:pt idx="57">
                  <c:v>3</c:v>
                </c:pt>
                <c:pt idx="58">
                  <c:v>3</c:v>
                </c:pt>
                <c:pt idx="59">
                  <c:v>3</c:v>
                </c:pt>
                <c:pt idx="60">
                  <c:v>3</c:v>
                </c:pt>
                <c:pt idx="61">
                  <c:v>3</c:v>
                </c:pt>
                <c:pt idx="62">
                  <c:v>3</c:v>
                </c:pt>
                <c:pt idx="63">
                  <c:v>3</c:v>
                </c:pt>
                <c:pt idx="64">
                  <c:v>3</c:v>
                </c:pt>
                <c:pt idx="65">
                  <c:v>3</c:v>
                </c:pt>
                <c:pt idx="66">
                  <c:v>3</c:v>
                </c:pt>
                <c:pt idx="67">
                  <c:v>3</c:v>
                </c:pt>
                <c:pt idx="68">
                  <c:v>3</c:v>
                </c:pt>
                <c:pt idx="69">
                  <c:v>3</c:v>
                </c:pt>
                <c:pt idx="70">
                  <c:v>3</c:v>
                </c:pt>
                <c:pt idx="71">
                  <c:v>3</c:v>
                </c:pt>
                <c:pt idx="72">
                  <c:v>3</c:v>
                </c:pt>
                <c:pt idx="73">
                  <c:v>3</c:v>
                </c:pt>
                <c:pt idx="74">
                  <c:v>3</c:v>
                </c:pt>
                <c:pt idx="75">
                  <c:v>3</c:v>
                </c:pt>
                <c:pt idx="76">
                  <c:v>3</c:v>
                </c:pt>
                <c:pt idx="77">
                  <c:v>3</c:v>
                </c:pt>
                <c:pt idx="78">
                  <c:v>3</c:v>
                </c:pt>
                <c:pt idx="79">
                  <c:v>3</c:v>
                </c:pt>
                <c:pt idx="80">
                  <c:v>3</c:v>
                </c:pt>
                <c:pt idx="81">
                  <c:v>3</c:v>
                </c:pt>
                <c:pt idx="82">
                  <c:v>3</c:v>
                </c:pt>
                <c:pt idx="83">
                  <c:v>3</c:v>
                </c:pt>
                <c:pt idx="84">
                  <c:v>3</c:v>
                </c:pt>
                <c:pt idx="85">
                  <c:v>3</c:v>
                </c:pt>
                <c:pt idx="86">
                  <c:v>3</c:v>
                </c:pt>
                <c:pt idx="87">
                  <c:v>3</c:v>
                </c:pt>
                <c:pt idx="88">
                  <c:v>3</c:v>
                </c:pt>
                <c:pt idx="89">
                  <c:v>3</c:v>
                </c:pt>
                <c:pt idx="90">
                  <c:v>3</c:v>
                </c:pt>
                <c:pt idx="91">
                  <c:v>3</c:v>
                </c:pt>
                <c:pt idx="92">
                  <c:v>3</c:v>
                </c:pt>
                <c:pt idx="93">
                  <c:v>3</c:v>
                </c:pt>
                <c:pt idx="94">
                  <c:v>3</c:v>
                </c:pt>
                <c:pt idx="95">
                  <c:v>3</c:v>
                </c:pt>
                <c:pt idx="96">
                  <c:v>3</c:v>
                </c:pt>
                <c:pt idx="97">
                  <c:v>3</c:v>
                </c:pt>
                <c:pt idx="98">
                  <c:v>3</c:v>
                </c:pt>
                <c:pt idx="99">
                  <c:v>3</c:v>
                </c:pt>
                <c:pt idx="100">
                  <c:v>3</c:v>
                </c:pt>
                <c:pt idx="101">
                  <c:v>3</c:v>
                </c:pt>
                <c:pt idx="102">
                  <c:v>3</c:v>
                </c:pt>
                <c:pt idx="103">
                  <c:v>3</c:v>
                </c:pt>
                <c:pt idx="104">
                  <c:v>3</c:v>
                </c:pt>
                <c:pt idx="105">
                  <c:v>3</c:v>
                </c:pt>
                <c:pt idx="106">
                  <c:v>3</c:v>
                </c:pt>
                <c:pt idx="107">
                  <c:v>3</c:v>
                </c:pt>
                <c:pt idx="108">
                  <c:v>3</c:v>
                </c:pt>
                <c:pt idx="109">
                  <c:v>3</c:v>
                </c:pt>
                <c:pt idx="110">
                  <c:v>3</c:v>
                </c:pt>
                <c:pt idx="111">
                  <c:v>3</c:v>
                </c:pt>
                <c:pt idx="112">
                  <c:v>3</c:v>
                </c:pt>
                <c:pt idx="113">
                  <c:v>3</c:v>
                </c:pt>
                <c:pt idx="114">
                  <c:v>3</c:v>
                </c:pt>
                <c:pt idx="115">
                  <c:v>3</c:v>
                </c:pt>
                <c:pt idx="116">
                  <c:v>3</c:v>
                </c:pt>
                <c:pt idx="117">
                  <c:v>3</c:v>
                </c:pt>
                <c:pt idx="118">
                  <c:v>3</c:v>
                </c:pt>
                <c:pt idx="119">
                  <c:v>3</c:v>
                </c:pt>
                <c:pt idx="120">
                  <c:v>3</c:v>
                </c:pt>
                <c:pt idx="121">
                  <c:v>3</c:v>
                </c:pt>
                <c:pt idx="122">
                  <c:v>3</c:v>
                </c:pt>
                <c:pt idx="123">
                  <c:v>3</c:v>
                </c:pt>
                <c:pt idx="124">
                  <c:v>3</c:v>
                </c:pt>
                <c:pt idx="125">
                  <c:v>3</c:v>
                </c:pt>
                <c:pt idx="126">
                  <c:v>3</c:v>
                </c:pt>
                <c:pt idx="127">
                  <c:v>3</c:v>
                </c:pt>
              </c:numCache>
            </c:numRef>
          </c:val>
          <c:smooth val="0"/>
          <c:extLst>
            <c:ext xmlns:c16="http://schemas.microsoft.com/office/drawing/2014/chart" uri="{C3380CC4-5D6E-409C-BE32-E72D297353CC}">
              <c16:uniqueId val="{00000002-878D-47F0-BD0D-87BB8649F9E6}"/>
            </c:ext>
          </c:extLst>
        </c:ser>
        <c:ser>
          <c:idx val="3"/>
          <c:order val="3"/>
          <c:tx>
            <c:strRef>
              <c:f>Inflacija!$X$3</c:f>
              <c:strCache>
                <c:ptCount val="1"/>
                <c:pt idx="0">
                  <c:v>Коридор инфлације</c:v>
                </c:pt>
              </c:strCache>
            </c:strRef>
          </c:tx>
          <c:spPr>
            <a:ln w="12700" cap="rnd">
              <a:solidFill>
                <a:srgbClr val="898989"/>
              </a:solidFill>
              <a:prstDash val="sysDash"/>
              <a:round/>
            </a:ln>
            <a:effectLst/>
          </c:spPr>
          <c:marker>
            <c:symbol val="none"/>
          </c:marker>
          <c:cat>
            <c:numRef>
              <c:f>Inflacija!$Q$40:$Q$167</c:f>
              <c:numCache>
                <c:formatCode>yyyy</c:formatCode>
                <c:ptCount val="128"/>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formatCode="yy">
                  <c:v>44927</c:v>
                </c:pt>
                <c:pt idx="121" formatCode="yy">
                  <c:v>44958</c:v>
                </c:pt>
                <c:pt idx="122" formatCode="yy">
                  <c:v>44986</c:v>
                </c:pt>
                <c:pt idx="123" formatCode="yy">
                  <c:v>45017</c:v>
                </c:pt>
                <c:pt idx="124" formatCode="yy">
                  <c:v>45047</c:v>
                </c:pt>
                <c:pt idx="125" formatCode="yy">
                  <c:v>45078</c:v>
                </c:pt>
                <c:pt idx="126" formatCode="yy">
                  <c:v>45108</c:v>
                </c:pt>
                <c:pt idx="127" formatCode="yy">
                  <c:v>45139</c:v>
                </c:pt>
              </c:numCache>
            </c:numRef>
          </c:cat>
          <c:val>
            <c:numRef>
              <c:f>Inflacija!$X$40:$X$167</c:f>
              <c:numCache>
                <c:formatCode>0.0</c:formatCode>
                <c:ptCount val="128"/>
                <c:pt idx="0">
                  <c:v>5.5</c:v>
                </c:pt>
                <c:pt idx="1">
                  <c:v>5.5</c:v>
                </c:pt>
                <c:pt idx="2">
                  <c:v>5.5</c:v>
                </c:pt>
                <c:pt idx="3">
                  <c:v>5.5</c:v>
                </c:pt>
                <c:pt idx="4">
                  <c:v>5.5</c:v>
                </c:pt>
                <c:pt idx="5">
                  <c:v>5.5</c:v>
                </c:pt>
                <c:pt idx="6">
                  <c:v>5.5</c:v>
                </c:pt>
                <c:pt idx="7">
                  <c:v>5.5</c:v>
                </c:pt>
                <c:pt idx="8">
                  <c:v>5.5</c:v>
                </c:pt>
                <c:pt idx="9">
                  <c:v>5.5</c:v>
                </c:pt>
                <c:pt idx="10">
                  <c:v>5.5</c:v>
                </c:pt>
                <c:pt idx="11">
                  <c:v>5.5</c:v>
                </c:pt>
                <c:pt idx="12">
                  <c:v>5.5</c:v>
                </c:pt>
                <c:pt idx="13">
                  <c:v>5.5</c:v>
                </c:pt>
                <c:pt idx="14">
                  <c:v>5.5</c:v>
                </c:pt>
                <c:pt idx="15">
                  <c:v>5.5</c:v>
                </c:pt>
                <c:pt idx="16">
                  <c:v>5.5</c:v>
                </c:pt>
                <c:pt idx="17">
                  <c:v>5.5</c:v>
                </c:pt>
                <c:pt idx="18">
                  <c:v>5.5</c:v>
                </c:pt>
                <c:pt idx="19">
                  <c:v>5.5</c:v>
                </c:pt>
                <c:pt idx="20">
                  <c:v>5.5</c:v>
                </c:pt>
                <c:pt idx="21">
                  <c:v>5.5</c:v>
                </c:pt>
                <c:pt idx="22">
                  <c:v>5.5</c:v>
                </c:pt>
                <c:pt idx="23">
                  <c:v>5.5</c:v>
                </c:pt>
                <c:pt idx="24">
                  <c:v>5.5</c:v>
                </c:pt>
                <c:pt idx="25">
                  <c:v>5.5</c:v>
                </c:pt>
                <c:pt idx="26">
                  <c:v>5.5</c:v>
                </c:pt>
                <c:pt idx="27">
                  <c:v>5.5</c:v>
                </c:pt>
                <c:pt idx="28">
                  <c:v>5.5</c:v>
                </c:pt>
                <c:pt idx="29">
                  <c:v>5.5</c:v>
                </c:pt>
                <c:pt idx="30">
                  <c:v>5.5</c:v>
                </c:pt>
                <c:pt idx="31">
                  <c:v>5.5</c:v>
                </c:pt>
                <c:pt idx="32">
                  <c:v>5.5</c:v>
                </c:pt>
                <c:pt idx="33">
                  <c:v>5.5</c:v>
                </c:pt>
                <c:pt idx="34">
                  <c:v>5.5</c:v>
                </c:pt>
                <c:pt idx="35">
                  <c:v>5.5</c:v>
                </c:pt>
                <c:pt idx="36">
                  <c:v>5.5</c:v>
                </c:pt>
                <c:pt idx="37" formatCode="General">
                  <c:v>5.5</c:v>
                </c:pt>
                <c:pt idx="38" formatCode="General">
                  <c:v>5.5</c:v>
                </c:pt>
                <c:pt idx="39" formatCode="General">
                  <c:v>5.5</c:v>
                </c:pt>
                <c:pt idx="40" formatCode="General">
                  <c:v>5.5</c:v>
                </c:pt>
                <c:pt idx="41" formatCode="General">
                  <c:v>5.5</c:v>
                </c:pt>
                <c:pt idx="42" formatCode="General">
                  <c:v>5.5</c:v>
                </c:pt>
                <c:pt idx="43" formatCode="General">
                  <c:v>5.5</c:v>
                </c:pt>
                <c:pt idx="44" formatCode="General">
                  <c:v>5.5</c:v>
                </c:pt>
                <c:pt idx="45" formatCode="General">
                  <c:v>5.5</c:v>
                </c:pt>
                <c:pt idx="46" formatCode="General">
                  <c:v>5.5</c:v>
                </c:pt>
                <c:pt idx="47" formatCode="General">
                  <c:v>5.5</c:v>
                </c:pt>
                <c:pt idx="48">
                  <c:v>4.5</c:v>
                </c:pt>
                <c:pt idx="49">
                  <c:v>4.5</c:v>
                </c:pt>
                <c:pt idx="50">
                  <c:v>4.5</c:v>
                </c:pt>
                <c:pt idx="51">
                  <c:v>4.5</c:v>
                </c:pt>
                <c:pt idx="52">
                  <c:v>4.5</c:v>
                </c:pt>
                <c:pt idx="53">
                  <c:v>4.5</c:v>
                </c:pt>
                <c:pt idx="54">
                  <c:v>4.5</c:v>
                </c:pt>
                <c:pt idx="55">
                  <c:v>4.5</c:v>
                </c:pt>
                <c:pt idx="56">
                  <c:v>4.5</c:v>
                </c:pt>
                <c:pt idx="57">
                  <c:v>4.5</c:v>
                </c:pt>
                <c:pt idx="58">
                  <c:v>4.5</c:v>
                </c:pt>
                <c:pt idx="59">
                  <c:v>4.5</c:v>
                </c:pt>
                <c:pt idx="60">
                  <c:v>4.5</c:v>
                </c:pt>
                <c:pt idx="61">
                  <c:v>4.5</c:v>
                </c:pt>
                <c:pt idx="62">
                  <c:v>4.5</c:v>
                </c:pt>
                <c:pt idx="63">
                  <c:v>4.5</c:v>
                </c:pt>
                <c:pt idx="64">
                  <c:v>4.5</c:v>
                </c:pt>
                <c:pt idx="65" formatCode="General">
                  <c:v>4.5</c:v>
                </c:pt>
                <c:pt idx="66" formatCode="General">
                  <c:v>4.5</c:v>
                </c:pt>
                <c:pt idx="67" formatCode="General">
                  <c:v>4.5</c:v>
                </c:pt>
                <c:pt idx="68">
                  <c:v>4.5</c:v>
                </c:pt>
                <c:pt idx="69">
                  <c:v>4.5</c:v>
                </c:pt>
                <c:pt idx="70">
                  <c:v>4.5</c:v>
                </c:pt>
                <c:pt idx="71">
                  <c:v>4.5</c:v>
                </c:pt>
                <c:pt idx="72">
                  <c:v>4.5</c:v>
                </c:pt>
                <c:pt idx="73">
                  <c:v>4.5</c:v>
                </c:pt>
                <c:pt idx="74">
                  <c:v>4.5</c:v>
                </c:pt>
                <c:pt idx="75">
                  <c:v>4.5</c:v>
                </c:pt>
                <c:pt idx="76">
                  <c:v>4.5</c:v>
                </c:pt>
                <c:pt idx="77">
                  <c:v>4.5</c:v>
                </c:pt>
                <c:pt idx="78">
                  <c:v>4.5</c:v>
                </c:pt>
                <c:pt idx="79">
                  <c:v>4.5</c:v>
                </c:pt>
                <c:pt idx="80">
                  <c:v>4.5</c:v>
                </c:pt>
                <c:pt idx="81">
                  <c:v>4.5</c:v>
                </c:pt>
                <c:pt idx="82">
                  <c:v>4.5</c:v>
                </c:pt>
                <c:pt idx="83">
                  <c:v>4.5</c:v>
                </c:pt>
                <c:pt idx="84">
                  <c:v>4.5</c:v>
                </c:pt>
                <c:pt idx="85">
                  <c:v>4.5</c:v>
                </c:pt>
                <c:pt idx="86">
                  <c:v>4.5</c:v>
                </c:pt>
                <c:pt idx="87">
                  <c:v>4.5</c:v>
                </c:pt>
                <c:pt idx="88">
                  <c:v>4.5</c:v>
                </c:pt>
                <c:pt idx="89">
                  <c:v>4.5</c:v>
                </c:pt>
                <c:pt idx="90">
                  <c:v>4.5</c:v>
                </c:pt>
                <c:pt idx="91">
                  <c:v>4.5</c:v>
                </c:pt>
                <c:pt idx="92">
                  <c:v>4.5</c:v>
                </c:pt>
                <c:pt idx="93">
                  <c:v>4.5</c:v>
                </c:pt>
                <c:pt idx="94">
                  <c:v>4.5</c:v>
                </c:pt>
                <c:pt idx="95">
                  <c:v>4.5</c:v>
                </c:pt>
                <c:pt idx="96">
                  <c:v>4.5</c:v>
                </c:pt>
                <c:pt idx="97">
                  <c:v>4.5</c:v>
                </c:pt>
                <c:pt idx="98">
                  <c:v>4.5</c:v>
                </c:pt>
                <c:pt idx="99">
                  <c:v>4.5</c:v>
                </c:pt>
                <c:pt idx="100">
                  <c:v>4.5</c:v>
                </c:pt>
                <c:pt idx="101">
                  <c:v>4.5</c:v>
                </c:pt>
                <c:pt idx="102">
                  <c:v>4.5</c:v>
                </c:pt>
                <c:pt idx="103">
                  <c:v>4.5</c:v>
                </c:pt>
                <c:pt idx="104">
                  <c:v>4.5</c:v>
                </c:pt>
                <c:pt idx="105" formatCode="General">
                  <c:v>4.5</c:v>
                </c:pt>
                <c:pt idx="106" formatCode="General">
                  <c:v>4.5</c:v>
                </c:pt>
                <c:pt idx="107" formatCode="General">
                  <c:v>4.5</c:v>
                </c:pt>
                <c:pt idx="108" formatCode="General">
                  <c:v>4.5</c:v>
                </c:pt>
                <c:pt idx="109" formatCode="General">
                  <c:v>4.5</c:v>
                </c:pt>
                <c:pt idx="110" formatCode="General">
                  <c:v>4.5</c:v>
                </c:pt>
                <c:pt idx="111" formatCode="General">
                  <c:v>4.5</c:v>
                </c:pt>
                <c:pt idx="112" formatCode="General">
                  <c:v>4.5</c:v>
                </c:pt>
                <c:pt idx="113" formatCode="General">
                  <c:v>4.5</c:v>
                </c:pt>
                <c:pt idx="114" formatCode="General">
                  <c:v>4.5</c:v>
                </c:pt>
                <c:pt idx="115" formatCode="General">
                  <c:v>4.5</c:v>
                </c:pt>
                <c:pt idx="116" formatCode="General">
                  <c:v>4.5</c:v>
                </c:pt>
                <c:pt idx="117" formatCode="General">
                  <c:v>4.5</c:v>
                </c:pt>
                <c:pt idx="118" formatCode="General">
                  <c:v>4.5</c:v>
                </c:pt>
                <c:pt idx="119" formatCode="General">
                  <c:v>4.5</c:v>
                </c:pt>
                <c:pt idx="120" formatCode="General">
                  <c:v>4.5</c:v>
                </c:pt>
                <c:pt idx="121" formatCode="General">
                  <c:v>4.5</c:v>
                </c:pt>
                <c:pt idx="122" formatCode="General">
                  <c:v>4.5</c:v>
                </c:pt>
                <c:pt idx="123" formatCode="General">
                  <c:v>4.5</c:v>
                </c:pt>
                <c:pt idx="124" formatCode="General">
                  <c:v>4.5</c:v>
                </c:pt>
                <c:pt idx="125" formatCode="General">
                  <c:v>4.5</c:v>
                </c:pt>
                <c:pt idx="126" formatCode="General">
                  <c:v>4.5</c:v>
                </c:pt>
                <c:pt idx="127" formatCode="General">
                  <c:v>4.5</c:v>
                </c:pt>
              </c:numCache>
            </c:numRef>
          </c:val>
          <c:smooth val="0"/>
          <c:extLst>
            <c:ext xmlns:c16="http://schemas.microsoft.com/office/drawing/2014/chart" uri="{C3380CC4-5D6E-409C-BE32-E72D297353CC}">
              <c16:uniqueId val="{00000003-878D-47F0-BD0D-87BB8649F9E6}"/>
            </c:ext>
          </c:extLst>
        </c:ser>
        <c:ser>
          <c:idx val="4"/>
          <c:order val="4"/>
          <c:tx>
            <c:strRef>
              <c:f>Inflacija!$Y$3</c:f>
              <c:strCache>
                <c:ptCount val="1"/>
              </c:strCache>
            </c:strRef>
          </c:tx>
          <c:spPr>
            <a:ln w="12700" cap="rnd">
              <a:solidFill>
                <a:srgbClr val="898989"/>
              </a:solidFill>
              <a:prstDash val="sysDash"/>
              <a:round/>
            </a:ln>
            <a:effectLst/>
          </c:spPr>
          <c:marker>
            <c:symbol val="none"/>
          </c:marker>
          <c:cat>
            <c:numRef>
              <c:f>Inflacija!$Q$40:$Q$167</c:f>
              <c:numCache>
                <c:formatCode>yyyy</c:formatCode>
                <c:ptCount val="128"/>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formatCode="yy">
                  <c:v>44927</c:v>
                </c:pt>
                <c:pt idx="121" formatCode="yy">
                  <c:v>44958</c:v>
                </c:pt>
                <c:pt idx="122" formatCode="yy">
                  <c:v>44986</c:v>
                </c:pt>
                <c:pt idx="123" formatCode="yy">
                  <c:v>45017</c:v>
                </c:pt>
                <c:pt idx="124" formatCode="yy">
                  <c:v>45047</c:v>
                </c:pt>
                <c:pt idx="125" formatCode="yy">
                  <c:v>45078</c:v>
                </c:pt>
                <c:pt idx="126" formatCode="yy">
                  <c:v>45108</c:v>
                </c:pt>
                <c:pt idx="127" formatCode="yy">
                  <c:v>45139</c:v>
                </c:pt>
              </c:numCache>
            </c:numRef>
          </c:cat>
          <c:val>
            <c:numRef>
              <c:f>Inflacija!$Y$40:$Y$167</c:f>
              <c:numCache>
                <c:formatCode>0.0</c:formatCode>
                <c:ptCount val="128"/>
                <c:pt idx="0">
                  <c:v>2.5</c:v>
                </c:pt>
                <c:pt idx="1">
                  <c:v>2.5</c:v>
                </c:pt>
                <c:pt idx="2">
                  <c:v>2.5</c:v>
                </c:pt>
                <c:pt idx="3">
                  <c:v>2.5</c:v>
                </c:pt>
                <c:pt idx="4">
                  <c:v>2.5</c:v>
                </c:pt>
                <c:pt idx="5">
                  <c:v>2.5</c:v>
                </c:pt>
                <c:pt idx="6">
                  <c:v>2.5</c:v>
                </c:pt>
                <c:pt idx="7">
                  <c:v>2.5</c:v>
                </c:pt>
                <c:pt idx="8">
                  <c:v>2.5</c:v>
                </c:pt>
                <c:pt idx="9">
                  <c:v>2.5</c:v>
                </c:pt>
                <c:pt idx="10">
                  <c:v>2.5</c:v>
                </c:pt>
                <c:pt idx="11">
                  <c:v>2.5</c:v>
                </c:pt>
                <c:pt idx="12">
                  <c:v>2.5</c:v>
                </c:pt>
                <c:pt idx="13">
                  <c:v>2.5</c:v>
                </c:pt>
                <c:pt idx="14">
                  <c:v>2.5</c:v>
                </c:pt>
                <c:pt idx="15">
                  <c:v>2.5</c:v>
                </c:pt>
                <c:pt idx="16">
                  <c:v>2.5</c:v>
                </c:pt>
                <c:pt idx="17">
                  <c:v>2.5</c:v>
                </c:pt>
                <c:pt idx="18">
                  <c:v>2.5</c:v>
                </c:pt>
                <c:pt idx="19">
                  <c:v>2.5</c:v>
                </c:pt>
                <c:pt idx="20">
                  <c:v>2.5</c:v>
                </c:pt>
                <c:pt idx="21">
                  <c:v>2.5</c:v>
                </c:pt>
                <c:pt idx="22">
                  <c:v>2.5</c:v>
                </c:pt>
                <c:pt idx="23">
                  <c:v>2.5</c:v>
                </c:pt>
                <c:pt idx="24">
                  <c:v>2.5</c:v>
                </c:pt>
                <c:pt idx="25">
                  <c:v>2.5</c:v>
                </c:pt>
                <c:pt idx="26">
                  <c:v>2.5</c:v>
                </c:pt>
                <c:pt idx="27">
                  <c:v>2.5</c:v>
                </c:pt>
                <c:pt idx="28">
                  <c:v>2.5</c:v>
                </c:pt>
                <c:pt idx="29">
                  <c:v>2.5</c:v>
                </c:pt>
                <c:pt idx="30">
                  <c:v>2.5</c:v>
                </c:pt>
                <c:pt idx="31">
                  <c:v>2.5</c:v>
                </c:pt>
                <c:pt idx="32">
                  <c:v>2.5</c:v>
                </c:pt>
                <c:pt idx="33">
                  <c:v>2.5</c:v>
                </c:pt>
                <c:pt idx="34">
                  <c:v>2.5</c:v>
                </c:pt>
                <c:pt idx="35">
                  <c:v>2.5</c:v>
                </c:pt>
                <c:pt idx="36">
                  <c:v>2.5</c:v>
                </c:pt>
                <c:pt idx="37" formatCode="General">
                  <c:v>2.5</c:v>
                </c:pt>
                <c:pt idx="38" formatCode="General">
                  <c:v>2.5</c:v>
                </c:pt>
                <c:pt idx="39" formatCode="General">
                  <c:v>2.5</c:v>
                </c:pt>
                <c:pt idx="40" formatCode="General">
                  <c:v>2.5</c:v>
                </c:pt>
                <c:pt idx="41" formatCode="General">
                  <c:v>2.5</c:v>
                </c:pt>
                <c:pt idx="42" formatCode="General">
                  <c:v>2.5</c:v>
                </c:pt>
                <c:pt idx="43" formatCode="General">
                  <c:v>2.5</c:v>
                </c:pt>
                <c:pt idx="44" formatCode="General">
                  <c:v>2.5</c:v>
                </c:pt>
                <c:pt idx="45" formatCode="General">
                  <c:v>2.5</c:v>
                </c:pt>
                <c:pt idx="46" formatCode="General">
                  <c:v>2.5</c:v>
                </c:pt>
                <c:pt idx="47" formatCode="General">
                  <c:v>2.5</c:v>
                </c:pt>
                <c:pt idx="48">
                  <c:v>1.5</c:v>
                </c:pt>
                <c:pt idx="49">
                  <c:v>1.5</c:v>
                </c:pt>
                <c:pt idx="50">
                  <c:v>1.5</c:v>
                </c:pt>
                <c:pt idx="51">
                  <c:v>1.5</c:v>
                </c:pt>
                <c:pt idx="52">
                  <c:v>1.5</c:v>
                </c:pt>
                <c:pt idx="53">
                  <c:v>1.5</c:v>
                </c:pt>
                <c:pt idx="54">
                  <c:v>1.5</c:v>
                </c:pt>
                <c:pt idx="55">
                  <c:v>1.5</c:v>
                </c:pt>
                <c:pt idx="56">
                  <c:v>1.5</c:v>
                </c:pt>
                <c:pt idx="57">
                  <c:v>1.5</c:v>
                </c:pt>
                <c:pt idx="58">
                  <c:v>1.5</c:v>
                </c:pt>
                <c:pt idx="59">
                  <c:v>1.5</c:v>
                </c:pt>
                <c:pt idx="60">
                  <c:v>1.5</c:v>
                </c:pt>
                <c:pt idx="61">
                  <c:v>1.5</c:v>
                </c:pt>
                <c:pt idx="62">
                  <c:v>1.5</c:v>
                </c:pt>
                <c:pt idx="63">
                  <c:v>1.5</c:v>
                </c:pt>
                <c:pt idx="64">
                  <c:v>1.5</c:v>
                </c:pt>
                <c:pt idx="65" formatCode="General">
                  <c:v>1.5</c:v>
                </c:pt>
                <c:pt idx="66" formatCode="General">
                  <c:v>1.5</c:v>
                </c:pt>
                <c:pt idx="67" formatCode="General">
                  <c:v>1.5</c:v>
                </c:pt>
                <c:pt idx="68">
                  <c:v>1.5</c:v>
                </c:pt>
                <c:pt idx="69">
                  <c:v>1.5</c:v>
                </c:pt>
                <c:pt idx="70">
                  <c:v>1.5</c:v>
                </c:pt>
                <c:pt idx="71">
                  <c:v>1.5</c:v>
                </c:pt>
                <c:pt idx="72">
                  <c:v>1.5</c:v>
                </c:pt>
                <c:pt idx="73">
                  <c:v>1.5</c:v>
                </c:pt>
                <c:pt idx="74">
                  <c:v>1.5</c:v>
                </c:pt>
                <c:pt idx="75">
                  <c:v>1.5</c:v>
                </c:pt>
                <c:pt idx="76">
                  <c:v>1.5</c:v>
                </c:pt>
                <c:pt idx="77">
                  <c:v>1.5</c:v>
                </c:pt>
                <c:pt idx="78">
                  <c:v>1.5</c:v>
                </c:pt>
                <c:pt idx="79">
                  <c:v>1.5</c:v>
                </c:pt>
                <c:pt idx="80">
                  <c:v>1.5</c:v>
                </c:pt>
                <c:pt idx="81">
                  <c:v>1.5</c:v>
                </c:pt>
                <c:pt idx="82">
                  <c:v>1.5</c:v>
                </c:pt>
                <c:pt idx="83">
                  <c:v>1.5</c:v>
                </c:pt>
                <c:pt idx="84">
                  <c:v>1.5</c:v>
                </c:pt>
                <c:pt idx="85">
                  <c:v>1.5</c:v>
                </c:pt>
                <c:pt idx="86">
                  <c:v>1.5</c:v>
                </c:pt>
                <c:pt idx="87">
                  <c:v>1.5</c:v>
                </c:pt>
                <c:pt idx="88">
                  <c:v>1.5</c:v>
                </c:pt>
                <c:pt idx="89">
                  <c:v>1.5</c:v>
                </c:pt>
                <c:pt idx="90">
                  <c:v>1.5</c:v>
                </c:pt>
                <c:pt idx="91">
                  <c:v>1.5</c:v>
                </c:pt>
                <c:pt idx="92">
                  <c:v>1.5</c:v>
                </c:pt>
                <c:pt idx="93">
                  <c:v>1.5</c:v>
                </c:pt>
                <c:pt idx="94">
                  <c:v>1.5</c:v>
                </c:pt>
                <c:pt idx="95">
                  <c:v>1.5</c:v>
                </c:pt>
                <c:pt idx="96">
                  <c:v>1.5</c:v>
                </c:pt>
                <c:pt idx="97">
                  <c:v>1.5</c:v>
                </c:pt>
                <c:pt idx="98">
                  <c:v>1.5</c:v>
                </c:pt>
                <c:pt idx="99">
                  <c:v>1.5</c:v>
                </c:pt>
                <c:pt idx="100">
                  <c:v>1.5</c:v>
                </c:pt>
                <c:pt idx="101">
                  <c:v>1.5</c:v>
                </c:pt>
                <c:pt idx="102">
                  <c:v>1.5</c:v>
                </c:pt>
                <c:pt idx="103">
                  <c:v>1.5</c:v>
                </c:pt>
                <c:pt idx="104">
                  <c:v>1.5</c:v>
                </c:pt>
                <c:pt idx="105" formatCode="General">
                  <c:v>1.5</c:v>
                </c:pt>
                <c:pt idx="106" formatCode="General">
                  <c:v>1.5</c:v>
                </c:pt>
                <c:pt idx="107" formatCode="General">
                  <c:v>1.5</c:v>
                </c:pt>
                <c:pt idx="108" formatCode="General">
                  <c:v>1.5</c:v>
                </c:pt>
                <c:pt idx="109" formatCode="General">
                  <c:v>1.5</c:v>
                </c:pt>
                <c:pt idx="110" formatCode="General">
                  <c:v>1.5</c:v>
                </c:pt>
                <c:pt idx="111" formatCode="General">
                  <c:v>1.5</c:v>
                </c:pt>
                <c:pt idx="112" formatCode="General">
                  <c:v>1.5</c:v>
                </c:pt>
                <c:pt idx="113" formatCode="General">
                  <c:v>1.5</c:v>
                </c:pt>
                <c:pt idx="114" formatCode="General">
                  <c:v>1.5</c:v>
                </c:pt>
                <c:pt idx="115" formatCode="General">
                  <c:v>1.5</c:v>
                </c:pt>
                <c:pt idx="116" formatCode="General">
                  <c:v>1.5</c:v>
                </c:pt>
                <c:pt idx="117" formatCode="General">
                  <c:v>1.5</c:v>
                </c:pt>
                <c:pt idx="118" formatCode="General">
                  <c:v>1.5</c:v>
                </c:pt>
                <c:pt idx="119" formatCode="General">
                  <c:v>1.5</c:v>
                </c:pt>
                <c:pt idx="120" formatCode="General">
                  <c:v>1.5</c:v>
                </c:pt>
                <c:pt idx="121" formatCode="General">
                  <c:v>1.5</c:v>
                </c:pt>
                <c:pt idx="122" formatCode="General">
                  <c:v>1.5</c:v>
                </c:pt>
                <c:pt idx="123" formatCode="General">
                  <c:v>1.5</c:v>
                </c:pt>
                <c:pt idx="124" formatCode="General">
                  <c:v>1.5</c:v>
                </c:pt>
                <c:pt idx="125" formatCode="General">
                  <c:v>1.5</c:v>
                </c:pt>
                <c:pt idx="126" formatCode="General">
                  <c:v>1.5</c:v>
                </c:pt>
                <c:pt idx="127" formatCode="General">
                  <c:v>1.5</c:v>
                </c:pt>
              </c:numCache>
            </c:numRef>
          </c:val>
          <c:smooth val="0"/>
          <c:extLst>
            <c:ext xmlns:c16="http://schemas.microsoft.com/office/drawing/2014/chart" uri="{C3380CC4-5D6E-409C-BE32-E72D297353CC}">
              <c16:uniqueId val="{00000004-878D-47F0-BD0D-87BB8649F9E6}"/>
            </c:ext>
          </c:extLst>
        </c:ser>
        <c:ser>
          <c:idx val="5"/>
          <c:order val="5"/>
          <c:tx>
            <c:strRef>
              <c:f>Inflacija!$Z$3</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170047737570141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78D-47F0-BD0D-87BB8649F9E6}"/>
                </c:ext>
              </c:extLst>
            </c:dLbl>
            <c:dLbl>
              <c:idx val="12"/>
              <c:layout>
                <c:manualLayout>
                  <c:x val="-2.1713261371275286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78D-47F0-BD0D-87BB8649F9E6}"/>
                </c:ext>
              </c:extLst>
            </c:dLbl>
            <c:dLbl>
              <c:idx val="24"/>
              <c:layout>
                <c:manualLayout>
                  <c:x val="-2.0699064389079484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78D-47F0-BD0D-87BB8649F9E6}"/>
                </c:ext>
              </c:extLst>
            </c:dLbl>
            <c:dLbl>
              <c:idx val="36"/>
              <c:layout>
                <c:manualLayout>
                  <c:x val="-2.1690534268032802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878D-47F0-BD0D-87BB8649F9E6}"/>
                </c:ext>
              </c:extLst>
            </c:dLbl>
            <c:dLbl>
              <c:idx val="48"/>
              <c:layout>
                <c:manualLayout>
                  <c:x val="-2.068166395065946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78D-47F0-BD0D-87BB8649F9E6}"/>
                </c:ext>
              </c:extLst>
            </c:dLbl>
            <c:dLbl>
              <c:idx val="60"/>
              <c:layout>
                <c:manualLayout>
                  <c:x val="-2.1690534268032802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878D-47F0-BD0D-87BB8649F9E6}"/>
                </c:ext>
              </c:extLst>
            </c:dLbl>
            <c:dLbl>
              <c:idx val="72"/>
              <c:layout>
                <c:manualLayout>
                  <c:x val="-1.9029687633721565E-2"/>
                  <c:y val="3.579620927221682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878D-47F0-BD0D-87BB8649F9E6}"/>
                </c:ext>
              </c:extLst>
            </c:dLbl>
            <c:dLbl>
              <c:idx val="84"/>
              <c:layout>
                <c:manualLayout>
                  <c:x val="-2.2446565561833522E-2"/>
                  <c:y val="3.552931189257716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C-878D-47F0-BD0D-87BB8649F9E6}"/>
                </c:ext>
              </c:extLst>
            </c:dLbl>
            <c:dLbl>
              <c:idx val="96"/>
              <c:layout>
                <c:manualLayout>
                  <c:x val="-2.162803473411614E-2"/>
                  <c:y val="3.620833022607217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D-878D-47F0-BD0D-87BB8649F9E6}"/>
                </c:ext>
              </c:extLst>
            </c:dLbl>
            <c:dLbl>
              <c:idx val="108"/>
              <c:layout>
                <c:manualLayout>
                  <c:x val="-2.5283475783475784E-2"/>
                  <c:y val="3.615711130995147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E-878D-47F0-BD0D-87BB8649F9E6}"/>
                </c:ext>
              </c:extLst>
            </c:dLbl>
            <c:dLbl>
              <c:idx val="120"/>
              <c:layout>
                <c:manualLayout>
                  <c:x val="-2.1756940022819433E-2"/>
                  <c:y val="3.567285334045059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F-878D-47F0-BD0D-87BB8649F9E6}"/>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Inflacija!$Q$40:$Q$167</c:f>
              <c:numCache>
                <c:formatCode>yyyy</c:formatCode>
                <c:ptCount val="128"/>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formatCode="yy">
                  <c:v>44927</c:v>
                </c:pt>
                <c:pt idx="121" formatCode="yy">
                  <c:v>44958</c:v>
                </c:pt>
                <c:pt idx="122" formatCode="yy">
                  <c:v>44986</c:v>
                </c:pt>
                <c:pt idx="123" formatCode="yy">
                  <c:v>45017</c:v>
                </c:pt>
                <c:pt idx="124" formatCode="yy">
                  <c:v>45047</c:v>
                </c:pt>
                <c:pt idx="125" formatCode="yy">
                  <c:v>45078</c:v>
                </c:pt>
                <c:pt idx="126" formatCode="yy">
                  <c:v>45108</c:v>
                </c:pt>
                <c:pt idx="127" formatCode="yy">
                  <c:v>45139</c:v>
                </c:pt>
              </c:numCache>
            </c:numRef>
          </c:cat>
          <c:val>
            <c:numRef>
              <c:f>Inflacija!$Z$40:$Z$167</c:f>
              <c:numCache>
                <c:formatCode>General</c:formatCode>
                <c:ptCount val="128"/>
                <c:pt idx="0">
                  <c:v>0</c:v>
                </c:pt>
                <c:pt idx="12">
                  <c:v>0</c:v>
                </c:pt>
                <c:pt idx="24">
                  <c:v>0</c:v>
                </c:pt>
                <c:pt idx="36">
                  <c:v>0</c:v>
                </c:pt>
                <c:pt idx="48">
                  <c:v>0</c:v>
                </c:pt>
                <c:pt idx="60">
                  <c:v>0</c:v>
                </c:pt>
                <c:pt idx="72">
                  <c:v>0</c:v>
                </c:pt>
                <c:pt idx="84">
                  <c:v>0</c:v>
                </c:pt>
                <c:pt idx="96">
                  <c:v>0</c:v>
                </c:pt>
                <c:pt idx="108">
                  <c:v>0</c:v>
                </c:pt>
                <c:pt idx="120">
                  <c:v>0</c:v>
                </c:pt>
              </c:numCache>
            </c:numRef>
          </c:val>
          <c:smooth val="0"/>
          <c:extLst>
            <c:ext xmlns:c16="http://schemas.microsoft.com/office/drawing/2014/chart" uri="{C3380CC4-5D6E-409C-BE32-E72D297353CC}">
              <c16:uniqueId val="{00000010-878D-47F0-BD0D-87BB8649F9E6}"/>
            </c:ext>
          </c:extLst>
        </c:ser>
        <c:dLbls>
          <c:showLegendKey val="0"/>
          <c:showVal val="0"/>
          <c:showCatName val="0"/>
          <c:showSerName val="0"/>
          <c:showPercent val="0"/>
          <c:showBubbleSize val="0"/>
        </c:dLbls>
        <c:smooth val="0"/>
        <c:axId val="2067917072"/>
        <c:axId val="2067937744"/>
      </c:lineChart>
      <c:catAx>
        <c:axId val="2067917072"/>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7744"/>
        <c:crosses val="autoZero"/>
        <c:auto val="0"/>
        <c:lblAlgn val="ctr"/>
        <c:lblOffset val="100"/>
        <c:tickLblSkip val="12"/>
        <c:tickMarkSkip val="1"/>
        <c:noMultiLvlLbl val="1"/>
      </c:catAx>
      <c:valAx>
        <c:axId val="2067937744"/>
        <c:scaling>
          <c:orientation val="minMax"/>
        </c:scaling>
        <c:delete val="0"/>
        <c:axPos val="l"/>
        <c:title>
          <c:tx>
            <c:rich>
              <a:bodyPr rot="-5400000" spcFirstLastPara="1" vertOverflow="ellipsis" vert="horz" wrap="square" anchor="ctr" anchorCtr="1"/>
              <a:lstStyle/>
              <a:p>
                <a:pPr>
                  <a:defRPr sz="750" b="0" i="0" u="none" strike="noStrike" kern="1200" baseline="0">
                    <a:solidFill>
                      <a:schemeClr val="tx2"/>
                    </a:solidFill>
                    <a:latin typeface="+mn-lt"/>
                    <a:ea typeface="+mn-ea"/>
                    <a:cs typeface="+mn-cs"/>
                  </a:defRPr>
                </a:pPr>
                <a:r>
                  <a:rPr lang="sr-Latn-RS"/>
                  <a:t>%</a:t>
                </a:r>
                <a:endParaRPr lang="en-GB"/>
              </a:p>
            </c:rich>
          </c:tx>
          <c:layout>
            <c:manualLayout>
              <c:xMode val="edge"/>
              <c:yMode val="edge"/>
              <c:x val="8.3333333333333332E-3"/>
              <c:y val="0.34151501895596381"/>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17072"/>
        <c:crosses val="autoZero"/>
        <c:crossBetween val="midCat"/>
        <c:majorUnit val="2"/>
      </c:valAx>
      <c:spPr>
        <a:noFill/>
        <a:ln>
          <a:noFill/>
        </a:ln>
        <a:effectLst/>
      </c:spPr>
    </c:plotArea>
    <c:legend>
      <c:legendPos val="b"/>
      <c:legendEntry>
        <c:idx val="4"/>
        <c:delete val="1"/>
      </c:legendEntry>
      <c:legendEntry>
        <c:idx val="5"/>
        <c:delete val="1"/>
      </c:legendEntry>
      <c:layout>
        <c:manualLayout>
          <c:xMode val="edge"/>
          <c:yMode val="edge"/>
          <c:x val="5.2445156695156696E-2"/>
          <c:y val="0.75916055555555551"/>
          <c:w val="0.89270036496097616"/>
          <c:h val="0.23753777777777776"/>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178986378388172E-2"/>
          <c:y val="5.3106332138590201E-2"/>
          <c:w val="0.80840046303318902"/>
          <c:h val="0.58882795698924728"/>
        </c:manualLayout>
      </c:layout>
      <c:barChart>
        <c:barDir val="col"/>
        <c:grouping val="stacked"/>
        <c:varyColors val="0"/>
        <c:ser>
          <c:idx val="0"/>
          <c:order val="0"/>
          <c:tx>
            <c:strRef>
              <c:f>NPL!$S$4</c:f>
              <c:strCache>
                <c:ptCount val="1"/>
                <c:pt idx="0">
                  <c:v>Привреда</c:v>
                </c:pt>
              </c:strCache>
            </c:strRef>
          </c:tx>
          <c:spPr>
            <a:solidFill>
              <a:srgbClr val="10103C"/>
            </a:solidFill>
            <a:ln>
              <a:noFill/>
            </a:ln>
            <a:effectLst/>
          </c:spPr>
          <c:invertIfNegative val="0"/>
          <c:cat>
            <c:strRef>
              <c:f>NPL!$Q$5:$Q$15</c:f>
              <c:strCache>
                <c:ptCount val="11"/>
                <c:pt idx="0">
                  <c:v>2013</c:v>
                </c:pt>
                <c:pt idx="1">
                  <c:v>2014</c:v>
                </c:pt>
                <c:pt idx="2">
                  <c:v>2015</c:v>
                </c:pt>
                <c:pt idx="3">
                  <c:v>2016</c:v>
                </c:pt>
                <c:pt idx="4">
                  <c:v>2017</c:v>
                </c:pt>
                <c:pt idx="5">
                  <c:v>2018</c:v>
                </c:pt>
                <c:pt idx="6">
                  <c:v>2019</c:v>
                </c:pt>
                <c:pt idx="7">
                  <c:v>2020</c:v>
                </c:pt>
                <c:pt idx="8">
                  <c:v>2021</c:v>
                </c:pt>
                <c:pt idx="9">
                  <c:v>2022</c:v>
                </c:pt>
                <c:pt idx="10">
                  <c:v>VII 2023</c:v>
                </c:pt>
              </c:strCache>
            </c:strRef>
          </c:cat>
          <c:val>
            <c:numRef>
              <c:f>NPL!$S$5:$S$15</c:f>
              <c:numCache>
                <c:formatCode>#,##0</c:formatCode>
                <c:ptCount val="11"/>
                <c:pt idx="0">
                  <c:v>238.4</c:v>
                </c:pt>
                <c:pt idx="1">
                  <c:v>248.4</c:v>
                </c:pt>
                <c:pt idx="2" formatCode="0">
                  <c:v>216.8</c:v>
                </c:pt>
                <c:pt idx="3" formatCode="0">
                  <c:v>172.8</c:v>
                </c:pt>
                <c:pt idx="4" formatCode="0">
                  <c:v>107.6</c:v>
                </c:pt>
                <c:pt idx="5" formatCode="0">
                  <c:v>56.849434000000002</c:v>
                </c:pt>
                <c:pt idx="6" formatCode="0">
                  <c:v>38.949154999999998</c:v>
                </c:pt>
                <c:pt idx="7" formatCode="0">
                  <c:v>41.826799999999999</c:v>
                </c:pt>
                <c:pt idx="8" formatCode="0">
                  <c:v>42.470480999999999</c:v>
                </c:pt>
                <c:pt idx="9" formatCode="0">
                  <c:v>33.931421</c:v>
                </c:pt>
              </c:numCache>
            </c:numRef>
          </c:val>
          <c:extLst>
            <c:ext xmlns:c16="http://schemas.microsoft.com/office/drawing/2014/chart" uri="{C3380CC4-5D6E-409C-BE32-E72D297353CC}">
              <c16:uniqueId val="{00000000-83BB-4276-B205-4ADFDC990C22}"/>
            </c:ext>
          </c:extLst>
        </c:ser>
        <c:ser>
          <c:idx val="1"/>
          <c:order val="1"/>
          <c:tx>
            <c:strRef>
              <c:f>NPL!$T$4</c:f>
              <c:strCache>
                <c:ptCount val="1"/>
                <c:pt idx="0">
                  <c:v>Становништво</c:v>
                </c:pt>
              </c:strCache>
            </c:strRef>
          </c:tx>
          <c:spPr>
            <a:solidFill>
              <a:srgbClr val="2183C4"/>
            </a:solidFill>
            <a:ln>
              <a:noFill/>
            </a:ln>
            <a:effectLst/>
          </c:spPr>
          <c:invertIfNegative val="0"/>
          <c:cat>
            <c:strRef>
              <c:f>NPL!$Q$5:$Q$15</c:f>
              <c:strCache>
                <c:ptCount val="11"/>
                <c:pt idx="0">
                  <c:v>2013</c:v>
                </c:pt>
                <c:pt idx="1">
                  <c:v>2014</c:v>
                </c:pt>
                <c:pt idx="2">
                  <c:v>2015</c:v>
                </c:pt>
                <c:pt idx="3">
                  <c:v>2016</c:v>
                </c:pt>
                <c:pt idx="4">
                  <c:v>2017</c:v>
                </c:pt>
                <c:pt idx="5">
                  <c:v>2018</c:v>
                </c:pt>
                <c:pt idx="6">
                  <c:v>2019</c:v>
                </c:pt>
                <c:pt idx="7">
                  <c:v>2020</c:v>
                </c:pt>
                <c:pt idx="8">
                  <c:v>2021</c:v>
                </c:pt>
                <c:pt idx="9">
                  <c:v>2022</c:v>
                </c:pt>
                <c:pt idx="10">
                  <c:v>VII 2023</c:v>
                </c:pt>
              </c:strCache>
            </c:strRef>
          </c:cat>
          <c:val>
            <c:numRef>
              <c:f>NPL!$T$5:$T$15</c:f>
              <c:numCache>
                <c:formatCode>#,##0</c:formatCode>
                <c:ptCount val="11"/>
                <c:pt idx="0">
                  <c:v>56.7</c:v>
                </c:pt>
                <c:pt idx="1">
                  <c:v>66.400000000000006</c:v>
                </c:pt>
                <c:pt idx="2" formatCode="0">
                  <c:v>73.400000000000006</c:v>
                </c:pt>
                <c:pt idx="3" formatCode="0">
                  <c:v>69.2</c:v>
                </c:pt>
                <c:pt idx="4" formatCode="0">
                  <c:v>45.4</c:v>
                </c:pt>
                <c:pt idx="5" formatCode="0">
                  <c:v>39.608241</c:v>
                </c:pt>
                <c:pt idx="6" formatCode="0">
                  <c:v>39.016837000000002</c:v>
                </c:pt>
                <c:pt idx="7" formatCode="0">
                  <c:v>40.746828000000001</c:v>
                </c:pt>
                <c:pt idx="8" formatCode="0">
                  <c:v>49.355854000000001</c:v>
                </c:pt>
                <c:pt idx="9" formatCode="0">
                  <c:v>52.056607999999997</c:v>
                </c:pt>
              </c:numCache>
            </c:numRef>
          </c:val>
          <c:extLst>
            <c:ext xmlns:c16="http://schemas.microsoft.com/office/drawing/2014/chart" uri="{C3380CC4-5D6E-409C-BE32-E72D297353CC}">
              <c16:uniqueId val="{00000001-83BB-4276-B205-4ADFDC990C22}"/>
            </c:ext>
          </c:extLst>
        </c:ser>
        <c:ser>
          <c:idx val="2"/>
          <c:order val="2"/>
          <c:tx>
            <c:strRef>
              <c:f>NPL!$U$4</c:f>
              <c:strCache>
                <c:ptCount val="1"/>
                <c:pt idx="0">
                  <c:v>Остали</c:v>
                </c:pt>
              </c:strCache>
            </c:strRef>
          </c:tx>
          <c:spPr>
            <a:solidFill>
              <a:srgbClr val="51BBE7"/>
            </a:solidFill>
            <a:ln>
              <a:noFill/>
            </a:ln>
            <a:effectLst/>
          </c:spPr>
          <c:invertIfNegative val="0"/>
          <c:cat>
            <c:strRef>
              <c:f>NPL!$Q$5:$Q$15</c:f>
              <c:strCache>
                <c:ptCount val="11"/>
                <c:pt idx="0">
                  <c:v>2013</c:v>
                </c:pt>
                <c:pt idx="1">
                  <c:v>2014</c:v>
                </c:pt>
                <c:pt idx="2">
                  <c:v>2015</c:v>
                </c:pt>
                <c:pt idx="3">
                  <c:v>2016</c:v>
                </c:pt>
                <c:pt idx="4">
                  <c:v>2017</c:v>
                </c:pt>
                <c:pt idx="5">
                  <c:v>2018</c:v>
                </c:pt>
                <c:pt idx="6">
                  <c:v>2019</c:v>
                </c:pt>
                <c:pt idx="7">
                  <c:v>2020</c:v>
                </c:pt>
                <c:pt idx="8">
                  <c:v>2021</c:v>
                </c:pt>
                <c:pt idx="9">
                  <c:v>2022</c:v>
                </c:pt>
                <c:pt idx="10">
                  <c:v>VII 2023</c:v>
                </c:pt>
              </c:strCache>
            </c:strRef>
          </c:cat>
          <c:val>
            <c:numRef>
              <c:f>NPL!$U$5:$U$15</c:f>
              <c:numCache>
                <c:formatCode>#,##0</c:formatCode>
                <c:ptCount val="11"/>
                <c:pt idx="0">
                  <c:v>100.2</c:v>
                </c:pt>
                <c:pt idx="1">
                  <c:v>106.4</c:v>
                </c:pt>
                <c:pt idx="2" formatCode="0">
                  <c:v>134.4</c:v>
                </c:pt>
                <c:pt idx="3" formatCode="0">
                  <c:v>103.8</c:v>
                </c:pt>
                <c:pt idx="4" formatCode="0">
                  <c:v>51.9</c:v>
                </c:pt>
                <c:pt idx="5" formatCode="0">
                  <c:v>34.192292000000002</c:v>
                </c:pt>
                <c:pt idx="6" formatCode="0">
                  <c:v>23.450085000000001</c:v>
                </c:pt>
                <c:pt idx="7" formatCode="0">
                  <c:v>19.835072</c:v>
                </c:pt>
                <c:pt idx="8" formatCode="0">
                  <c:v>14.720295999999999</c:v>
                </c:pt>
                <c:pt idx="9" formatCode="0">
                  <c:v>13.706455</c:v>
                </c:pt>
              </c:numCache>
            </c:numRef>
          </c:val>
          <c:extLst>
            <c:ext xmlns:c16="http://schemas.microsoft.com/office/drawing/2014/chart" uri="{C3380CC4-5D6E-409C-BE32-E72D297353CC}">
              <c16:uniqueId val="{00000002-83BB-4276-B205-4ADFDC990C22}"/>
            </c:ext>
          </c:extLst>
        </c:ser>
        <c:dLbls>
          <c:showLegendKey val="0"/>
          <c:showVal val="0"/>
          <c:showCatName val="0"/>
          <c:showSerName val="0"/>
          <c:showPercent val="0"/>
          <c:showBubbleSize val="0"/>
        </c:dLbls>
        <c:gapWidth val="40"/>
        <c:overlap val="100"/>
        <c:axId val="1839178672"/>
        <c:axId val="1839199888"/>
      </c:barChart>
      <c:lineChart>
        <c:grouping val="standard"/>
        <c:varyColors val="0"/>
        <c:ser>
          <c:idx val="3"/>
          <c:order val="3"/>
          <c:tx>
            <c:strRef>
              <c:f>NPL!$V$4</c:f>
              <c:strCache>
                <c:ptCount val="1"/>
                <c:pt idx="0">
                  <c:v>NPL % (бруто)</c:v>
                </c:pt>
              </c:strCache>
            </c:strRef>
          </c:tx>
          <c:spPr>
            <a:ln w="25400" cap="rnd">
              <a:solidFill>
                <a:srgbClr val="FF0000"/>
              </a:solidFill>
              <a:round/>
            </a:ln>
            <a:effectLst/>
          </c:spPr>
          <c:marker>
            <c:symbol val="none"/>
          </c:marker>
          <c:dLbls>
            <c:spPr>
              <a:noFill/>
              <a:ln>
                <a:noFill/>
              </a:ln>
              <a:effectLst/>
            </c:spPr>
            <c:txPr>
              <a:bodyPr rot="0" spcFirstLastPara="1" vertOverflow="ellipsis" vert="horz" wrap="square" anchor="ctr" anchorCtr="1"/>
              <a:lstStyle/>
              <a:p>
                <a:pPr>
                  <a:defRPr sz="60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NPL!$Q$5:$Q$15</c:f>
              <c:strCache>
                <c:ptCount val="11"/>
                <c:pt idx="0">
                  <c:v>2013</c:v>
                </c:pt>
                <c:pt idx="1">
                  <c:v>2014</c:v>
                </c:pt>
                <c:pt idx="2">
                  <c:v>2015</c:v>
                </c:pt>
                <c:pt idx="3">
                  <c:v>2016</c:v>
                </c:pt>
                <c:pt idx="4">
                  <c:v>2017</c:v>
                </c:pt>
                <c:pt idx="5">
                  <c:v>2018</c:v>
                </c:pt>
                <c:pt idx="6">
                  <c:v>2019</c:v>
                </c:pt>
                <c:pt idx="7">
                  <c:v>2020</c:v>
                </c:pt>
                <c:pt idx="8">
                  <c:v>2021</c:v>
                </c:pt>
                <c:pt idx="9">
                  <c:v>2022</c:v>
                </c:pt>
                <c:pt idx="10">
                  <c:v>VII 2023</c:v>
                </c:pt>
              </c:strCache>
            </c:strRef>
          </c:cat>
          <c:val>
            <c:numRef>
              <c:f>NPL!$V$5:$V$15</c:f>
              <c:numCache>
                <c:formatCode>0.0%</c:formatCode>
                <c:ptCount val="11"/>
                <c:pt idx="0">
                  <c:v>0.2137</c:v>
                </c:pt>
                <c:pt idx="1">
                  <c:v>0.21539999999999998</c:v>
                </c:pt>
                <c:pt idx="2">
                  <c:v>0.216</c:v>
                </c:pt>
                <c:pt idx="3">
                  <c:v>0.17030000000000001</c:v>
                </c:pt>
                <c:pt idx="4">
                  <c:v>9.8500000000000004E-2</c:v>
                </c:pt>
                <c:pt idx="5">
                  <c:v>5.7000000000000002E-2</c:v>
                </c:pt>
                <c:pt idx="6">
                  <c:v>4.1000000000000002E-2</c:v>
                </c:pt>
                <c:pt idx="7">
                  <c:v>3.6999999999999998E-2</c:v>
                </c:pt>
                <c:pt idx="8">
                  <c:v>3.5999999999999997E-2</c:v>
                </c:pt>
                <c:pt idx="9">
                  <c:v>0.03</c:v>
                </c:pt>
                <c:pt idx="10">
                  <c:v>3.1E-2</c:v>
                </c:pt>
              </c:numCache>
            </c:numRef>
          </c:val>
          <c:smooth val="0"/>
          <c:extLst>
            <c:ext xmlns:c16="http://schemas.microsoft.com/office/drawing/2014/chart" uri="{C3380CC4-5D6E-409C-BE32-E72D297353CC}">
              <c16:uniqueId val="{00000003-83BB-4276-B205-4ADFDC990C22}"/>
            </c:ext>
          </c:extLst>
        </c:ser>
        <c:dLbls>
          <c:showLegendKey val="0"/>
          <c:showVal val="0"/>
          <c:showCatName val="0"/>
          <c:showSerName val="0"/>
          <c:showPercent val="0"/>
          <c:showBubbleSize val="0"/>
        </c:dLbls>
        <c:marker val="1"/>
        <c:smooth val="0"/>
        <c:axId val="1839198256"/>
        <c:axId val="1839197712"/>
      </c:lineChart>
      <c:catAx>
        <c:axId val="1839178672"/>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9888"/>
        <c:crosses val="autoZero"/>
        <c:auto val="1"/>
        <c:lblAlgn val="ctr"/>
        <c:lblOffset val="100"/>
        <c:noMultiLvlLbl val="0"/>
      </c:catAx>
      <c:valAx>
        <c:axId val="1839199888"/>
        <c:scaling>
          <c:orientation val="minMax"/>
          <c:max val="450"/>
          <c:min val="0"/>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78672"/>
        <c:crosses val="autoZero"/>
        <c:crossBetween val="between"/>
        <c:majorUnit val="100"/>
      </c:valAx>
      <c:valAx>
        <c:axId val="1839197712"/>
        <c:scaling>
          <c:orientation val="minMax"/>
          <c:min val="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8256"/>
        <c:crosses val="max"/>
        <c:crossBetween val="between"/>
      </c:valAx>
      <c:catAx>
        <c:axId val="1839198256"/>
        <c:scaling>
          <c:orientation val="minMax"/>
        </c:scaling>
        <c:delete val="1"/>
        <c:axPos val="b"/>
        <c:numFmt formatCode="General" sourceLinked="1"/>
        <c:majorTickMark val="out"/>
        <c:minorTickMark val="none"/>
        <c:tickLblPos val="nextTo"/>
        <c:crossAx val="1839197712"/>
        <c:crosses val="autoZero"/>
        <c:auto val="1"/>
        <c:lblAlgn val="ctr"/>
        <c:lblOffset val="100"/>
        <c:noMultiLvlLbl val="0"/>
      </c:catAx>
      <c:spPr>
        <a:noFill/>
        <a:ln>
          <a:noFill/>
        </a:ln>
        <a:effectLst/>
      </c:spPr>
    </c:plotArea>
    <c:legend>
      <c:legendPos val="b"/>
      <c:layout>
        <c:manualLayout>
          <c:xMode val="edge"/>
          <c:yMode val="edge"/>
          <c:x val="0.14793963254593176"/>
          <c:y val="0.82833811230585419"/>
          <c:w val="0.76430592009332154"/>
          <c:h val="0.14890203106332139"/>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6067586007101372E-2"/>
          <c:y val="5.6338028169014086E-2"/>
          <c:w val="0.79899510791436967"/>
          <c:h val="0.65544933643857894"/>
        </c:manualLayout>
      </c:layout>
      <c:barChart>
        <c:barDir val="col"/>
        <c:grouping val="clustered"/>
        <c:varyColors val="0"/>
        <c:ser>
          <c:idx val="1"/>
          <c:order val="1"/>
          <c:tx>
            <c:strRef>
              <c:f>'Devizni kurs'!$V$2</c:f>
              <c:strCache>
                <c:ptCount val="1"/>
                <c:pt idx="0">
                  <c:v>Интервенције НБС, нето, мил. евра (десна скала)</c:v>
                </c:pt>
              </c:strCache>
            </c:strRef>
          </c:tx>
          <c:spPr>
            <a:solidFill>
              <a:srgbClr val="29489A"/>
            </a:solidFill>
            <a:ln>
              <a:noFill/>
            </a:ln>
            <a:effectLst/>
          </c:spPr>
          <c:invertIfNegative val="0"/>
          <c:cat>
            <c:numRef>
              <c:f>'Devizni kurs'!$Q$39:$Q$154</c:f>
              <c:numCache>
                <c:formatCode>yyyy</c:formatCode>
                <c:ptCount val="116"/>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numCache>
            </c:numRef>
          </c:cat>
          <c:val>
            <c:numRef>
              <c:f>'Devizni kurs'!$V$39:$V$154</c:f>
              <c:numCache>
                <c:formatCode>General</c:formatCode>
                <c:ptCount val="116"/>
                <c:pt idx="0">
                  <c:v>330</c:v>
                </c:pt>
                <c:pt idx="1">
                  <c:v>280</c:v>
                </c:pt>
                <c:pt idx="2">
                  <c:v>190</c:v>
                </c:pt>
                <c:pt idx="3">
                  <c:v>-110</c:v>
                </c:pt>
                <c:pt idx="4">
                  <c:v>-20</c:v>
                </c:pt>
                <c:pt idx="5" formatCode="0">
                  <c:v>-40</c:v>
                </c:pt>
                <c:pt idx="6">
                  <c:v>30</c:v>
                </c:pt>
                <c:pt idx="7">
                  <c:v>60</c:v>
                </c:pt>
                <c:pt idx="8">
                  <c:v>135</c:v>
                </c:pt>
                <c:pt idx="9">
                  <c:v>140</c:v>
                </c:pt>
                <c:pt idx="10">
                  <c:v>250</c:v>
                </c:pt>
                <c:pt idx="11">
                  <c:v>375</c:v>
                </c:pt>
                <c:pt idx="12">
                  <c:v>90</c:v>
                </c:pt>
                <c:pt idx="13">
                  <c:v>-140</c:v>
                </c:pt>
                <c:pt idx="14">
                  <c:v>-120</c:v>
                </c:pt>
                <c:pt idx="15">
                  <c:v>-110</c:v>
                </c:pt>
                <c:pt idx="16">
                  <c:v>0</c:v>
                </c:pt>
                <c:pt idx="17">
                  <c:v>-10</c:v>
                </c:pt>
                <c:pt idx="18">
                  <c:v>-230</c:v>
                </c:pt>
                <c:pt idx="19">
                  <c:v>-130</c:v>
                </c:pt>
                <c:pt idx="20">
                  <c:v>-80</c:v>
                </c:pt>
                <c:pt idx="21">
                  <c:v>-60</c:v>
                </c:pt>
                <c:pt idx="22">
                  <c:v>0</c:v>
                </c:pt>
                <c:pt idx="23">
                  <c:v>270</c:v>
                </c:pt>
                <c:pt idx="24">
                  <c:v>290</c:v>
                </c:pt>
                <c:pt idx="25">
                  <c:v>100</c:v>
                </c:pt>
                <c:pt idx="26">
                  <c:v>175</c:v>
                </c:pt>
                <c:pt idx="27">
                  <c:v>140</c:v>
                </c:pt>
                <c:pt idx="28">
                  <c:v>65</c:v>
                </c:pt>
                <c:pt idx="29">
                  <c:v>50</c:v>
                </c:pt>
                <c:pt idx="30">
                  <c:v>-355</c:v>
                </c:pt>
                <c:pt idx="31">
                  <c:v>-90</c:v>
                </c:pt>
                <c:pt idx="32">
                  <c:v>-30</c:v>
                </c:pt>
                <c:pt idx="33">
                  <c:v>-135</c:v>
                </c:pt>
                <c:pt idx="34">
                  <c:v>-60</c:v>
                </c:pt>
                <c:pt idx="35">
                  <c:v>10</c:v>
                </c:pt>
                <c:pt idx="36">
                  <c:v>225</c:v>
                </c:pt>
                <c:pt idx="37">
                  <c:v>105</c:v>
                </c:pt>
                <c:pt idx="38">
                  <c:v>15</c:v>
                </c:pt>
                <c:pt idx="39">
                  <c:v>-40</c:v>
                </c:pt>
                <c:pt idx="40">
                  <c:v>-120</c:v>
                </c:pt>
                <c:pt idx="41">
                  <c:v>-345</c:v>
                </c:pt>
                <c:pt idx="42">
                  <c:v>-165</c:v>
                </c:pt>
                <c:pt idx="43">
                  <c:v>-290</c:v>
                </c:pt>
                <c:pt idx="44">
                  <c:v>-150</c:v>
                </c:pt>
                <c:pt idx="45">
                  <c:v>-15</c:v>
                </c:pt>
                <c:pt idx="46">
                  <c:v>-50</c:v>
                </c:pt>
                <c:pt idx="47">
                  <c:v>135</c:v>
                </c:pt>
                <c:pt idx="48">
                  <c:v>180</c:v>
                </c:pt>
                <c:pt idx="49">
                  <c:v>-180</c:v>
                </c:pt>
                <c:pt idx="50">
                  <c:v>-400</c:v>
                </c:pt>
                <c:pt idx="51">
                  <c:v>-205</c:v>
                </c:pt>
                <c:pt idx="52">
                  <c:v>-220</c:v>
                </c:pt>
                <c:pt idx="53">
                  <c:v>-365</c:v>
                </c:pt>
                <c:pt idx="54">
                  <c:v>-220</c:v>
                </c:pt>
                <c:pt idx="55">
                  <c:v>-190</c:v>
                </c:pt>
                <c:pt idx="56">
                  <c:v>5</c:v>
                </c:pt>
                <c:pt idx="57">
                  <c:v>30</c:v>
                </c:pt>
                <c:pt idx="58">
                  <c:v>-15</c:v>
                </c:pt>
                <c:pt idx="59">
                  <c:v>0</c:v>
                </c:pt>
                <c:pt idx="60">
                  <c:v>130</c:v>
                </c:pt>
                <c:pt idx="61">
                  <c:v>-30</c:v>
                </c:pt>
                <c:pt idx="62">
                  <c:v>-135</c:v>
                </c:pt>
                <c:pt idx="63">
                  <c:v>-75</c:v>
                </c:pt>
                <c:pt idx="64" formatCode="0">
                  <c:v>-110</c:v>
                </c:pt>
                <c:pt idx="65" formatCode="0">
                  <c:v>-735</c:v>
                </c:pt>
                <c:pt idx="66" formatCode="0">
                  <c:v>-645</c:v>
                </c:pt>
                <c:pt idx="67" formatCode="0">
                  <c:v>-105</c:v>
                </c:pt>
                <c:pt idx="68" formatCode="0">
                  <c:v>-410</c:v>
                </c:pt>
                <c:pt idx="69">
                  <c:v>-235</c:v>
                </c:pt>
                <c:pt idx="70">
                  <c:v>0</c:v>
                </c:pt>
                <c:pt idx="71">
                  <c:v>-355</c:v>
                </c:pt>
                <c:pt idx="72">
                  <c:v>-15</c:v>
                </c:pt>
                <c:pt idx="73">
                  <c:v>65</c:v>
                </c:pt>
                <c:pt idx="74">
                  <c:v>135</c:v>
                </c:pt>
                <c:pt idx="75">
                  <c:v>440</c:v>
                </c:pt>
                <c:pt idx="76">
                  <c:v>250</c:v>
                </c:pt>
                <c:pt idx="77">
                  <c:v>155</c:v>
                </c:pt>
                <c:pt idx="78">
                  <c:v>325</c:v>
                </c:pt>
                <c:pt idx="79">
                  <c:v>160</c:v>
                </c:pt>
                <c:pt idx="80">
                  <c:v>120</c:v>
                </c:pt>
                <c:pt idx="81">
                  <c:v>100</c:v>
                </c:pt>
                <c:pt idx="82">
                  <c:v>-115</c:v>
                </c:pt>
                <c:pt idx="83">
                  <c:v>-170</c:v>
                </c:pt>
                <c:pt idx="84">
                  <c:v>105</c:v>
                </c:pt>
                <c:pt idx="85">
                  <c:v>-55</c:v>
                </c:pt>
                <c:pt idx="86">
                  <c:v>0</c:v>
                </c:pt>
                <c:pt idx="87">
                  <c:v>0</c:v>
                </c:pt>
                <c:pt idx="88">
                  <c:v>-45</c:v>
                </c:pt>
                <c:pt idx="89">
                  <c:v>-325</c:v>
                </c:pt>
                <c:pt idx="90">
                  <c:v>-380</c:v>
                </c:pt>
                <c:pt idx="91">
                  <c:v>-265</c:v>
                </c:pt>
                <c:pt idx="92">
                  <c:v>-135</c:v>
                </c:pt>
                <c:pt idx="93">
                  <c:v>140</c:v>
                </c:pt>
                <c:pt idx="94">
                  <c:v>110</c:v>
                </c:pt>
                <c:pt idx="95">
                  <c:v>205</c:v>
                </c:pt>
                <c:pt idx="96">
                  <c:v>340</c:v>
                </c:pt>
                <c:pt idx="97">
                  <c:v>605</c:v>
                </c:pt>
                <c:pt idx="98">
                  <c:v>1170</c:v>
                </c:pt>
                <c:pt idx="99">
                  <c:v>155</c:v>
                </c:pt>
                <c:pt idx="100">
                  <c:v>-75</c:v>
                </c:pt>
                <c:pt idx="101">
                  <c:v>-405</c:v>
                </c:pt>
                <c:pt idx="102">
                  <c:v>-435</c:v>
                </c:pt>
                <c:pt idx="103">
                  <c:v>-450</c:v>
                </c:pt>
                <c:pt idx="104">
                  <c:v>-480</c:v>
                </c:pt>
                <c:pt idx="105">
                  <c:v>-525</c:v>
                </c:pt>
                <c:pt idx="106">
                  <c:v>-350</c:v>
                </c:pt>
                <c:pt idx="107">
                  <c:v>-550</c:v>
                </c:pt>
                <c:pt idx="108">
                  <c:v>225</c:v>
                </c:pt>
                <c:pt idx="109">
                  <c:v>-390</c:v>
                </c:pt>
                <c:pt idx="110">
                  <c:v>-300</c:v>
                </c:pt>
                <c:pt idx="111">
                  <c:v>-600</c:v>
                </c:pt>
                <c:pt idx="112">
                  <c:v>-255</c:v>
                </c:pt>
                <c:pt idx="113">
                  <c:v>-540</c:v>
                </c:pt>
                <c:pt idx="114">
                  <c:v>-595</c:v>
                </c:pt>
                <c:pt idx="115">
                  <c:v>-315</c:v>
                </c:pt>
              </c:numCache>
            </c:numRef>
          </c:val>
          <c:extLst>
            <c:ext xmlns:c16="http://schemas.microsoft.com/office/drawing/2014/chart" uri="{C3380CC4-5D6E-409C-BE32-E72D297353CC}">
              <c16:uniqueId val="{00000000-4273-4BFF-A5D4-B75AED982DD6}"/>
            </c:ext>
          </c:extLst>
        </c:ser>
        <c:dLbls>
          <c:showLegendKey val="0"/>
          <c:showVal val="0"/>
          <c:showCatName val="0"/>
          <c:showSerName val="0"/>
          <c:showPercent val="0"/>
          <c:showBubbleSize val="0"/>
        </c:dLbls>
        <c:gapWidth val="30"/>
        <c:axId val="1839186832"/>
        <c:axId val="1839203696"/>
      </c:barChart>
      <c:lineChart>
        <c:grouping val="standard"/>
        <c:varyColors val="0"/>
        <c:ser>
          <c:idx val="0"/>
          <c:order val="0"/>
          <c:tx>
            <c:strRef>
              <c:f>'Devizni kurs'!$U$2</c:f>
              <c:strCache>
                <c:ptCount val="1"/>
                <c:pt idx="0">
                  <c:v>Просечан девизни курс ЕУР/РСД</c:v>
                </c:pt>
              </c:strCache>
            </c:strRef>
          </c:tx>
          <c:spPr>
            <a:ln w="22225" cap="rnd">
              <a:solidFill>
                <a:srgbClr val="FF0000"/>
              </a:solidFill>
              <a:round/>
            </a:ln>
            <a:effectLst/>
          </c:spPr>
          <c:marker>
            <c:symbol val="none"/>
          </c:marker>
          <c:cat>
            <c:numRef>
              <c:f>'Devizni kurs'!$Q$39:$Q$154</c:f>
              <c:numCache>
                <c:formatCode>yyyy</c:formatCode>
                <c:ptCount val="116"/>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numCache>
            </c:numRef>
          </c:cat>
          <c:val>
            <c:numRef>
              <c:f>'Devizni kurs'!$U$39:$U$154</c:f>
              <c:numCache>
                <c:formatCode>0.00</c:formatCode>
                <c:ptCount val="116"/>
                <c:pt idx="0">
                  <c:v>115.50068000000002</c:v>
                </c:pt>
                <c:pt idx="1">
                  <c:v>115.89948421052632</c:v>
                </c:pt>
                <c:pt idx="2">
                  <c:v>115.84343333333334</c:v>
                </c:pt>
                <c:pt idx="3">
                  <c:v>115.5407</c:v>
                </c:pt>
                <c:pt idx="4">
                  <c:v>115.65779999999999</c:v>
                </c:pt>
                <c:pt idx="5">
                  <c:v>115.5341</c:v>
                </c:pt>
                <c:pt idx="6">
                  <c:v>116.22490000000001</c:v>
                </c:pt>
                <c:pt idx="7">
                  <c:v>117.3078</c:v>
                </c:pt>
                <c:pt idx="8">
                  <c:v>118.61799999999999</c:v>
                </c:pt>
                <c:pt idx="9">
                  <c:v>119.3497</c:v>
                </c:pt>
                <c:pt idx="10">
                  <c:v>119.9829</c:v>
                </c:pt>
                <c:pt idx="11">
                  <c:v>121.53</c:v>
                </c:pt>
                <c:pt idx="12">
                  <c:v>122.62</c:v>
                </c:pt>
                <c:pt idx="13">
                  <c:v>121.58</c:v>
                </c:pt>
                <c:pt idx="14">
                  <c:v>120.47</c:v>
                </c:pt>
                <c:pt idx="15">
                  <c:v>120.17</c:v>
                </c:pt>
                <c:pt idx="16">
                  <c:v>120.59</c:v>
                </c:pt>
                <c:pt idx="17">
                  <c:v>120.55517727272726</c:v>
                </c:pt>
                <c:pt idx="18">
                  <c:v>120.21342173913044</c:v>
                </c:pt>
                <c:pt idx="19">
                  <c:v>120.22183333333331</c:v>
                </c:pt>
                <c:pt idx="20">
                  <c:v>120.18703181818181</c:v>
                </c:pt>
                <c:pt idx="21">
                  <c:v>120.07991818181817</c:v>
                </c:pt>
                <c:pt idx="22">
                  <c:v>120.65054000000001</c:v>
                </c:pt>
                <c:pt idx="23">
                  <c:v>121.75174782608696</c:v>
                </c:pt>
                <c:pt idx="24">
                  <c:v>122.54524736842107</c:v>
                </c:pt>
                <c:pt idx="25">
                  <c:v>122.87654736842104</c:v>
                </c:pt>
                <c:pt idx="26">
                  <c:v>123.13206956521738</c:v>
                </c:pt>
                <c:pt idx="27">
                  <c:v>122.80799500000001</c:v>
                </c:pt>
                <c:pt idx="28">
                  <c:v>122.82450500000002</c:v>
                </c:pt>
                <c:pt idx="29">
                  <c:v>123.40000909090909</c:v>
                </c:pt>
                <c:pt idx="30">
                  <c:v>123.34886190476189</c:v>
                </c:pt>
                <c:pt idx="31">
                  <c:v>123.30531739130437</c:v>
                </c:pt>
                <c:pt idx="32">
                  <c:v>123.23121818181816</c:v>
                </c:pt>
                <c:pt idx="33">
                  <c:v>123.17817142857142</c:v>
                </c:pt>
                <c:pt idx="34">
                  <c:v>123.18741904761906</c:v>
                </c:pt>
                <c:pt idx="35">
                  <c:v>123.42</c:v>
                </c:pt>
                <c:pt idx="36">
                  <c:v>123.8</c:v>
                </c:pt>
                <c:pt idx="37">
                  <c:v>123.94</c:v>
                </c:pt>
                <c:pt idx="38">
                  <c:v>123.89</c:v>
                </c:pt>
                <c:pt idx="39">
                  <c:v>123.66</c:v>
                </c:pt>
                <c:pt idx="40">
                  <c:v>123.05</c:v>
                </c:pt>
                <c:pt idx="41">
                  <c:v>122.02</c:v>
                </c:pt>
                <c:pt idx="42">
                  <c:v>120.42</c:v>
                </c:pt>
                <c:pt idx="43">
                  <c:v>119.57</c:v>
                </c:pt>
                <c:pt idx="44">
                  <c:v>119.2957</c:v>
                </c:pt>
                <c:pt idx="45">
                  <c:v>119.2818</c:v>
                </c:pt>
                <c:pt idx="46">
                  <c:v>118.89884545454547</c:v>
                </c:pt>
                <c:pt idx="47">
                  <c:v>119.13943333333332</c:v>
                </c:pt>
                <c:pt idx="48">
                  <c:v>118.61770952380952</c:v>
                </c:pt>
                <c:pt idx="49">
                  <c:v>118.39149999999999</c:v>
                </c:pt>
                <c:pt idx="50">
                  <c:v>118.2688</c:v>
                </c:pt>
                <c:pt idx="51">
                  <c:v>118.19159999999999</c:v>
                </c:pt>
                <c:pt idx="52">
                  <c:v>118.18894761904762</c:v>
                </c:pt>
                <c:pt idx="53">
                  <c:v>118.13484285714287</c:v>
                </c:pt>
                <c:pt idx="54">
                  <c:v>118.04732272727273</c:v>
                </c:pt>
                <c:pt idx="55">
                  <c:v>118.10411304347828</c:v>
                </c:pt>
                <c:pt idx="56">
                  <c:v>118.278565</c:v>
                </c:pt>
                <c:pt idx="57">
                  <c:v>118.43672608695648</c:v>
                </c:pt>
                <c:pt idx="58">
                  <c:v>118.34287619047618</c:v>
                </c:pt>
                <c:pt idx="59">
                  <c:v>118.27724285714282</c:v>
                </c:pt>
                <c:pt idx="60">
                  <c:v>118.41</c:v>
                </c:pt>
                <c:pt idx="61">
                  <c:v>118.24</c:v>
                </c:pt>
                <c:pt idx="62">
                  <c:v>118.04</c:v>
                </c:pt>
                <c:pt idx="63">
                  <c:v>117.99</c:v>
                </c:pt>
                <c:pt idx="64">
                  <c:v>117.96469999999999</c:v>
                </c:pt>
                <c:pt idx="65">
                  <c:v>117.93766999999998</c:v>
                </c:pt>
                <c:pt idx="66">
                  <c:v>117.78449999999999</c:v>
                </c:pt>
                <c:pt idx="67">
                  <c:v>117.777</c:v>
                </c:pt>
                <c:pt idx="68">
                  <c:v>117.5958</c:v>
                </c:pt>
                <c:pt idx="69">
                  <c:v>117.5453</c:v>
                </c:pt>
                <c:pt idx="70">
                  <c:v>117.51315499999998</c:v>
                </c:pt>
                <c:pt idx="71">
                  <c:v>117.54</c:v>
                </c:pt>
                <c:pt idx="72">
                  <c:v>117.5643</c:v>
                </c:pt>
                <c:pt idx="73">
                  <c:v>117.57170000000001</c:v>
                </c:pt>
                <c:pt idx="74">
                  <c:v>117.5625</c:v>
                </c:pt>
                <c:pt idx="75">
                  <c:v>117.5694</c:v>
                </c:pt>
                <c:pt idx="76">
                  <c:v>117.5913</c:v>
                </c:pt>
                <c:pt idx="77">
                  <c:v>117.5852</c:v>
                </c:pt>
                <c:pt idx="78">
                  <c:v>117.58579130434782</c:v>
                </c:pt>
                <c:pt idx="79">
                  <c:v>117.58645238095237</c:v>
                </c:pt>
                <c:pt idx="80">
                  <c:v>117.58302727272726</c:v>
                </c:pt>
                <c:pt idx="81" formatCode="General">
                  <c:v>117.58</c:v>
                </c:pt>
                <c:pt idx="82">
                  <c:v>117.57380000000001</c:v>
                </c:pt>
                <c:pt idx="83">
                  <c:v>117.57769999999999</c:v>
                </c:pt>
                <c:pt idx="84">
                  <c:v>117.58203684210527</c:v>
                </c:pt>
                <c:pt idx="85">
                  <c:v>117.57634999999998</c:v>
                </c:pt>
                <c:pt idx="86">
                  <c:v>117.57657826086957</c:v>
                </c:pt>
                <c:pt idx="87">
                  <c:v>117.57283333333332</c:v>
                </c:pt>
                <c:pt idx="88">
                  <c:v>117.57888421052631</c:v>
                </c:pt>
                <c:pt idx="89">
                  <c:v>117.57026363636363</c:v>
                </c:pt>
                <c:pt idx="90">
                  <c:v>117.56288181818182</c:v>
                </c:pt>
                <c:pt idx="91">
                  <c:v>117.56745909090908</c:v>
                </c:pt>
                <c:pt idx="92">
                  <c:v>117.5668</c:v>
                </c:pt>
                <c:pt idx="93">
                  <c:v>117.56744285714285</c:v>
                </c:pt>
                <c:pt idx="94">
                  <c:v>117.58056666666668</c:v>
                </c:pt>
                <c:pt idx="95">
                  <c:v>117.58005217391303</c:v>
                </c:pt>
                <c:pt idx="96">
                  <c:v>117.58427894736842</c:v>
                </c:pt>
                <c:pt idx="97">
                  <c:v>117.59068333333335</c:v>
                </c:pt>
                <c:pt idx="98">
                  <c:v>117.67664782608693</c:v>
                </c:pt>
                <c:pt idx="99">
                  <c:v>117.72751578947369</c:v>
                </c:pt>
                <c:pt idx="100">
                  <c:v>117.55720999999998</c:v>
                </c:pt>
                <c:pt idx="101">
                  <c:v>117.42971363636362</c:v>
                </c:pt>
                <c:pt idx="102">
                  <c:v>117.39375714285714</c:v>
                </c:pt>
                <c:pt idx="103">
                  <c:v>117.35496086956519</c:v>
                </c:pt>
                <c:pt idx="104">
                  <c:v>117.32463636363637</c:v>
                </c:pt>
                <c:pt idx="105">
                  <c:v>117.31286666666665</c:v>
                </c:pt>
                <c:pt idx="106">
                  <c:v>117.30856666666664</c:v>
                </c:pt>
                <c:pt idx="107">
                  <c:v>117.30965454545456</c:v>
                </c:pt>
                <c:pt idx="108">
                  <c:v>117.36350499999999</c:v>
                </c:pt>
                <c:pt idx="109">
                  <c:v>117.32664444444445</c:v>
                </c:pt>
                <c:pt idx="110">
                  <c:v>117.31440869565216</c:v>
                </c:pt>
                <c:pt idx="111">
                  <c:v>117.2824</c:v>
                </c:pt>
                <c:pt idx="112">
                  <c:v>117.2831</c:v>
                </c:pt>
                <c:pt idx="113">
                  <c:v>117.2731</c:v>
                </c:pt>
                <c:pt idx="114">
                  <c:v>117.2269</c:v>
                </c:pt>
                <c:pt idx="115">
                  <c:v>117.2139</c:v>
                </c:pt>
              </c:numCache>
            </c:numRef>
          </c:val>
          <c:smooth val="0"/>
          <c:extLst>
            <c:ext xmlns:c16="http://schemas.microsoft.com/office/drawing/2014/chart" uri="{C3380CC4-5D6E-409C-BE32-E72D297353CC}">
              <c16:uniqueId val="{00000001-4273-4BFF-A5D4-B75AED982DD6}"/>
            </c:ext>
          </c:extLst>
        </c:ser>
        <c:ser>
          <c:idx val="2"/>
          <c:order val="2"/>
          <c:tx>
            <c:strRef>
              <c:f>'Devizni kurs'!$W$2</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8575676036203562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273-4BFF-A5D4-B75AED982DD6}"/>
                </c:ext>
              </c:extLst>
            </c:dLbl>
            <c:dLbl>
              <c:idx val="12"/>
              <c:layout>
                <c:manualLayout>
                  <c:x val="-2.3980625329626394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273-4BFF-A5D4-B75AED982DD6}"/>
                </c:ext>
              </c:extLst>
            </c:dLbl>
            <c:dLbl>
              <c:idx val="24"/>
              <c:layout>
                <c:manualLayout>
                  <c:x val="-2.397662710483818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273-4BFF-A5D4-B75AED982DD6}"/>
                </c:ext>
              </c:extLst>
            </c:dLbl>
            <c:dLbl>
              <c:idx val="36"/>
              <c:layout>
                <c:manualLayout>
                  <c:x val="-2.3982547555871456E-2"/>
                  <c:y val="3.838557045024561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273-4BFF-A5D4-B75AED982DD6}"/>
                </c:ext>
              </c:extLst>
            </c:dLbl>
            <c:dLbl>
              <c:idx val="48"/>
              <c:layout>
                <c:manualLayout>
                  <c:x val="-2.4758461788420488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273-4BFF-A5D4-B75AED982DD6}"/>
                </c:ext>
              </c:extLst>
            </c:dLbl>
            <c:dLbl>
              <c:idx val="60"/>
              <c:layout>
                <c:manualLayout>
                  <c:x val="-2.5432706328375621E-2"/>
                  <c:y val="3.838550497195249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273-4BFF-A5D4-B75AED982DD6}"/>
                </c:ext>
              </c:extLst>
            </c:dLbl>
            <c:dLbl>
              <c:idx val="72"/>
              <c:layout>
                <c:manualLayout>
                  <c:x val="-2.5972951297754447E-2"/>
                  <c:y val="3.790442361315454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273-4BFF-A5D4-B75AED982DD6}"/>
                </c:ext>
              </c:extLst>
            </c:dLbl>
            <c:dLbl>
              <c:idx val="84"/>
              <c:layout>
                <c:manualLayout>
                  <c:x val="-2.6866433362496354E-2"/>
                  <c:y val="3.75296005156444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273-4BFF-A5D4-B75AED982DD6}"/>
                </c:ext>
              </c:extLst>
            </c:dLbl>
            <c:dLbl>
              <c:idx val="96"/>
              <c:layout>
                <c:manualLayout>
                  <c:x val="-3.1481481481481652E-2"/>
                  <c:y val="3.79499628679922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4273-4BFF-A5D4-B75AED982DD6}"/>
                </c:ext>
              </c:extLst>
            </c:dLbl>
            <c:dLbl>
              <c:idx val="108"/>
              <c:layout>
                <c:manualLayout>
                  <c:x val="-3.6005831592591069E-2"/>
                  <c:y val="3.828911742352270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4273-4BFF-A5D4-B75AED982DD6}"/>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'Devizni kurs'!$Q$39:$Q$154</c:f>
              <c:numCache>
                <c:formatCode>yyyy</c:formatCode>
                <c:ptCount val="116"/>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numCache>
            </c:numRef>
          </c:cat>
          <c:val>
            <c:numRef>
              <c:f>'Devizni kurs'!$W$39:$W$154</c:f>
              <c:numCache>
                <c:formatCode>General</c:formatCode>
                <c:ptCount val="116"/>
                <c:pt idx="0">
                  <c:v>85</c:v>
                </c:pt>
                <c:pt idx="12">
                  <c:v>85</c:v>
                </c:pt>
                <c:pt idx="24">
                  <c:v>85</c:v>
                </c:pt>
                <c:pt idx="36">
                  <c:v>85</c:v>
                </c:pt>
                <c:pt idx="48">
                  <c:v>85</c:v>
                </c:pt>
                <c:pt idx="60">
                  <c:v>85</c:v>
                </c:pt>
                <c:pt idx="72">
                  <c:v>85</c:v>
                </c:pt>
                <c:pt idx="84">
                  <c:v>85</c:v>
                </c:pt>
                <c:pt idx="96">
                  <c:v>85</c:v>
                </c:pt>
                <c:pt idx="108">
                  <c:v>85</c:v>
                </c:pt>
              </c:numCache>
            </c:numRef>
          </c:val>
          <c:smooth val="0"/>
          <c:extLst>
            <c:ext xmlns:c16="http://schemas.microsoft.com/office/drawing/2014/chart" uri="{C3380CC4-5D6E-409C-BE32-E72D297353CC}">
              <c16:uniqueId val="{0000000C-4273-4BFF-A5D4-B75AED982DD6}"/>
            </c:ext>
          </c:extLst>
        </c:ser>
        <c:dLbls>
          <c:showLegendKey val="0"/>
          <c:showVal val="0"/>
          <c:showCatName val="0"/>
          <c:showSerName val="0"/>
          <c:showPercent val="0"/>
          <c:showBubbleSize val="0"/>
        </c:dLbls>
        <c:marker val="1"/>
        <c:smooth val="0"/>
        <c:axId val="1839186288"/>
        <c:axId val="1839187920"/>
      </c:lineChart>
      <c:catAx>
        <c:axId val="1839186288"/>
        <c:scaling>
          <c:orientation val="minMax"/>
        </c:scaling>
        <c:delete val="0"/>
        <c:axPos val="b"/>
        <c:numFmt formatCode="\I\ 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7920"/>
        <c:crosses val="autoZero"/>
        <c:auto val="0"/>
        <c:lblAlgn val="ctr"/>
        <c:lblOffset val="100"/>
        <c:tickLblSkip val="12"/>
        <c:noMultiLvlLbl val="1"/>
      </c:catAx>
      <c:valAx>
        <c:axId val="1839187920"/>
        <c:scaling>
          <c:orientation val="minMax"/>
          <c:max val="140"/>
          <c:min val="85"/>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6288"/>
        <c:crosses val="autoZero"/>
        <c:crossBetween val="midCat"/>
        <c:majorUnit val="10"/>
      </c:valAx>
      <c:valAx>
        <c:axId val="1839203696"/>
        <c:scaling>
          <c:orientation val="minMax"/>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6832"/>
        <c:crosses val="max"/>
        <c:crossBetween val="between"/>
        <c:majorUnit val="200"/>
      </c:valAx>
      <c:dateAx>
        <c:axId val="1839186832"/>
        <c:scaling>
          <c:orientation val="minMax"/>
        </c:scaling>
        <c:delete val="1"/>
        <c:axPos val="b"/>
        <c:numFmt formatCode="yyyy" sourceLinked="1"/>
        <c:majorTickMark val="out"/>
        <c:minorTickMark val="none"/>
        <c:tickLblPos val="nextTo"/>
        <c:crossAx val="1839203696"/>
        <c:crosses val="autoZero"/>
        <c:auto val="1"/>
        <c:lblOffset val="100"/>
        <c:baseTimeUnit val="months"/>
      </c:dateAx>
      <c:spPr>
        <a:noFill/>
        <a:ln>
          <a:noFill/>
        </a:ln>
        <a:effectLst/>
      </c:spPr>
    </c:plotArea>
    <c:legend>
      <c:legendPos val="b"/>
      <c:legendEntry>
        <c:idx val="2"/>
        <c:delete val="1"/>
      </c:legendEntry>
      <c:layout>
        <c:manualLayout>
          <c:xMode val="edge"/>
          <c:yMode val="edge"/>
          <c:x val="0"/>
          <c:y val="0.83348870056497193"/>
          <c:w val="0.99854002624671911"/>
          <c:h val="0.154159604519774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7488334791484402E-2"/>
          <c:y val="4.9388888888888892E-2"/>
          <c:w val="0.85158573928258963"/>
          <c:h val="0.68513222222222225"/>
        </c:manualLayout>
      </c:layout>
      <c:barChart>
        <c:barDir val="col"/>
        <c:grouping val="clustered"/>
        <c:varyColors val="0"/>
        <c:ser>
          <c:idx val="1"/>
          <c:order val="1"/>
          <c:tx>
            <c:strRef>
              <c:f>'Stednja i rezerve'!$V$2</c:f>
              <c:strCache>
                <c:ptCount val="1"/>
                <c:pt idx="0">
                  <c:v>Девизне резерве НБС </c:v>
                </c:pt>
              </c:strCache>
            </c:strRef>
          </c:tx>
          <c:spPr>
            <a:solidFill>
              <a:srgbClr val="9ED1E6"/>
            </a:solidFill>
            <a:ln>
              <a:noFill/>
            </a:ln>
            <a:effectLst/>
          </c:spPr>
          <c:invertIfNegative val="0"/>
          <c:cat>
            <c:numRef>
              <c:f>'Stednja i rezerve'!$Q$27:$Q$142</c:f>
              <c:numCache>
                <c:formatCode>yyyy</c:formatCode>
                <c:ptCount val="116"/>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numCache>
            </c:numRef>
          </c:cat>
          <c:val>
            <c:numRef>
              <c:f>'Stednja i rezerve'!$V$27:$V$142</c:f>
              <c:numCache>
                <c:formatCode>0.000</c:formatCode>
                <c:ptCount val="116"/>
                <c:pt idx="0">
                  <c:v>11.125999999999999</c:v>
                </c:pt>
                <c:pt idx="1">
                  <c:v>10.832000000000001</c:v>
                </c:pt>
                <c:pt idx="2">
                  <c:v>10.428000000000001</c:v>
                </c:pt>
                <c:pt idx="3">
                  <c:v>10.448</c:v>
                </c:pt>
                <c:pt idx="4">
                  <c:v>10.37</c:v>
                </c:pt>
                <c:pt idx="5">
                  <c:v>10.125</c:v>
                </c:pt>
                <c:pt idx="6">
                  <c:v>10.122999999999999</c:v>
                </c:pt>
                <c:pt idx="7">
                  <c:v>10.949</c:v>
                </c:pt>
                <c:pt idx="8">
                  <c:v>10.878</c:v>
                </c:pt>
                <c:pt idx="9">
                  <c:v>10.714</c:v>
                </c:pt>
                <c:pt idx="10">
                  <c:v>10.271000000000001</c:v>
                </c:pt>
                <c:pt idx="11">
                  <c:v>9.907</c:v>
                </c:pt>
                <c:pt idx="12">
                  <c:v>10.048999999999999</c:v>
                </c:pt>
                <c:pt idx="13">
                  <c:v>10.313000000000001</c:v>
                </c:pt>
                <c:pt idx="14">
                  <c:v>10.515000000000001</c:v>
                </c:pt>
                <c:pt idx="15">
                  <c:v>10.534000000000001</c:v>
                </c:pt>
                <c:pt idx="16">
                  <c:v>10.545</c:v>
                </c:pt>
                <c:pt idx="17">
                  <c:v>10.292999999999999</c:v>
                </c:pt>
                <c:pt idx="18">
                  <c:v>10.631</c:v>
                </c:pt>
                <c:pt idx="19">
                  <c:v>10.61</c:v>
                </c:pt>
                <c:pt idx="20">
                  <c:v>10.510999999999999</c:v>
                </c:pt>
                <c:pt idx="21">
                  <c:v>10.673999999999999</c:v>
                </c:pt>
                <c:pt idx="22">
                  <c:v>10.746</c:v>
                </c:pt>
                <c:pt idx="23">
                  <c:v>10.378</c:v>
                </c:pt>
                <c:pt idx="24">
                  <c:v>10.1045</c:v>
                </c:pt>
                <c:pt idx="25">
                  <c:v>9.8507999999999996</c:v>
                </c:pt>
                <c:pt idx="26">
                  <c:v>9.5008999999999997</c:v>
                </c:pt>
                <c:pt idx="27">
                  <c:v>9.3379999999999992</c:v>
                </c:pt>
                <c:pt idx="28">
                  <c:v>9.2639999999999993</c:v>
                </c:pt>
                <c:pt idx="29">
                  <c:v>9.2910000000000004</c:v>
                </c:pt>
                <c:pt idx="30">
                  <c:v>9.6059999999999999</c:v>
                </c:pt>
                <c:pt idx="31">
                  <c:v>9.5839999999999996</c:v>
                </c:pt>
                <c:pt idx="32">
                  <c:v>9.5519999999999996</c:v>
                </c:pt>
                <c:pt idx="33">
                  <c:v>9.7070000000000007</c:v>
                </c:pt>
                <c:pt idx="34">
                  <c:v>9.8179999999999996</c:v>
                </c:pt>
                <c:pt idx="35">
                  <c:v>10.205</c:v>
                </c:pt>
                <c:pt idx="36">
                  <c:v>9.8539999999999992</c:v>
                </c:pt>
                <c:pt idx="37">
                  <c:v>9.7590000000000003</c:v>
                </c:pt>
                <c:pt idx="38">
                  <c:v>9.73</c:v>
                </c:pt>
                <c:pt idx="39">
                  <c:v>9.4090000000000007</c:v>
                </c:pt>
                <c:pt idx="40">
                  <c:v>9.4920000000000009</c:v>
                </c:pt>
                <c:pt idx="41">
                  <c:v>9.67</c:v>
                </c:pt>
                <c:pt idx="42">
                  <c:v>9.9480000000000004</c:v>
                </c:pt>
                <c:pt idx="43">
                  <c:v>10.278</c:v>
                </c:pt>
                <c:pt idx="44">
                  <c:v>10.635999999999999</c:v>
                </c:pt>
                <c:pt idx="45">
                  <c:v>10.76</c:v>
                </c:pt>
                <c:pt idx="46">
                  <c:v>10.105</c:v>
                </c:pt>
                <c:pt idx="47">
                  <c:v>9.9617000000000004</c:v>
                </c:pt>
                <c:pt idx="48">
                  <c:v>9.6477000000000004</c:v>
                </c:pt>
                <c:pt idx="49">
                  <c:v>9.7910000000000004</c:v>
                </c:pt>
                <c:pt idx="50">
                  <c:v>10.234999999999999</c:v>
                </c:pt>
                <c:pt idx="51">
                  <c:v>10.43</c:v>
                </c:pt>
                <c:pt idx="52">
                  <c:v>10.882999999999999</c:v>
                </c:pt>
                <c:pt idx="53">
                  <c:v>11.103999999999999</c:v>
                </c:pt>
                <c:pt idx="54">
                  <c:v>11.403</c:v>
                </c:pt>
                <c:pt idx="55">
                  <c:v>11.326000000000001</c:v>
                </c:pt>
                <c:pt idx="56">
                  <c:v>11.17249</c:v>
                </c:pt>
                <c:pt idx="57">
                  <c:v>11.5504</c:v>
                </c:pt>
                <c:pt idx="58">
                  <c:v>11.627000000000001</c:v>
                </c:pt>
                <c:pt idx="59">
                  <c:v>11.262</c:v>
                </c:pt>
                <c:pt idx="60">
                  <c:v>11.346</c:v>
                </c:pt>
                <c:pt idx="61">
                  <c:v>11.398</c:v>
                </c:pt>
                <c:pt idx="62">
                  <c:v>11.44</c:v>
                </c:pt>
                <c:pt idx="63">
                  <c:v>11.336</c:v>
                </c:pt>
                <c:pt idx="64">
                  <c:v>11.656000000000001</c:v>
                </c:pt>
                <c:pt idx="65">
                  <c:v>12.146000000000001</c:v>
                </c:pt>
                <c:pt idx="66">
                  <c:v>12.757999999999999</c:v>
                </c:pt>
                <c:pt idx="67">
                  <c:v>13.1</c:v>
                </c:pt>
                <c:pt idx="68">
                  <c:v>13.295</c:v>
                </c:pt>
                <c:pt idx="69">
                  <c:v>13.499000000000001</c:v>
                </c:pt>
                <c:pt idx="70">
                  <c:v>13.464700000000001</c:v>
                </c:pt>
                <c:pt idx="71">
                  <c:v>13.378500000000001</c:v>
                </c:pt>
                <c:pt idx="72">
                  <c:v>13.694000000000001</c:v>
                </c:pt>
                <c:pt idx="73">
                  <c:v>13.459</c:v>
                </c:pt>
                <c:pt idx="74">
                  <c:v>13.115</c:v>
                </c:pt>
                <c:pt idx="75">
                  <c:v>12.792999999999999</c:v>
                </c:pt>
                <c:pt idx="76">
                  <c:v>14.345000000000001</c:v>
                </c:pt>
                <c:pt idx="77">
                  <c:v>13.956</c:v>
                </c:pt>
                <c:pt idx="78">
                  <c:v>13.521000000000001</c:v>
                </c:pt>
                <c:pt idx="79">
                  <c:v>13.369</c:v>
                </c:pt>
                <c:pt idx="80">
                  <c:v>13.03</c:v>
                </c:pt>
                <c:pt idx="81">
                  <c:v>13.05</c:v>
                </c:pt>
                <c:pt idx="82" formatCode="General">
                  <c:v>12.843999999999999</c:v>
                </c:pt>
                <c:pt idx="83" formatCode="General">
                  <c:v>13.492000000000001</c:v>
                </c:pt>
                <c:pt idx="84">
                  <c:v>13.602928</c:v>
                </c:pt>
                <c:pt idx="85">
                  <c:v>13.4227504</c:v>
                </c:pt>
                <c:pt idx="86">
                  <c:v>14.275499999999999</c:v>
                </c:pt>
                <c:pt idx="87">
                  <c:v>13.997441199999999</c:v>
                </c:pt>
                <c:pt idx="88">
                  <c:v>14.181562900000001</c:v>
                </c:pt>
                <c:pt idx="89">
                  <c:v>14.091799999999999</c:v>
                </c:pt>
                <c:pt idx="90">
                  <c:v>14.5802736</c:v>
                </c:pt>
                <c:pt idx="91">
                  <c:v>15.585386699999999</c:v>
                </c:pt>
                <c:pt idx="92">
                  <c:v>16.802540499999999</c:v>
                </c:pt>
                <c:pt idx="93">
                  <c:v>16.277799999999999</c:v>
                </c:pt>
                <c:pt idx="94">
                  <c:v>16.453099999999999</c:v>
                </c:pt>
                <c:pt idx="95">
                  <c:v>16.454510200000001</c:v>
                </c:pt>
                <c:pt idx="96">
                  <c:v>16.110843299999999</c:v>
                </c:pt>
                <c:pt idx="97">
                  <c:v>15.561500000000001</c:v>
                </c:pt>
                <c:pt idx="98">
                  <c:v>14.296276199999999</c:v>
                </c:pt>
                <c:pt idx="99">
                  <c:v>14.1136</c:v>
                </c:pt>
                <c:pt idx="100">
                  <c:v>13.903600000000001</c:v>
                </c:pt>
                <c:pt idx="101">
                  <c:v>14.775700000000001</c:v>
                </c:pt>
                <c:pt idx="102">
                  <c:v>15.0228</c:v>
                </c:pt>
                <c:pt idx="103">
                  <c:v>15.8756</c:v>
                </c:pt>
                <c:pt idx="104">
                  <c:v>16.502299999999998</c:v>
                </c:pt>
                <c:pt idx="105" formatCode="General">
                  <c:v>16.870999999999999</c:v>
                </c:pt>
                <c:pt idx="106" formatCode="General">
                  <c:v>17.266999999999999</c:v>
                </c:pt>
                <c:pt idx="107" formatCode="General">
                  <c:v>19.416</c:v>
                </c:pt>
                <c:pt idx="108">
                  <c:v>20.913319099999999</c:v>
                </c:pt>
                <c:pt idx="109">
                  <c:v>21.196145100000003</c:v>
                </c:pt>
                <c:pt idx="110">
                  <c:v>21.380610300000001</c:v>
                </c:pt>
                <c:pt idx="111">
                  <c:v>21.556726999999999</c:v>
                </c:pt>
                <c:pt idx="112">
                  <c:v>22.088187399999999</c:v>
                </c:pt>
                <c:pt idx="113">
                  <c:v>22.58493</c:v>
                </c:pt>
                <c:pt idx="114">
                  <c:v>23.134196199999998</c:v>
                </c:pt>
                <c:pt idx="115">
                  <c:v>23.623699999999999</c:v>
                </c:pt>
              </c:numCache>
            </c:numRef>
          </c:val>
          <c:extLst>
            <c:ext xmlns:c16="http://schemas.microsoft.com/office/drawing/2014/chart" uri="{C3380CC4-5D6E-409C-BE32-E72D297353CC}">
              <c16:uniqueId val="{00000000-94EB-4318-BA3B-80625FDFCB7A}"/>
            </c:ext>
          </c:extLst>
        </c:ser>
        <c:dLbls>
          <c:showLegendKey val="0"/>
          <c:showVal val="0"/>
          <c:showCatName val="0"/>
          <c:showSerName val="0"/>
          <c:showPercent val="0"/>
          <c:showBubbleSize val="0"/>
        </c:dLbls>
        <c:gapWidth val="100"/>
        <c:axId val="2067915440"/>
        <c:axId val="2067938832"/>
      </c:barChart>
      <c:lineChart>
        <c:grouping val="standard"/>
        <c:varyColors val="0"/>
        <c:ser>
          <c:idx val="0"/>
          <c:order val="0"/>
          <c:tx>
            <c:strRef>
              <c:f>'Stednja i rezerve'!$U$2</c:f>
              <c:strCache>
                <c:ptCount val="1"/>
                <c:pt idx="0">
                  <c:v>Девизна штедња становништва</c:v>
                </c:pt>
              </c:strCache>
            </c:strRef>
          </c:tx>
          <c:spPr>
            <a:ln w="22225" cap="rnd">
              <a:solidFill>
                <a:srgbClr val="FF0000"/>
              </a:solidFill>
              <a:round/>
            </a:ln>
            <a:effectLst/>
          </c:spPr>
          <c:marker>
            <c:symbol val="none"/>
          </c:marker>
          <c:cat>
            <c:numRef>
              <c:f>'Stednja i rezerve'!$Q$27:$Q$142</c:f>
              <c:numCache>
                <c:formatCode>yyyy</c:formatCode>
                <c:ptCount val="116"/>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numCache>
            </c:numRef>
          </c:cat>
          <c:val>
            <c:numRef>
              <c:f>'Stednja i rezerve'!$U$27:$U$142</c:f>
              <c:numCache>
                <c:formatCode>0.000</c:formatCode>
                <c:ptCount val="116"/>
                <c:pt idx="0">
                  <c:v>8.3740000000000006</c:v>
                </c:pt>
                <c:pt idx="1">
                  <c:v>8.4179999999999993</c:v>
                </c:pt>
                <c:pt idx="2">
                  <c:v>8.4039999999999999</c:v>
                </c:pt>
                <c:pt idx="3">
                  <c:v>8.4369999999999994</c:v>
                </c:pt>
                <c:pt idx="4">
                  <c:v>8.4329999999999998</c:v>
                </c:pt>
                <c:pt idx="5">
                  <c:v>8.4860000000000007</c:v>
                </c:pt>
                <c:pt idx="6">
                  <c:v>8.4960000000000004</c:v>
                </c:pt>
                <c:pt idx="7">
                  <c:v>8.4890000000000008</c:v>
                </c:pt>
                <c:pt idx="8">
                  <c:v>8.4890000000000008</c:v>
                </c:pt>
                <c:pt idx="9">
                  <c:v>8.5120000000000005</c:v>
                </c:pt>
                <c:pt idx="10">
                  <c:v>8.4830000000000005</c:v>
                </c:pt>
                <c:pt idx="11">
                  <c:v>8.5250000000000004</c:v>
                </c:pt>
                <c:pt idx="12">
                  <c:v>8.6050000000000004</c:v>
                </c:pt>
                <c:pt idx="13">
                  <c:v>8.61</c:v>
                </c:pt>
                <c:pt idx="14">
                  <c:v>8.6419999999999995</c:v>
                </c:pt>
                <c:pt idx="15">
                  <c:v>8.6389999999999993</c:v>
                </c:pt>
                <c:pt idx="16">
                  <c:v>8.6349999999999998</c:v>
                </c:pt>
                <c:pt idx="17">
                  <c:v>8.67</c:v>
                </c:pt>
                <c:pt idx="18">
                  <c:v>8.6210000000000004</c:v>
                </c:pt>
                <c:pt idx="19">
                  <c:v>8.6050000000000004</c:v>
                </c:pt>
                <c:pt idx="20">
                  <c:v>8.59</c:v>
                </c:pt>
                <c:pt idx="21">
                  <c:v>8.6039999999999992</c:v>
                </c:pt>
                <c:pt idx="22">
                  <c:v>8.5969999999999995</c:v>
                </c:pt>
                <c:pt idx="23">
                  <c:v>8.6289999999999996</c:v>
                </c:pt>
                <c:pt idx="24">
                  <c:v>8.6264760000000003</c:v>
                </c:pt>
                <c:pt idx="25">
                  <c:v>8.636355</c:v>
                </c:pt>
                <c:pt idx="26">
                  <c:v>8.6437650000000001</c:v>
                </c:pt>
                <c:pt idx="27">
                  <c:v>8.6690000000000005</c:v>
                </c:pt>
                <c:pt idx="28">
                  <c:v>8.7550000000000008</c:v>
                </c:pt>
                <c:pt idx="29">
                  <c:v>8.7959999999999994</c:v>
                </c:pt>
                <c:pt idx="30">
                  <c:v>8.8219999999999992</c:v>
                </c:pt>
                <c:pt idx="31">
                  <c:v>8.8309999999999995</c:v>
                </c:pt>
                <c:pt idx="32">
                  <c:v>8.843</c:v>
                </c:pt>
                <c:pt idx="33">
                  <c:v>8.8960000000000008</c:v>
                </c:pt>
                <c:pt idx="34">
                  <c:v>8.9149999999999991</c:v>
                </c:pt>
                <c:pt idx="35">
                  <c:v>8.9870000000000001</c:v>
                </c:pt>
                <c:pt idx="36">
                  <c:v>9.0310000000000006</c:v>
                </c:pt>
                <c:pt idx="37">
                  <c:v>9.0555649999999996</c:v>
                </c:pt>
                <c:pt idx="38">
                  <c:v>9.0842139999999993</c:v>
                </c:pt>
                <c:pt idx="39">
                  <c:v>9.1143780000000003</c:v>
                </c:pt>
                <c:pt idx="40">
                  <c:v>9.1059999999999999</c:v>
                </c:pt>
                <c:pt idx="41">
                  <c:v>9.1370000000000005</c:v>
                </c:pt>
                <c:pt idx="42">
                  <c:v>9.1780000000000008</c:v>
                </c:pt>
                <c:pt idx="43">
                  <c:v>9.2170000000000005</c:v>
                </c:pt>
                <c:pt idx="44">
                  <c:v>9.2629999999999999</c:v>
                </c:pt>
                <c:pt idx="45">
                  <c:v>9.2880000000000003</c:v>
                </c:pt>
                <c:pt idx="46">
                  <c:v>9.298</c:v>
                </c:pt>
                <c:pt idx="47">
                  <c:v>9.373151</c:v>
                </c:pt>
                <c:pt idx="48">
                  <c:v>9.4209999999999994</c:v>
                </c:pt>
                <c:pt idx="49">
                  <c:v>9.5150000000000006</c:v>
                </c:pt>
                <c:pt idx="50">
                  <c:v>9.5660000000000007</c:v>
                </c:pt>
                <c:pt idx="51">
                  <c:v>9.5939999999999994</c:v>
                </c:pt>
                <c:pt idx="52">
                  <c:v>9.6340000000000003</c:v>
                </c:pt>
                <c:pt idx="53">
                  <c:v>9.6869999999999994</c:v>
                </c:pt>
                <c:pt idx="54">
                  <c:v>9.718</c:v>
                </c:pt>
                <c:pt idx="55">
                  <c:v>9.7629999999999999</c:v>
                </c:pt>
                <c:pt idx="56">
                  <c:v>9.7824939999999998</c:v>
                </c:pt>
                <c:pt idx="57">
                  <c:v>9.8469999999999995</c:v>
                </c:pt>
                <c:pt idx="58">
                  <c:v>9.875</c:v>
                </c:pt>
                <c:pt idx="59">
                  <c:v>9.9550000000000001</c:v>
                </c:pt>
                <c:pt idx="60">
                  <c:v>10.105</c:v>
                </c:pt>
                <c:pt idx="61">
                  <c:v>10.167</c:v>
                </c:pt>
                <c:pt idx="62">
                  <c:v>10.217000000000001</c:v>
                </c:pt>
                <c:pt idx="63">
                  <c:v>10.295999999999999</c:v>
                </c:pt>
                <c:pt idx="64">
                  <c:v>10.340999999999999</c:v>
                </c:pt>
                <c:pt idx="65">
                  <c:v>10.391</c:v>
                </c:pt>
                <c:pt idx="66">
                  <c:v>10.474</c:v>
                </c:pt>
                <c:pt idx="67">
                  <c:v>10.547000000000001</c:v>
                </c:pt>
                <c:pt idx="68">
                  <c:v>10.612</c:v>
                </c:pt>
                <c:pt idx="69">
                  <c:v>10.661</c:v>
                </c:pt>
                <c:pt idx="70">
                  <c:v>10.72</c:v>
                </c:pt>
                <c:pt idx="71">
                  <c:v>10.804</c:v>
                </c:pt>
                <c:pt idx="72">
                  <c:v>10.941129999999999</c:v>
                </c:pt>
                <c:pt idx="73">
                  <c:v>11.007695</c:v>
                </c:pt>
                <c:pt idx="74">
                  <c:v>10.819725</c:v>
                </c:pt>
                <c:pt idx="75">
                  <c:v>10.889227</c:v>
                </c:pt>
                <c:pt idx="76">
                  <c:v>10.915190000000001</c:v>
                </c:pt>
                <c:pt idx="77">
                  <c:v>10.987965000000001</c:v>
                </c:pt>
                <c:pt idx="78">
                  <c:v>10.998704</c:v>
                </c:pt>
                <c:pt idx="79">
                  <c:v>11.069706</c:v>
                </c:pt>
                <c:pt idx="80">
                  <c:v>11.155711999999999</c:v>
                </c:pt>
                <c:pt idx="81" formatCode="General">
                  <c:v>11.256</c:v>
                </c:pt>
                <c:pt idx="82" formatCode="General">
                  <c:v>11.291</c:v>
                </c:pt>
                <c:pt idx="83" formatCode="General">
                  <c:v>11.436</c:v>
                </c:pt>
                <c:pt idx="84" formatCode="General">
                  <c:v>11.586</c:v>
                </c:pt>
                <c:pt idx="85" formatCode="General">
                  <c:v>11.683999999999999</c:v>
                </c:pt>
                <c:pt idx="86">
                  <c:v>11.778</c:v>
                </c:pt>
                <c:pt idx="87">
                  <c:v>11.84</c:v>
                </c:pt>
                <c:pt idx="88">
                  <c:v>12.006</c:v>
                </c:pt>
                <c:pt idx="89">
                  <c:v>12.118</c:v>
                </c:pt>
                <c:pt idx="90">
                  <c:v>12.221</c:v>
                </c:pt>
                <c:pt idx="91">
                  <c:v>12.275</c:v>
                </c:pt>
                <c:pt idx="92">
                  <c:v>12.321999999999999</c:v>
                </c:pt>
                <c:pt idx="93">
                  <c:v>12.417999999999999</c:v>
                </c:pt>
                <c:pt idx="94">
                  <c:v>12.554</c:v>
                </c:pt>
                <c:pt idx="95">
                  <c:v>12.736000000000001</c:v>
                </c:pt>
                <c:pt idx="96">
                  <c:v>12.88</c:v>
                </c:pt>
                <c:pt idx="97">
                  <c:v>12.94</c:v>
                </c:pt>
                <c:pt idx="98">
                  <c:v>12.803000000000001</c:v>
                </c:pt>
                <c:pt idx="99">
                  <c:v>12.930524</c:v>
                </c:pt>
                <c:pt idx="100">
                  <c:v>12.987158000000001</c:v>
                </c:pt>
                <c:pt idx="101">
                  <c:v>13.180187999999999</c:v>
                </c:pt>
                <c:pt idx="102">
                  <c:v>13.3729</c:v>
                </c:pt>
                <c:pt idx="103">
                  <c:v>13.474511</c:v>
                </c:pt>
                <c:pt idx="104">
                  <c:v>13.526999999999999</c:v>
                </c:pt>
                <c:pt idx="105" formatCode="General">
                  <c:v>13.566000000000001</c:v>
                </c:pt>
                <c:pt idx="106" formatCode="General">
                  <c:v>13.62</c:v>
                </c:pt>
                <c:pt idx="107" formatCode="General">
                  <c:v>13.715</c:v>
                </c:pt>
                <c:pt idx="108" formatCode="General">
                  <c:v>13.788</c:v>
                </c:pt>
                <c:pt idx="109" formatCode="General">
                  <c:v>13.925000000000001</c:v>
                </c:pt>
                <c:pt idx="110" formatCode="General">
                  <c:v>13.834</c:v>
                </c:pt>
                <c:pt idx="111" formatCode="General">
                  <c:v>13.847</c:v>
                </c:pt>
                <c:pt idx="112">
                  <c:v>13.9</c:v>
                </c:pt>
                <c:pt idx="113">
                  <c:v>13.92</c:v>
                </c:pt>
                <c:pt idx="114">
                  <c:v>13.978</c:v>
                </c:pt>
              </c:numCache>
            </c:numRef>
          </c:val>
          <c:smooth val="0"/>
          <c:extLst>
            <c:ext xmlns:c16="http://schemas.microsoft.com/office/drawing/2014/chart" uri="{C3380CC4-5D6E-409C-BE32-E72D297353CC}">
              <c16:uniqueId val="{00000001-94EB-4318-BA3B-80625FDFCB7A}"/>
            </c:ext>
          </c:extLst>
        </c:ser>
        <c:ser>
          <c:idx val="2"/>
          <c:order val="2"/>
          <c:tx>
            <c:strRef>
              <c:f>'Stednja i rezerve'!$W$2</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0235126859142607E-2"/>
                  <c:y val="2.79156436917894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4EB-4318-BA3B-80625FDFCB7A}"/>
                </c:ext>
              </c:extLst>
            </c:dLbl>
            <c:dLbl>
              <c:idx val="12"/>
              <c:layout>
                <c:manualLayout>
                  <c:x val="-2.2924743555378331E-2"/>
                  <c:y val="2.80231191574112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4EB-4318-BA3B-80625FDFCB7A}"/>
                </c:ext>
              </c:extLst>
            </c:dLbl>
            <c:dLbl>
              <c:idx val="24"/>
              <c:layout>
                <c:manualLayout>
                  <c:x val="-2.2924743555378352E-2"/>
                  <c:y val="2.80231191574112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4EB-4318-BA3B-80625FDFCB7A}"/>
                </c:ext>
              </c:extLst>
            </c:dLbl>
            <c:dLbl>
              <c:idx val="36"/>
              <c:layout>
                <c:manualLayout>
                  <c:x val="-2.2931977252843436E-2"/>
                  <c:y val="2.802308360257591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4EB-4318-BA3B-80625FDFCB7A}"/>
                </c:ext>
              </c:extLst>
            </c:dLbl>
            <c:dLbl>
              <c:idx val="48"/>
              <c:layout>
                <c:manualLayout>
                  <c:x val="-2.4774210326358969E-2"/>
                  <c:y val="2.80231191574112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4EB-4318-BA3B-80625FDFCB7A}"/>
                </c:ext>
              </c:extLst>
            </c:dLbl>
            <c:dLbl>
              <c:idx val="60"/>
              <c:layout>
                <c:manualLayout>
                  <c:x val="-2.2561533270425312E-2"/>
                  <c:y val="2.802255844831594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4EB-4318-BA3B-80625FDFCB7A}"/>
                </c:ext>
              </c:extLst>
            </c:dLbl>
            <c:dLbl>
              <c:idx val="72"/>
              <c:layout>
                <c:manualLayout>
                  <c:x val="-2.1332429666144369E-2"/>
                  <c:y val="2.873409829006154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94EB-4318-BA3B-80625FDFCB7A}"/>
                </c:ext>
              </c:extLst>
            </c:dLbl>
            <c:dLbl>
              <c:idx val="84"/>
              <c:layout>
                <c:manualLayout>
                  <c:x val="-2.0649957540717773E-2"/>
                  <c:y val="2.85344858521881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94EB-4318-BA3B-80625FDFCB7A}"/>
                </c:ext>
              </c:extLst>
            </c:dLbl>
            <c:dLbl>
              <c:idx val="96"/>
              <c:layout>
                <c:manualLayout>
                  <c:x val="-2.7507730930915394E-2"/>
                  <c:y val="2.876886225396084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94EB-4318-BA3B-80625FDFCB7A}"/>
                </c:ext>
              </c:extLst>
            </c:dLbl>
            <c:dLbl>
              <c:idx val="108"/>
              <c:layout>
                <c:manualLayout>
                  <c:x val="-2.1046176019916239E-2"/>
                  <c:y val="2.869423622224093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94EB-4318-BA3B-80625FDFCB7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'Stednja i rezerve'!$Q$27:$Q$142</c:f>
              <c:numCache>
                <c:formatCode>yyyy</c:formatCode>
                <c:ptCount val="116"/>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numCache>
            </c:numRef>
          </c:cat>
          <c:val>
            <c:numRef>
              <c:f>'Stednja i rezerve'!$W$27:$W$142</c:f>
              <c:numCache>
                <c:formatCode>General</c:formatCode>
                <c:ptCount val="116"/>
                <c:pt idx="0">
                  <c:v>7</c:v>
                </c:pt>
                <c:pt idx="12">
                  <c:v>7</c:v>
                </c:pt>
                <c:pt idx="24">
                  <c:v>7</c:v>
                </c:pt>
                <c:pt idx="36">
                  <c:v>7</c:v>
                </c:pt>
                <c:pt idx="48">
                  <c:v>7</c:v>
                </c:pt>
                <c:pt idx="60">
                  <c:v>7</c:v>
                </c:pt>
                <c:pt idx="72">
                  <c:v>7</c:v>
                </c:pt>
                <c:pt idx="84">
                  <c:v>7</c:v>
                </c:pt>
                <c:pt idx="96">
                  <c:v>7</c:v>
                </c:pt>
                <c:pt idx="108">
                  <c:v>7</c:v>
                </c:pt>
              </c:numCache>
            </c:numRef>
          </c:val>
          <c:smooth val="0"/>
          <c:extLst>
            <c:ext xmlns:c16="http://schemas.microsoft.com/office/drawing/2014/chart" uri="{C3380CC4-5D6E-409C-BE32-E72D297353CC}">
              <c16:uniqueId val="{0000000C-94EB-4318-BA3B-80625FDFCB7A}"/>
            </c:ext>
          </c:extLst>
        </c:ser>
        <c:dLbls>
          <c:showLegendKey val="0"/>
          <c:showVal val="0"/>
          <c:showCatName val="0"/>
          <c:showSerName val="0"/>
          <c:showPercent val="0"/>
          <c:showBubbleSize val="0"/>
        </c:dLbls>
        <c:marker val="1"/>
        <c:smooth val="0"/>
        <c:axId val="2067915440"/>
        <c:axId val="2067938832"/>
      </c:lineChart>
      <c:catAx>
        <c:axId val="2067915440"/>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8832"/>
        <c:crosses val="autoZero"/>
        <c:auto val="0"/>
        <c:lblAlgn val="ctr"/>
        <c:lblOffset val="100"/>
        <c:tickLblSkip val="12"/>
        <c:noMultiLvlLbl val="1"/>
      </c:catAx>
      <c:valAx>
        <c:axId val="2067938832"/>
        <c:scaling>
          <c:orientation val="minMax"/>
          <c:max val="22"/>
          <c:min val="7"/>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15440"/>
        <c:crosses val="autoZero"/>
        <c:crossBetween val="midCat"/>
        <c:majorUnit val="2"/>
      </c:valAx>
      <c:spPr>
        <a:noFill/>
        <a:ln>
          <a:noFill/>
        </a:ln>
        <a:effectLst/>
      </c:spPr>
    </c:plotArea>
    <c:legend>
      <c:legendPos val="b"/>
      <c:legendEntry>
        <c:idx val="2"/>
        <c:delete val="1"/>
      </c:legendEntry>
      <c:layout>
        <c:manualLayout>
          <c:xMode val="edge"/>
          <c:yMode val="edge"/>
          <c:x val="5.2835374744823561E-2"/>
          <c:y val="0.81213222222222226"/>
          <c:w val="0.91284740449110524"/>
          <c:h val="0.14553444444444447"/>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336188914802072E-2"/>
          <c:y val="5.633805593782408E-2"/>
          <c:w val="0.86437336615075899"/>
          <c:h val="0.64068107026989318"/>
        </c:manualLayout>
      </c:layout>
      <c:lineChart>
        <c:grouping val="standard"/>
        <c:varyColors val="0"/>
        <c:ser>
          <c:idx val="1"/>
          <c:order val="0"/>
          <c:tx>
            <c:strRef>
              <c:f>'Projekcija inflacije'!$C$7</c:f>
              <c:strCache>
                <c:ptCount val="1"/>
                <c:pt idx="0">
                  <c:v>Инфлација, просек периода</c:v>
                </c:pt>
              </c:strCache>
            </c:strRef>
          </c:tx>
          <c:spPr>
            <a:ln w="22225" cap="rnd">
              <a:solidFill>
                <a:srgbClr val="EC008C"/>
              </a:solidFill>
              <a:round/>
            </a:ln>
            <a:effectLst/>
          </c:spPr>
          <c:marker>
            <c:symbol val="none"/>
          </c:marker>
          <c:cat>
            <c:numRef>
              <c:f>'Projekcija inflacije'!$I$5:$V$5</c:f>
              <c:numCache>
                <c:formatCode>General</c:formatCode>
                <c:ptCount val="14"/>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numCache>
            </c:numRef>
          </c:cat>
          <c:val>
            <c:numRef>
              <c:f>'Projekcija inflacije'!$I$7:$V$7</c:f>
              <c:numCache>
                <c:formatCode>#.#00</c:formatCode>
                <c:ptCount val="14"/>
                <c:pt idx="0">
                  <c:v>7.8</c:v>
                </c:pt>
                <c:pt idx="1">
                  <c:v>2.9</c:v>
                </c:pt>
                <c:pt idx="2">
                  <c:v>1.9</c:v>
                </c:pt>
                <c:pt idx="3">
                  <c:v>1.2</c:v>
                </c:pt>
                <c:pt idx="4">
                  <c:v>3</c:v>
                </c:pt>
                <c:pt idx="5">
                  <c:v>2</c:v>
                </c:pt>
                <c:pt idx="6">
                  <c:v>1.7</c:v>
                </c:pt>
                <c:pt idx="7">
                  <c:v>1.6</c:v>
                </c:pt>
                <c:pt idx="8">
                  <c:v>4</c:v>
                </c:pt>
                <c:pt idx="9">
                  <c:v>11.9</c:v>
                </c:pt>
                <c:pt idx="10">
                  <c:v>12.5</c:v>
                </c:pt>
                <c:pt idx="11">
                  <c:v>4.9000000000000004</c:v>
                </c:pt>
                <c:pt idx="12">
                  <c:v>3.5</c:v>
                </c:pt>
                <c:pt idx="13">
                  <c:v>3</c:v>
                </c:pt>
              </c:numCache>
            </c:numRef>
          </c:val>
          <c:smooth val="0"/>
          <c:extLst>
            <c:ext xmlns:c16="http://schemas.microsoft.com/office/drawing/2014/chart" uri="{C3380CC4-5D6E-409C-BE32-E72D297353CC}">
              <c16:uniqueId val="{00000000-C608-4C82-997D-8513BB2F2004}"/>
            </c:ext>
          </c:extLst>
        </c:ser>
        <c:ser>
          <c:idx val="2"/>
          <c:order val="1"/>
          <c:tx>
            <c:strRef>
              <c:f>'Projekcija inflacije'!$C$8</c:f>
              <c:strCache>
                <c:ptCount val="1"/>
                <c:pt idx="0">
                  <c:v>Дефлатор БДП</c:v>
                </c:pt>
              </c:strCache>
            </c:strRef>
          </c:tx>
          <c:spPr>
            <a:ln w="22225" cap="rnd">
              <a:solidFill>
                <a:srgbClr val="7F3F98"/>
              </a:solidFill>
              <a:round/>
            </a:ln>
            <a:effectLst/>
          </c:spPr>
          <c:marker>
            <c:symbol val="none"/>
          </c:marker>
          <c:cat>
            <c:numRef>
              <c:f>'Projekcija inflacije'!$I$5:$V$5</c:f>
              <c:numCache>
                <c:formatCode>General</c:formatCode>
                <c:ptCount val="14"/>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numCache>
            </c:numRef>
          </c:cat>
          <c:val>
            <c:numRef>
              <c:f>'Projekcija inflacije'!$I$8:$V$8</c:f>
              <c:numCache>
                <c:formatCode>#.#00</c:formatCode>
                <c:ptCount val="14"/>
                <c:pt idx="0">
                  <c:v>5.1254413454188068</c:v>
                </c:pt>
                <c:pt idx="1">
                  <c:v>2.585383220508831</c:v>
                </c:pt>
                <c:pt idx="2">
                  <c:v>1.872893376087049</c:v>
                </c:pt>
                <c:pt idx="3">
                  <c:v>1.5498888324771798</c:v>
                </c:pt>
                <c:pt idx="4">
                  <c:v>2.9707931698183216</c:v>
                </c:pt>
                <c:pt idx="5">
                  <c:v>1.9749425621523642</c:v>
                </c:pt>
                <c:pt idx="6">
                  <c:v>2.440598124427737</c:v>
                </c:pt>
                <c:pt idx="7">
                  <c:v>2.4499700873471966</c:v>
                </c:pt>
                <c:pt idx="8">
                  <c:v>6.0913449196546168</c:v>
                </c:pt>
                <c:pt idx="9">
                  <c:v>10.598206175277312</c:v>
                </c:pt>
                <c:pt idx="10">
                  <c:v>11.548434044660077</c:v>
                </c:pt>
                <c:pt idx="11">
                  <c:v>4.6456085724093157</c:v>
                </c:pt>
                <c:pt idx="12">
                  <c:v>3.6428893816248764</c:v>
                </c:pt>
                <c:pt idx="13">
                  <c:v>2.8857993245245215</c:v>
                </c:pt>
              </c:numCache>
            </c:numRef>
          </c:val>
          <c:smooth val="0"/>
          <c:extLst>
            <c:ext xmlns:c16="http://schemas.microsoft.com/office/drawing/2014/chart" uri="{C3380CC4-5D6E-409C-BE32-E72D297353CC}">
              <c16:uniqueId val="{00000001-C608-4C82-997D-8513BB2F2004}"/>
            </c:ext>
          </c:extLst>
        </c:ser>
        <c:ser>
          <c:idx val="3"/>
          <c:order val="2"/>
          <c:tx>
            <c:strRef>
              <c:f>'Projekcija inflacije'!$C$9</c:f>
              <c:strCache>
                <c:ptCount val="1"/>
              </c:strCache>
            </c:strRef>
          </c:tx>
          <c:spPr>
            <a:ln w="28575" cap="rnd">
              <a:noFill/>
              <a:round/>
            </a:ln>
            <a:effectLst/>
          </c:spPr>
          <c:marker>
            <c:symbol val="square"/>
            <c:size val="2"/>
            <c:spPr>
              <a:solidFill>
                <a:schemeClr val="bg1"/>
              </a:solidFill>
              <a:ln w="9525">
                <a:noFill/>
              </a:ln>
              <a:effectLst/>
            </c:spPr>
          </c:marker>
          <c:dLbls>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'Projekcija inflacije'!$I$5:$V$5</c:f>
              <c:numCache>
                <c:formatCode>General</c:formatCode>
                <c:ptCount val="14"/>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numCache>
            </c:numRef>
          </c:cat>
          <c:val>
            <c:numRef>
              <c:f>'Projekcija inflacije'!$I$9:$V$9</c:f>
              <c:numCache>
                <c:formatCode>General</c:formatCode>
                <c:ptCount val="14"/>
                <c:pt idx="0">
                  <c:v>0</c:v>
                </c:pt>
                <c:pt idx="1">
                  <c:v>0</c:v>
                </c:pt>
                <c:pt idx="2">
                  <c:v>0</c:v>
                </c:pt>
                <c:pt idx="3">
                  <c:v>0</c:v>
                </c:pt>
                <c:pt idx="4">
                  <c:v>0</c:v>
                </c:pt>
                <c:pt idx="5">
                  <c:v>0</c:v>
                </c:pt>
                <c:pt idx="6">
                  <c:v>0</c:v>
                </c:pt>
                <c:pt idx="7">
                  <c:v>0</c:v>
                </c:pt>
                <c:pt idx="8">
                  <c:v>0</c:v>
                </c:pt>
                <c:pt idx="9">
                  <c:v>0</c:v>
                </c:pt>
                <c:pt idx="10">
                  <c:v>0</c:v>
                </c:pt>
                <c:pt idx="11">
                  <c:v>0</c:v>
                </c:pt>
                <c:pt idx="12">
                  <c:v>0</c:v>
                </c:pt>
                <c:pt idx="13">
                  <c:v>0</c:v>
                </c:pt>
              </c:numCache>
            </c:numRef>
          </c:val>
          <c:smooth val="0"/>
          <c:extLst>
            <c:ext xmlns:c16="http://schemas.microsoft.com/office/drawing/2014/chart" uri="{C3380CC4-5D6E-409C-BE32-E72D297353CC}">
              <c16:uniqueId val="{00000002-C608-4C82-997D-8513BB2F2004}"/>
            </c:ext>
          </c:extLst>
        </c:ser>
        <c:dLbls>
          <c:showLegendKey val="0"/>
          <c:showVal val="0"/>
          <c:showCatName val="0"/>
          <c:showSerName val="0"/>
          <c:showPercent val="0"/>
          <c:showBubbleSize val="0"/>
        </c:dLbls>
        <c:smooth val="0"/>
        <c:axId val="2067937200"/>
        <c:axId val="2067931760"/>
      </c:lineChart>
      <c:catAx>
        <c:axId val="2067937200"/>
        <c:scaling>
          <c:orientation val="minMax"/>
        </c:scaling>
        <c:delete val="0"/>
        <c:axPos val="b"/>
        <c:numFmt formatCode="General" sourceLinked="1"/>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1760"/>
        <c:crosses val="autoZero"/>
        <c:auto val="1"/>
        <c:lblAlgn val="ctr"/>
        <c:lblOffset val="100"/>
        <c:noMultiLvlLbl val="0"/>
      </c:catAx>
      <c:valAx>
        <c:axId val="2067931760"/>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7200"/>
        <c:crosses val="autoZero"/>
        <c:crossBetween val="midCat"/>
        <c:majorUnit val="2"/>
      </c:valAx>
      <c:spPr>
        <a:noFill/>
        <a:ln>
          <a:noFill/>
        </a:ln>
        <a:effectLst/>
      </c:spPr>
    </c:plotArea>
    <c:legend>
      <c:legendPos val="b"/>
      <c:legendEntry>
        <c:idx val="2"/>
        <c:delete val="1"/>
      </c:legendEntry>
      <c:layout>
        <c:manualLayout>
          <c:xMode val="edge"/>
          <c:yMode val="edge"/>
          <c:x val="2.5218401951955399E-3"/>
          <c:y val="0.89885280049846372"/>
          <c:w val="0.99380576517352959"/>
          <c:h val="0.1011471995015363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7488334791484402E-2"/>
          <c:y val="7.2092777777777783E-2"/>
          <c:w val="0.85158573928258963"/>
          <c:h val="0.61694696969696972"/>
        </c:manualLayout>
      </c:layout>
      <c:barChart>
        <c:barDir val="col"/>
        <c:grouping val="stacked"/>
        <c:varyColors val="0"/>
        <c:ser>
          <c:idx val="5"/>
          <c:order val="1"/>
          <c:tx>
            <c:strRef>
              <c:f>'Uvoz_ek. namena'!$B$7</c:f>
              <c:strCache>
                <c:ptCount val="1"/>
                <c:pt idx="0">
                  <c:v>Средства за рад</c:v>
                </c:pt>
              </c:strCache>
            </c:strRef>
          </c:tx>
          <c:spPr>
            <a:solidFill>
              <a:srgbClr val="10103C"/>
            </a:solidFill>
            <a:ln>
              <a:noFill/>
            </a:ln>
            <a:effectLst/>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en-US" sz="700" b="0" i="0" u="none" strike="noStrike" kern="1200" baseline="0">
                    <a:solidFill>
                      <a:schemeClr val="bg1"/>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namena'!$E$5:$I$5</c:f>
              <c:strCache>
                <c:ptCount val="5"/>
                <c:pt idx="0">
                  <c:v>2019</c:v>
                </c:pt>
                <c:pt idx="1">
                  <c:v>2020</c:v>
                </c:pt>
                <c:pt idx="2">
                  <c:v>2021</c:v>
                </c:pt>
                <c:pt idx="3">
                  <c:v>2022</c:v>
                </c:pt>
                <c:pt idx="4">
                  <c:v>I-VII 2023</c:v>
                </c:pt>
              </c:strCache>
            </c:strRef>
          </c:cat>
          <c:val>
            <c:numRef>
              <c:f>'Uvoz_ek. namena'!$E$7:$I$7</c:f>
              <c:numCache>
                <c:formatCode>0.0</c:formatCode>
                <c:ptCount val="5"/>
                <c:pt idx="0">
                  <c:v>2.8085607266854353</c:v>
                </c:pt>
                <c:pt idx="1">
                  <c:v>0.22111135776304344</c:v>
                </c:pt>
                <c:pt idx="2">
                  <c:v>2.4615367594016599</c:v>
                </c:pt>
                <c:pt idx="3">
                  <c:v>2.4337055430564063</c:v>
                </c:pt>
                <c:pt idx="4">
                  <c:v>-1.2931301630025787</c:v>
                </c:pt>
              </c:numCache>
            </c:numRef>
          </c:val>
          <c:extLst>
            <c:ext xmlns:c16="http://schemas.microsoft.com/office/drawing/2014/chart" uri="{C3380CC4-5D6E-409C-BE32-E72D297353CC}">
              <c16:uniqueId val="{00000000-C23F-4CF0-BED4-CE08F28A1B21}"/>
            </c:ext>
          </c:extLst>
        </c:ser>
        <c:ser>
          <c:idx val="0"/>
          <c:order val="2"/>
          <c:tx>
            <c:strRef>
              <c:f>'Uvoz_ek. namena'!$B$8</c:f>
              <c:strCache>
                <c:ptCount val="1"/>
                <c:pt idx="0">
                  <c:v>Репродукција</c:v>
                </c:pt>
              </c:strCache>
            </c:strRef>
          </c:tx>
          <c:spPr>
            <a:solidFill>
              <a:srgbClr val="2183C4"/>
            </a:solidFill>
            <a:ln>
              <a:noFill/>
            </a:ln>
            <a:effectLst/>
          </c:spPr>
          <c:invertIfNegative val="0"/>
          <c:dLbls>
            <c:dLbl>
              <c:idx val="1"/>
              <c:layout>
                <c:manualLayout>
                  <c:x val="0"/>
                  <c:y val="-4.3318686868686868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23F-4CF0-BED4-CE08F28A1B21}"/>
                </c:ext>
              </c:extLst>
            </c:dLbl>
            <c:dLbl>
              <c:idx val="2"/>
              <c:layout>
                <c:manualLayout>
                  <c:x val="0"/>
                  <c:y val="-1.92424242424242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23F-4CF0-BED4-CE08F28A1B21}"/>
                </c:ext>
              </c:extLst>
            </c:dLbl>
            <c:dLbl>
              <c:idx val="4"/>
              <c:dLblPos val="inBase"/>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23F-4CF0-BED4-CE08F28A1B21}"/>
                </c:ext>
              </c:extLst>
            </c:dLbl>
            <c:spPr>
              <a:noFill/>
              <a:ln>
                <a:noFill/>
              </a:ln>
              <a:effectLst/>
            </c:spPr>
            <c:txPr>
              <a:bodyPr rot="0" spcFirstLastPara="1" vertOverflow="ellipsis" vert="horz" wrap="square" anchor="ctr" anchorCtr="1"/>
              <a:lstStyle/>
              <a:p>
                <a:pPr>
                  <a:defRPr sz="700" b="0" i="0" u="none" strike="noStrike" kern="1200" baseline="0">
                    <a:solidFill>
                      <a:srgbClr val="002060"/>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namena'!$E$5:$I$5</c:f>
              <c:strCache>
                <c:ptCount val="5"/>
                <c:pt idx="0">
                  <c:v>2019</c:v>
                </c:pt>
                <c:pt idx="1">
                  <c:v>2020</c:v>
                </c:pt>
                <c:pt idx="2">
                  <c:v>2021</c:v>
                </c:pt>
                <c:pt idx="3">
                  <c:v>2022</c:v>
                </c:pt>
                <c:pt idx="4">
                  <c:v>I-VII 2023</c:v>
                </c:pt>
              </c:strCache>
            </c:strRef>
          </c:cat>
          <c:val>
            <c:numRef>
              <c:f>'Uvoz_ek. namena'!$E$8:$I$8</c:f>
              <c:numCache>
                <c:formatCode>0.0</c:formatCode>
                <c:ptCount val="5"/>
                <c:pt idx="0">
                  <c:v>3.6183715275084705</c:v>
                </c:pt>
                <c:pt idx="1">
                  <c:v>-5.8440229023300203</c:v>
                </c:pt>
                <c:pt idx="2">
                  <c:v>18.49881405126126</c:v>
                </c:pt>
                <c:pt idx="3">
                  <c:v>24.158726538173109</c:v>
                </c:pt>
                <c:pt idx="4">
                  <c:v>-6.8366344085069439</c:v>
                </c:pt>
              </c:numCache>
            </c:numRef>
          </c:val>
          <c:extLst>
            <c:ext xmlns:c16="http://schemas.microsoft.com/office/drawing/2014/chart" uri="{C3380CC4-5D6E-409C-BE32-E72D297353CC}">
              <c16:uniqueId val="{00000004-C23F-4CF0-BED4-CE08F28A1B21}"/>
            </c:ext>
          </c:extLst>
        </c:ser>
        <c:ser>
          <c:idx val="1"/>
          <c:order val="3"/>
          <c:tx>
            <c:strRef>
              <c:f>'Uvoz_ek. namena'!$B$9</c:f>
              <c:strCache>
                <c:ptCount val="1"/>
                <c:pt idx="0">
                  <c:v>Потрошна роба</c:v>
                </c:pt>
              </c:strCache>
            </c:strRef>
          </c:tx>
          <c:spPr>
            <a:solidFill>
              <a:srgbClr val="51BBE7"/>
            </a:solidFill>
            <a:ln>
              <a:noFill/>
            </a:ln>
            <a:effectLst/>
          </c:spPr>
          <c:invertIfNegative val="0"/>
          <c:dLbls>
            <c:dLbl>
              <c:idx val="1"/>
              <c:layout>
                <c:manualLayout>
                  <c:x val="-2.77926203663009E-2"/>
                  <c:y val="-4.489898989898989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23F-4CF0-BED4-CE08F28A1B21}"/>
                </c:ext>
              </c:extLst>
            </c:dLbl>
            <c:dLbl>
              <c:idx val="4"/>
              <c:layout>
                <c:manualLayout>
                  <c:x val="5.5585240732601633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23F-4CF0-BED4-CE08F28A1B21}"/>
                </c:ext>
              </c:extLst>
            </c:dLbl>
            <c:spPr>
              <a:noFill/>
              <a:ln>
                <a:noFill/>
              </a:ln>
              <a:effectLst/>
            </c:spPr>
            <c:txPr>
              <a:bodyPr rot="0" spcFirstLastPara="1" vertOverflow="ellipsis" vert="horz" wrap="square" anchor="ctr" anchorCtr="1"/>
              <a:lstStyle/>
              <a:p>
                <a:pPr>
                  <a:defRPr sz="700" b="0" i="0" u="none" strike="noStrike" kern="1200" baseline="0">
                    <a:solidFill>
                      <a:srgbClr val="002060"/>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namena'!$E$5:$I$5</c:f>
              <c:strCache>
                <c:ptCount val="5"/>
                <c:pt idx="0">
                  <c:v>2019</c:v>
                </c:pt>
                <c:pt idx="1">
                  <c:v>2020</c:v>
                </c:pt>
                <c:pt idx="2">
                  <c:v>2021</c:v>
                </c:pt>
                <c:pt idx="3">
                  <c:v>2022</c:v>
                </c:pt>
                <c:pt idx="4">
                  <c:v>I-VII 2023</c:v>
                </c:pt>
              </c:strCache>
            </c:strRef>
          </c:cat>
          <c:val>
            <c:numRef>
              <c:f>'Uvoz_ek. namena'!$E$9:$I$9</c:f>
              <c:numCache>
                <c:formatCode>0.0</c:formatCode>
                <c:ptCount val="5"/>
                <c:pt idx="0">
                  <c:v>2.4162016907937023</c:v>
                </c:pt>
                <c:pt idx="1">
                  <c:v>1.5972699819478706</c:v>
                </c:pt>
                <c:pt idx="2">
                  <c:v>2.7892630966283947</c:v>
                </c:pt>
                <c:pt idx="3">
                  <c:v>4.3552339184318072</c:v>
                </c:pt>
                <c:pt idx="4">
                  <c:v>1.3117236127958356</c:v>
                </c:pt>
              </c:numCache>
            </c:numRef>
          </c:val>
          <c:extLst>
            <c:ext xmlns:c16="http://schemas.microsoft.com/office/drawing/2014/chart" uri="{C3380CC4-5D6E-409C-BE32-E72D297353CC}">
              <c16:uniqueId val="{00000007-C23F-4CF0-BED4-CE08F28A1B21}"/>
            </c:ext>
          </c:extLst>
        </c:ser>
        <c:ser>
          <c:idx val="2"/>
          <c:order val="4"/>
          <c:tx>
            <c:strRef>
              <c:f>'Uvoz_ek. namena'!$B$10</c:f>
              <c:strCache>
                <c:ptCount val="1"/>
                <c:pt idx="0">
                  <c:v>Некласификовано</c:v>
                </c:pt>
              </c:strCache>
            </c:strRef>
          </c:tx>
          <c:spPr>
            <a:solidFill>
              <a:srgbClr val="C9E4EB"/>
            </a:solidFill>
            <a:ln>
              <a:noFill/>
            </a:ln>
            <a:effectLst/>
          </c:spPr>
          <c:invertIfNegative val="0"/>
          <c:dLbls>
            <c:dLbl>
              <c:idx val="0"/>
              <c:layout>
                <c:manualLayout>
                  <c:x val="8.7771580635753868E-2"/>
                  <c:y val="-2.95741352652248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23F-4CF0-BED4-CE08F28A1B21}"/>
                </c:ext>
              </c:extLst>
            </c:dLbl>
            <c:dLbl>
              <c:idx val="1"/>
              <c:layout>
                <c:manualLayout>
                  <c:x val="8.3384929833017069E-2"/>
                  <c:y val="-4.46535353535353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23F-4CF0-BED4-CE08F28A1B21}"/>
                </c:ext>
              </c:extLst>
            </c:dLbl>
            <c:dLbl>
              <c:idx val="4"/>
              <c:layout>
                <c:manualLayout>
                  <c:x val="1.389631018315028E-2"/>
                  <c:y val="-6.414141414141531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C23F-4CF0-BED4-CE08F28A1B21}"/>
                </c:ext>
              </c:extLst>
            </c:dLbl>
            <c:spPr>
              <a:noFill/>
              <a:ln>
                <a:noFill/>
              </a:ln>
              <a:effectLst/>
            </c:spPr>
            <c:txPr>
              <a:bodyPr rot="0" spcFirstLastPara="1" vertOverflow="ellipsis" vert="horz" wrap="square" anchor="ctr" anchorCtr="1"/>
              <a:lstStyle/>
              <a:p>
                <a:pPr>
                  <a:defRPr sz="700" b="0" i="0" u="none" strike="noStrike" kern="1200" baseline="0">
                    <a:solidFill>
                      <a:srgbClr val="002060"/>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3175" cap="flat" cmpd="sng" algn="ctr">
                      <a:solidFill>
                        <a:schemeClr val="tx1">
                          <a:lumMod val="35000"/>
                          <a:lumOff val="65000"/>
                        </a:schemeClr>
                      </a:solidFill>
                      <a:round/>
                    </a:ln>
                    <a:effectLst/>
                  </c:spPr>
                </c15:leaderLines>
              </c:ext>
            </c:extLst>
          </c:dLbls>
          <c:cat>
            <c:strRef>
              <c:f>'Uvoz_ek. namena'!$E$5:$I$5</c:f>
              <c:strCache>
                <c:ptCount val="5"/>
                <c:pt idx="0">
                  <c:v>2019</c:v>
                </c:pt>
                <c:pt idx="1">
                  <c:v>2020</c:v>
                </c:pt>
                <c:pt idx="2">
                  <c:v>2021</c:v>
                </c:pt>
                <c:pt idx="3">
                  <c:v>2022</c:v>
                </c:pt>
                <c:pt idx="4">
                  <c:v>I-VII 2023</c:v>
                </c:pt>
              </c:strCache>
            </c:strRef>
          </c:cat>
          <c:val>
            <c:numRef>
              <c:f>'Uvoz_ek. namena'!$E$10:$I$10</c:f>
              <c:numCache>
                <c:formatCode>0.0</c:formatCode>
                <c:ptCount val="5"/>
                <c:pt idx="0">
                  <c:v>8.2577890112096625E-2</c:v>
                </c:pt>
                <c:pt idx="1">
                  <c:v>0.18220504035551299</c:v>
                </c:pt>
                <c:pt idx="2">
                  <c:v>2.2889967138942282</c:v>
                </c:pt>
                <c:pt idx="3">
                  <c:v>3.8655206616140112</c:v>
                </c:pt>
                <c:pt idx="4">
                  <c:v>1.7349459461852434</c:v>
                </c:pt>
              </c:numCache>
            </c:numRef>
          </c:val>
          <c:extLst>
            <c:ext xmlns:c16="http://schemas.microsoft.com/office/drawing/2014/chart" uri="{C3380CC4-5D6E-409C-BE32-E72D297353CC}">
              <c16:uniqueId val="{0000000B-C23F-4CF0-BED4-CE08F28A1B21}"/>
            </c:ext>
          </c:extLst>
        </c:ser>
        <c:dLbls>
          <c:showLegendKey val="0"/>
          <c:showVal val="0"/>
          <c:showCatName val="0"/>
          <c:showSerName val="0"/>
          <c:showPercent val="0"/>
          <c:showBubbleSize val="0"/>
        </c:dLbls>
        <c:gapWidth val="70"/>
        <c:overlap val="100"/>
        <c:axId val="1839193360"/>
        <c:axId val="1839196080"/>
      </c:barChart>
      <c:lineChart>
        <c:grouping val="standard"/>
        <c:varyColors val="0"/>
        <c:ser>
          <c:idx val="3"/>
          <c:order val="0"/>
          <c:tx>
            <c:strRef>
              <c:f>'Uvoz_ek. namena'!$B$6</c:f>
              <c:strCache>
                <c:ptCount val="1"/>
                <c:pt idx="0">
                  <c:v>Укупно</c:v>
                </c:pt>
              </c:strCache>
            </c:strRef>
          </c:tx>
          <c:spPr>
            <a:ln w="28575" cap="rnd">
              <a:solidFill>
                <a:srgbClr val="FF0000"/>
              </a:solidFill>
              <a:round/>
            </a:ln>
            <a:effectLst/>
          </c:spPr>
          <c:marker>
            <c:symbol val="none"/>
          </c:marker>
          <c:dLbls>
            <c:dLbl>
              <c:idx val="1"/>
              <c:layout>
                <c:manualLayout>
                  <c:x val="1.1948454359871767E-2"/>
                  <c:y val="-2.9805555555556204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C23F-4CF0-BED4-CE08F28A1B21}"/>
                </c:ext>
              </c:extLst>
            </c:dLbl>
            <c:dLbl>
              <c:idx val="4"/>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6E2-46DA-AEED-A956D047312C}"/>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namena'!$E$5:$I$5</c:f>
              <c:strCache>
                <c:ptCount val="5"/>
                <c:pt idx="0">
                  <c:v>2019</c:v>
                </c:pt>
                <c:pt idx="1">
                  <c:v>2020</c:v>
                </c:pt>
                <c:pt idx="2">
                  <c:v>2021</c:v>
                </c:pt>
                <c:pt idx="3">
                  <c:v>2022</c:v>
                </c:pt>
                <c:pt idx="4">
                  <c:v>I-VII 2023</c:v>
                </c:pt>
              </c:strCache>
            </c:strRef>
          </c:cat>
          <c:val>
            <c:numRef>
              <c:f>'Uvoz_ek. namena'!$E$6:$I$6</c:f>
              <c:numCache>
                <c:formatCode>0.0</c:formatCode>
                <c:ptCount val="5"/>
                <c:pt idx="0">
                  <c:v>8.9266242979738593</c:v>
                </c:pt>
                <c:pt idx="1">
                  <c:v>-3.8438511767391508</c:v>
                </c:pt>
                <c:pt idx="2">
                  <c:v>26.038170679134183</c:v>
                </c:pt>
                <c:pt idx="3">
                  <c:v>34.81353225990398</c:v>
                </c:pt>
                <c:pt idx="4">
                  <c:v>-5.0826523113428834</c:v>
                </c:pt>
              </c:numCache>
            </c:numRef>
          </c:val>
          <c:smooth val="0"/>
          <c:extLst>
            <c:ext xmlns:c16="http://schemas.microsoft.com/office/drawing/2014/chart" uri="{C3380CC4-5D6E-409C-BE32-E72D297353CC}">
              <c16:uniqueId val="{0000000D-C23F-4CF0-BED4-CE08F28A1B21}"/>
            </c:ext>
          </c:extLst>
        </c:ser>
        <c:dLbls>
          <c:showLegendKey val="0"/>
          <c:showVal val="0"/>
          <c:showCatName val="0"/>
          <c:showSerName val="0"/>
          <c:showPercent val="0"/>
          <c:showBubbleSize val="0"/>
        </c:dLbls>
        <c:marker val="1"/>
        <c:smooth val="0"/>
        <c:axId val="1839193360"/>
        <c:axId val="1839196080"/>
      </c:lineChart>
      <c:catAx>
        <c:axId val="1839193360"/>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6080"/>
        <c:crosses val="autoZero"/>
        <c:auto val="1"/>
        <c:lblAlgn val="ctr"/>
        <c:lblOffset val="100"/>
        <c:noMultiLvlLbl val="0"/>
      </c:catAx>
      <c:valAx>
        <c:axId val="1839196080"/>
        <c:scaling>
          <c:orientation val="minMax"/>
          <c:max val="50"/>
          <c:min val="-6"/>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3360"/>
        <c:crosses val="autoZero"/>
        <c:crossBetween val="between"/>
        <c:majorUnit val="6"/>
      </c:valAx>
      <c:spPr>
        <a:noFill/>
        <a:ln>
          <a:noFill/>
        </a:ln>
        <a:effectLst/>
      </c:spPr>
    </c:plotArea>
    <c:legend>
      <c:legendPos val="b"/>
      <c:layout>
        <c:manualLayout>
          <c:xMode val="edge"/>
          <c:yMode val="edge"/>
          <c:x val="1.2789078448527259E-2"/>
          <c:y val="0.80912929292929292"/>
          <c:w val="0.91940033537474486"/>
          <c:h val="0.1908707070707071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3">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880796150481189"/>
          <c:y val="4.6989720998531569E-2"/>
          <c:w val="0.86246828521434815"/>
          <c:h val="0.81779689433093983"/>
        </c:manualLayout>
      </c:layout>
      <c:areaChart>
        <c:grouping val="standard"/>
        <c:varyColors val="0"/>
        <c:ser>
          <c:idx val="1"/>
          <c:order val="0"/>
          <c:tx>
            <c:strRef>
              <c:f>'Izvoz, uvoz (Q)'!$A$7</c:f>
              <c:strCache>
                <c:ptCount val="1"/>
                <c:pt idx="0">
                  <c:v>Увоз</c:v>
                </c:pt>
              </c:strCache>
            </c:strRef>
          </c:tx>
          <c:spPr>
            <a:solidFill>
              <a:srgbClr val="51BBE7"/>
            </a:solidFill>
            <a:ln>
              <a:noFill/>
            </a:ln>
            <a:effectLst/>
          </c:spPr>
          <c:dLbls>
            <c:dLbl>
              <c:idx val="0"/>
              <c:layout>
                <c:manualLayout>
                  <c:x val="0"/>
                  <c:y val="-0.10715652506697276"/>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6075-4C3F-9DD6-6DC2986503A2}"/>
                </c:ext>
              </c:extLst>
            </c:dLbl>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(Q)'!$S$3:$AV$4</c:f>
              <c:multiLvlStrCache>
                <c:ptCount val="30"/>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pt idx="29">
                    <c:v>Q2</c:v>
                  </c:pt>
                </c:lvl>
                <c:lvl>
                  <c:pt idx="0">
                    <c:v>2016</c:v>
                  </c:pt>
                  <c:pt idx="4">
                    <c:v>2017</c:v>
                  </c:pt>
                  <c:pt idx="8">
                    <c:v>2018</c:v>
                  </c:pt>
                  <c:pt idx="12">
                    <c:v>2019</c:v>
                  </c:pt>
                  <c:pt idx="16">
                    <c:v>2020</c:v>
                  </c:pt>
                  <c:pt idx="20">
                    <c:v>2021</c:v>
                  </c:pt>
                  <c:pt idx="24">
                    <c:v>2022</c:v>
                  </c:pt>
                  <c:pt idx="28">
                    <c:v>2023</c:v>
                  </c:pt>
                </c:lvl>
              </c:multiLvlStrCache>
            </c:multiLvlStrRef>
          </c:cat>
          <c:val>
            <c:numRef>
              <c:f>'Izvoz, uvoz (Q)'!$S$7:$AV$7</c:f>
              <c:numCache>
                <c:formatCode>#,##0.0</c:formatCode>
                <c:ptCount val="30"/>
                <c:pt idx="0">
                  <c:v>3898.7717211190502</c:v>
                </c:pt>
                <c:pt idx="1">
                  <c:v>4458.9206734116106</c:v>
                </c:pt>
                <c:pt idx="2">
                  <c:v>4149.7076054693389</c:v>
                </c:pt>
                <c:pt idx="3">
                  <c:v>4560.5000000000018</c:v>
                </c:pt>
                <c:pt idx="4">
                  <c:v>4508.1000000000004</c:v>
                </c:pt>
                <c:pt idx="5">
                  <c:v>4918.5</c:v>
                </c:pt>
                <c:pt idx="6">
                  <c:v>4707.2999999999993</c:v>
                </c:pt>
                <c:pt idx="7">
                  <c:v>5262.1</c:v>
                </c:pt>
                <c:pt idx="8">
                  <c:v>5075.8999999999996</c:v>
                </c:pt>
                <c:pt idx="9">
                  <c:v>5458.7000000000007</c:v>
                </c:pt>
                <c:pt idx="10">
                  <c:v>5419</c:v>
                </c:pt>
                <c:pt idx="11">
                  <c:v>5965.1</c:v>
                </c:pt>
                <c:pt idx="12">
                  <c:v>5560.6</c:v>
                </c:pt>
                <c:pt idx="13">
                  <c:v>5942</c:v>
                </c:pt>
                <c:pt idx="14">
                  <c:v>5842.9999999999982</c:v>
                </c:pt>
                <c:pt idx="15">
                  <c:v>6529.7000000000007</c:v>
                </c:pt>
                <c:pt idx="16">
                  <c:v>5986.9</c:v>
                </c:pt>
                <c:pt idx="17">
                  <c:v>4743.2000000000007</c:v>
                </c:pt>
                <c:pt idx="18">
                  <c:v>5793.9999999999982</c:v>
                </c:pt>
                <c:pt idx="19">
                  <c:v>6433.5</c:v>
                </c:pt>
                <c:pt idx="20">
                  <c:v>6016.4</c:v>
                </c:pt>
                <c:pt idx="21">
                  <c:v>7087.5</c:v>
                </c:pt>
                <c:pt idx="22">
                  <c:v>7296.6999999999989</c:v>
                </c:pt>
                <c:pt idx="23">
                  <c:v>8534.7000000000007</c:v>
                </c:pt>
                <c:pt idx="24">
                  <c:v>9350</c:v>
                </c:pt>
                <c:pt idx="25">
                  <c:v>10242.900000000001</c:v>
                </c:pt>
                <c:pt idx="26">
                  <c:v>8322.8032154898974</c:v>
                </c:pt>
                <c:pt idx="27">
                  <c:v>11093.032059905505</c:v>
                </c:pt>
                <c:pt idx="28">
                  <c:v>9413.5132332459689</c:v>
                </c:pt>
                <c:pt idx="29">
                  <c:v>9193.5005339865311</c:v>
                </c:pt>
              </c:numCache>
            </c:numRef>
          </c:val>
          <c:extLst>
            <c:ext xmlns:c16="http://schemas.microsoft.com/office/drawing/2014/chart" uri="{C3380CC4-5D6E-409C-BE32-E72D297353CC}">
              <c16:uniqueId val="{00000000-A10C-4568-B0F1-2FD1DEFC2C7C}"/>
            </c:ext>
          </c:extLst>
        </c:ser>
        <c:ser>
          <c:idx val="0"/>
          <c:order val="1"/>
          <c:tx>
            <c:strRef>
              <c:f>'Izvoz, uvoz (Q)'!$A$8</c:f>
              <c:strCache>
                <c:ptCount val="1"/>
                <c:pt idx="0">
                  <c:v>Извоз</c:v>
                </c:pt>
              </c:strCache>
            </c:strRef>
          </c:tx>
          <c:spPr>
            <a:solidFill>
              <a:srgbClr val="29489A"/>
            </a:solidFill>
            <a:ln>
              <a:noFill/>
            </a:ln>
            <a:effectLst/>
          </c:spPr>
          <c:dLbls>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(Q)'!$S$3:$AV$4</c:f>
              <c:multiLvlStrCache>
                <c:ptCount val="30"/>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pt idx="29">
                    <c:v>Q2</c:v>
                  </c:pt>
                </c:lvl>
                <c:lvl>
                  <c:pt idx="0">
                    <c:v>2016</c:v>
                  </c:pt>
                  <c:pt idx="4">
                    <c:v>2017</c:v>
                  </c:pt>
                  <c:pt idx="8">
                    <c:v>2018</c:v>
                  </c:pt>
                  <c:pt idx="12">
                    <c:v>2019</c:v>
                  </c:pt>
                  <c:pt idx="16">
                    <c:v>2020</c:v>
                  </c:pt>
                  <c:pt idx="20">
                    <c:v>2021</c:v>
                  </c:pt>
                  <c:pt idx="24">
                    <c:v>2022</c:v>
                  </c:pt>
                  <c:pt idx="28">
                    <c:v>2023</c:v>
                  </c:pt>
                </c:lvl>
              </c:multiLvlStrCache>
            </c:multiLvlStrRef>
          </c:cat>
          <c:val>
            <c:numRef>
              <c:f>'Izvoz, uvoz (Q)'!$S$8:$AV$8</c:f>
              <c:numCache>
                <c:formatCode>#,##0.0</c:formatCode>
                <c:ptCount val="30"/>
                <c:pt idx="0">
                  <c:v>3093.6981629093693</c:v>
                </c:pt>
                <c:pt idx="1">
                  <c:v>3473.8402049835208</c:v>
                </c:pt>
                <c:pt idx="2">
                  <c:v>3353.2616321071091</c:v>
                </c:pt>
                <c:pt idx="3">
                  <c:v>3511.3000000000011</c:v>
                </c:pt>
                <c:pt idx="4">
                  <c:v>3516.4</c:v>
                </c:pt>
                <c:pt idx="5">
                  <c:v>3948.9999999999995</c:v>
                </c:pt>
                <c:pt idx="6">
                  <c:v>3785.7000000000007</c:v>
                </c:pt>
                <c:pt idx="7">
                  <c:v>3799.6999999999989</c:v>
                </c:pt>
                <c:pt idx="8">
                  <c:v>3829.1</c:v>
                </c:pt>
                <c:pt idx="9">
                  <c:v>4218.6000000000004</c:v>
                </c:pt>
                <c:pt idx="10">
                  <c:v>4091.0999999999995</c:v>
                </c:pt>
                <c:pt idx="11">
                  <c:v>4143.2000000000007</c:v>
                </c:pt>
                <c:pt idx="12">
                  <c:v>4102.1000000000004</c:v>
                </c:pt>
                <c:pt idx="13">
                  <c:v>4488.7999999999993</c:v>
                </c:pt>
                <c:pt idx="14">
                  <c:v>4404.1000000000004</c:v>
                </c:pt>
                <c:pt idx="15">
                  <c:v>4541.4000000000015</c:v>
                </c:pt>
                <c:pt idx="16">
                  <c:v>4237.5</c:v>
                </c:pt>
                <c:pt idx="17">
                  <c:v>3597.2</c:v>
                </c:pt>
                <c:pt idx="18">
                  <c:v>4371.2</c:v>
                </c:pt>
                <c:pt idx="19">
                  <c:v>4848.6000000000004</c:v>
                </c:pt>
                <c:pt idx="20">
                  <c:v>4837.7</c:v>
                </c:pt>
                <c:pt idx="21">
                  <c:v>5236.7</c:v>
                </c:pt>
                <c:pt idx="22">
                  <c:v>5560.6</c:v>
                </c:pt>
                <c:pt idx="23">
                  <c:v>6223</c:v>
                </c:pt>
                <c:pt idx="24">
                  <c:v>6315</c:v>
                </c:pt>
                <c:pt idx="25">
                  <c:v>7022</c:v>
                </c:pt>
                <c:pt idx="26">
                  <c:v>6635.9565270208004</c:v>
                </c:pt>
                <c:pt idx="27">
                  <c:v>7631.7581139032991</c:v>
                </c:pt>
                <c:pt idx="28">
                  <c:v>7309.6833441917397</c:v>
                </c:pt>
                <c:pt idx="29">
                  <c:v>7274.4133692231599</c:v>
                </c:pt>
              </c:numCache>
            </c:numRef>
          </c:val>
          <c:extLst>
            <c:ext xmlns:c16="http://schemas.microsoft.com/office/drawing/2014/chart" uri="{C3380CC4-5D6E-409C-BE32-E72D297353CC}">
              <c16:uniqueId val="{00000001-A10C-4568-B0F1-2FD1DEFC2C7C}"/>
            </c:ext>
          </c:extLst>
        </c:ser>
        <c:ser>
          <c:idx val="2"/>
          <c:order val="2"/>
          <c:tx>
            <c:strRef>
              <c:f>'Izvoz, uvoz (Q)'!$A$9</c:f>
              <c:strCache>
                <c:ptCount val="1"/>
                <c:pt idx="0">
                  <c:v>Дефицит</c:v>
                </c:pt>
              </c:strCache>
            </c:strRef>
          </c:tx>
          <c:spPr>
            <a:solidFill>
              <a:srgbClr val="ED1C24"/>
            </a:solidFill>
            <a:ln>
              <a:noFill/>
            </a:ln>
            <a:effectLst/>
          </c:spPr>
          <c:dLbls>
            <c:dLbl>
              <c:idx val="0"/>
              <c:layout>
                <c:manualLayout>
                  <c:x val="-8.4875562720133283E-17"/>
                  <c:y val="-1.5308075009567547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1-6075-4C3F-9DD6-6DC2986503A2}"/>
                </c:ext>
              </c:extLst>
            </c:dLbl>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(Q)'!$S$3:$AV$4</c:f>
              <c:multiLvlStrCache>
                <c:ptCount val="30"/>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pt idx="29">
                    <c:v>Q2</c:v>
                  </c:pt>
                </c:lvl>
                <c:lvl>
                  <c:pt idx="0">
                    <c:v>2016</c:v>
                  </c:pt>
                  <c:pt idx="4">
                    <c:v>2017</c:v>
                  </c:pt>
                  <c:pt idx="8">
                    <c:v>2018</c:v>
                  </c:pt>
                  <c:pt idx="12">
                    <c:v>2019</c:v>
                  </c:pt>
                  <c:pt idx="16">
                    <c:v>2020</c:v>
                  </c:pt>
                  <c:pt idx="20">
                    <c:v>2021</c:v>
                  </c:pt>
                  <c:pt idx="24">
                    <c:v>2022</c:v>
                  </c:pt>
                  <c:pt idx="28">
                    <c:v>2023</c:v>
                  </c:pt>
                </c:lvl>
              </c:multiLvlStrCache>
            </c:multiLvlStrRef>
          </c:cat>
          <c:val>
            <c:numRef>
              <c:f>'Izvoz, uvoz (Q)'!$S$9:$AV$9</c:f>
              <c:numCache>
                <c:formatCode>#,##0.0</c:formatCode>
                <c:ptCount val="30"/>
                <c:pt idx="0">
                  <c:v>-805.07355820968087</c:v>
                </c:pt>
                <c:pt idx="1">
                  <c:v>-985.08046842808972</c:v>
                </c:pt>
                <c:pt idx="2">
                  <c:v>-796.44597336222978</c:v>
                </c:pt>
                <c:pt idx="3">
                  <c:v>-1049.2000000000007</c:v>
                </c:pt>
                <c:pt idx="4">
                  <c:v>-991.70000000000027</c:v>
                </c:pt>
                <c:pt idx="5">
                  <c:v>-969.50000000000045</c:v>
                </c:pt>
                <c:pt idx="6">
                  <c:v>-921.59999999999854</c:v>
                </c:pt>
                <c:pt idx="7">
                  <c:v>-1462.4000000000015</c:v>
                </c:pt>
                <c:pt idx="8">
                  <c:v>-1246.7999999999997</c:v>
                </c:pt>
                <c:pt idx="9">
                  <c:v>-1240.1000000000004</c:v>
                </c:pt>
                <c:pt idx="10">
                  <c:v>-1327.9000000000005</c:v>
                </c:pt>
                <c:pt idx="11">
                  <c:v>-1821.8999999999996</c:v>
                </c:pt>
                <c:pt idx="12">
                  <c:v>-1458.5</c:v>
                </c:pt>
                <c:pt idx="13">
                  <c:v>-1453.2000000000007</c:v>
                </c:pt>
                <c:pt idx="14">
                  <c:v>-1438.8999999999978</c:v>
                </c:pt>
                <c:pt idx="15">
                  <c:v>-1988.2999999999993</c:v>
                </c:pt>
                <c:pt idx="16">
                  <c:v>-1749.3999999999996</c:v>
                </c:pt>
                <c:pt idx="17">
                  <c:v>-1146.0000000000009</c:v>
                </c:pt>
                <c:pt idx="18">
                  <c:v>-1422.7999999999984</c:v>
                </c:pt>
                <c:pt idx="19">
                  <c:v>-1584.8999999999996</c:v>
                </c:pt>
                <c:pt idx="20">
                  <c:v>-1178.6999999999998</c:v>
                </c:pt>
                <c:pt idx="21">
                  <c:v>-1850.8000000000002</c:v>
                </c:pt>
                <c:pt idx="22">
                  <c:v>-1736.0999999999985</c:v>
                </c:pt>
                <c:pt idx="23">
                  <c:v>-2311.7000000000007</c:v>
                </c:pt>
                <c:pt idx="24">
                  <c:v>-3035</c:v>
                </c:pt>
                <c:pt idx="25">
                  <c:v>-3220.9000000000015</c:v>
                </c:pt>
                <c:pt idx="26">
                  <c:v>-1686.846688469097</c:v>
                </c:pt>
                <c:pt idx="27">
                  <c:v>-3461.2739460022058</c:v>
                </c:pt>
                <c:pt idx="28">
                  <c:v>-2103.8298890542292</c:v>
                </c:pt>
                <c:pt idx="29">
                  <c:v>-1919.0871647633712</c:v>
                </c:pt>
              </c:numCache>
            </c:numRef>
          </c:val>
          <c:extLst>
            <c:ext xmlns:c16="http://schemas.microsoft.com/office/drawing/2014/chart" uri="{C3380CC4-5D6E-409C-BE32-E72D297353CC}">
              <c16:uniqueId val="{00000002-A10C-4568-B0F1-2FD1DEFC2C7C}"/>
            </c:ext>
          </c:extLst>
        </c:ser>
        <c:dLbls>
          <c:showLegendKey val="0"/>
          <c:showVal val="0"/>
          <c:showCatName val="0"/>
          <c:showSerName val="0"/>
          <c:showPercent val="0"/>
          <c:showBubbleSize val="0"/>
        </c:dLbls>
        <c:axId val="1839202064"/>
        <c:axId val="1839196624"/>
      </c:areaChart>
      <c:catAx>
        <c:axId val="183920206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5400000" spcFirstLastPara="1" vertOverflow="ellipsis" wrap="square" anchor="ctr" anchorCtr="1"/>
          <a:lstStyle/>
          <a:p>
            <a:pPr>
              <a:defRPr sz="600" b="0" i="0" u="none" strike="noStrike" kern="1200" baseline="0">
                <a:solidFill>
                  <a:schemeClr val="tx2"/>
                </a:solidFill>
                <a:latin typeface="+mn-lt"/>
                <a:ea typeface="+mn-ea"/>
                <a:cs typeface="+mn-cs"/>
              </a:defRPr>
            </a:pPr>
            <a:endParaRPr lang="sr-Latn-RS"/>
          </a:p>
        </c:txPr>
        <c:crossAx val="1839196624"/>
        <c:crosses val="autoZero"/>
        <c:auto val="1"/>
        <c:lblAlgn val="ctr"/>
        <c:lblOffset val="0"/>
        <c:tickLblSkip val="1"/>
        <c:noMultiLvlLbl val="0"/>
      </c:catAx>
      <c:valAx>
        <c:axId val="183919662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202064"/>
        <c:crosses val="autoZero"/>
        <c:crossBetween val="between"/>
        <c:majorUnit val="1500"/>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539150826485673E-2"/>
          <c:y val="3.2258064516129031E-2"/>
          <c:w val="0.90409995360749396"/>
          <c:h val="0.75972906612479885"/>
        </c:manualLayout>
      </c:layout>
      <c:barChart>
        <c:barDir val="col"/>
        <c:grouping val="stacked"/>
        <c:varyColors val="0"/>
        <c:ser>
          <c:idx val="0"/>
          <c:order val="1"/>
          <c:tx>
            <c:strRef>
              <c:f>'Struktura CA i FA'!$B$10</c:f>
              <c:strCache>
                <c:ptCount val="1"/>
                <c:pt idx="0">
                  <c:v>Салдо робне размене </c:v>
                </c:pt>
              </c:strCache>
            </c:strRef>
          </c:tx>
          <c:spPr>
            <a:solidFill>
              <a:srgbClr val="10103C"/>
            </a:solidFill>
            <a:ln>
              <a:noFill/>
            </a:ln>
            <a:effectLst/>
          </c:spPr>
          <c:invertIfNegative val="0"/>
          <c:cat>
            <c:strRef>
              <c:f>'Struktura CA i FA'!$H$8:$N$8</c:f>
              <c:strCache>
                <c:ptCount val="7"/>
                <c:pt idx="0">
                  <c:v>2020</c:v>
                </c:pt>
                <c:pt idx="1">
                  <c:v>2021</c:v>
                </c:pt>
                <c:pt idx="2">
                  <c:v>2022</c:v>
                </c:pt>
                <c:pt idx="3">
                  <c:v>2023*</c:v>
                </c:pt>
                <c:pt idx="4">
                  <c:v>2024</c:v>
                </c:pt>
                <c:pt idx="5">
                  <c:v>2025</c:v>
                </c:pt>
                <c:pt idx="6">
                  <c:v>2026</c:v>
                </c:pt>
              </c:strCache>
            </c:strRef>
          </c:cat>
          <c:val>
            <c:numRef>
              <c:f>'Struktura CA i FA'!$H$10:$N$10</c:f>
              <c:numCache>
                <c:formatCode>0.0</c:formatCode>
                <c:ptCount val="7"/>
                <c:pt idx="0">
                  <c:v>-11.109010566379723</c:v>
                </c:pt>
                <c:pt idx="1">
                  <c:v>-11.28793904591975</c:v>
                </c:pt>
                <c:pt idx="2">
                  <c:v>-15.493896465674794</c:v>
                </c:pt>
                <c:pt idx="3">
                  <c:v>-10.650213433924142</c:v>
                </c:pt>
                <c:pt idx="4">
                  <c:v>-11.040624293498855</c:v>
                </c:pt>
                <c:pt idx="5">
                  <c:v>-10.588794720796431</c:v>
                </c:pt>
                <c:pt idx="6">
                  <c:v>-10.158773021854644</c:v>
                </c:pt>
              </c:numCache>
            </c:numRef>
          </c:val>
          <c:extLst>
            <c:ext xmlns:c16="http://schemas.microsoft.com/office/drawing/2014/chart" uri="{C3380CC4-5D6E-409C-BE32-E72D297353CC}">
              <c16:uniqueId val="{00000000-7A40-4FA7-B7EC-8B09368B0789}"/>
            </c:ext>
          </c:extLst>
        </c:ser>
        <c:ser>
          <c:idx val="1"/>
          <c:order val="2"/>
          <c:tx>
            <c:strRef>
              <c:f>'Struktura CA i FA'!$B$11</c:f>
              <c:strCache>
                <c:ptCount val="1"/>
                <c:pt idx="0">
                  <c:v>Салдо услугa</c:v>
                </c:pt>
              </c:strCache>
            </c:strRef>
          </c:tx>
          <c:spPr>
            <a:solidFill>
              <a:srgbClr val="29489A"/>
            </a:solidFill>
            <a:ln>
              <a:noFill/>
            </a:ln>
            <a:effectLst/>
          </c:spPr>
          <c:invertIfNegative val="0"/>
          <c:cat>
            <c:strRef>
              <c:f>'Struktura CA i FA'!$H$8:$N$8</c:f>
              <c:strCache>
                <c:ptCount val="7"/>
                <c:pt idx="0">
                  <c:v>2020</c:v>
                </c:pt>
                <c:pt idx="1">
                  <c:v>2021</c:v>
                </c:pt>
                <c:pt idx="2">
                  <c:v>2022</c:v>
                </c:pt>
                <c:pt idx="3">
                  <c:v>2023*</c:v>
                </c:pt>
                <c:pt idx="4">
                  <c:v>2024</c:v>
                </c:pt>
                <c:pt idx="5">
                  <c:v>2025</c:v>
                </c:pt>
                <c:pt idx="6">
                  <c:v>2026</c:v>
                </c:pt>
              </c:strCache>
            </c:strRef>
          </c:cat>
          <c:val>
            <c:numRef>
              <c:f>'Struktura CA i FA'!$H$11:$N$11</c:f>
              <c:numCache>
                <c:formatCode>0.0</c:formatCode>
                <c:ptCount val="7"/>
                <c:pt idx="0">
                  <c:v>2.3531802586861801</c:v>
                </c:pt>
                <c:pt idx="1">
                  <c:v>2.6223421620591698</c:v>
                </c:pt>
                <c:pt idx="2">
                  <c:v>3.8364672080503328</c:v>
                </c:pt>
                <c:pt idx="3">
                  <c:v>4.3499850649111567</c:v>
                </c:pt>
                <c:pt idx="4">
                  <c:v>4.4269817944770624</c:v>
                </c:pt>
                <c:pt idx="5">
                  <c:v>4.5261685200478121</c:v>
                </c:pt>
                <c:pt idx="6">
                  <c:v>4.5539327339348414</c:v>
                </c:pt>
              </c:numCache>
            </c:numRef>
          </c:val>
          <c:extLst>
            <c:ext xmlns:c16="http://schemas.microsoft.com/office/drawing/2014/chart" uri="{C3380CC4-5D6E-409C-BE32-E72D297353CC}">
              <c16:uniqueId val="{00000001-7A40-4FA7-B7EC-8B09368B0789}"/>
            </c:ext>
          </c:extLst>
        </c:ser>
        <c:ser>
          <c:idx val="2"/>
          <c:order val="3"/>
          <c:tx>
            <c:strRef>
              <c:f>'Struktura CA i FA'!$B$12</c:f>
              <c:strCache>
                <c:ptCount val="1"/>
                <c:pt idx="0">
                  <c:v>Салдо дохотка           </c:v>
                </c:pt>
              </c:strCache>
            </c:strRef>
          </c:tx>
          <c:spPr>
            <a:solidFill>
              <a:srgbClr val="2183C4"/>
            </a:solidFill>
            <a:ln>
              <a:noFill/>
            </a:ln>
            <a:effectLst/>
          </c:spPr>
          <c:invertIfNegative val="0"/>
          <c:cat>
            <c:strRef>
              <c:f>'Struktura CA i FA'!$H$8:$N$8</c:f>
              <c:strCache>
                <c:ptCount val="7"/>
                <c:pt idx="0">
                  <c:v>2020</c:v>
                </c:pt>
                <c:pt idx="1">
                  <c:v>2021</c:v>
                </c:pt>
                <c:pt idx="2">
                  <c:v>2022</c:v>
                </c:pt>
                <c:pt idx="3">
                  <c:v>2023*</c:v>
                </c:pt>
                <c:pt idx="4">
                  <c:v>2024</c:v>
                </c:pt>
                <c:pt idx="5">
                  <c:v>2025</c:v>
                </c:pt>
                <c:pt idx="6">
                  <c:v>2026</c:v>
                </c:pt>
              </c:strCache>
            </c:strRef>
          </c:cat>
          <c:val>
            <c:numRef>
              <c:f>'Struktura CA i FA'!$H$12:$N$12</c:f>
              <c:numCache>
                <c:formatCode>0.0</c:formatCode>
                <c:ptCount val="7"/>
                <c:pt idx="0">
                  <c:v>-3.0429940120534491</c:v>
                </c:pt>
                <c:pt idx="1">
                  <c:v>-3.8587147300336189</c:v>
                </c:pt>
                <c:pt idx="2">
                  <c:v>-4.9918080259471891</c:v>
                </c:pt>
                <c:pt idx="3">
                  <c:v>-5.3214817294079815</c:v>
                </c:pt>
                <c:pt idx="4">
                  <c:v>-5.4227045330702026</c:v>
                </c:pt>
                <c:pt idx="5">
                  <c:v>-5.8572256793173052</c:v>
                </c:pt>
                <c:pt idx="6">
                  <c:v>-6.0352351194189842</c:v>
                </c:pt>
              </c:numCache>
            </c:numRef>
          </c:val>
          <c:extLst>
            <c:ext xmlns:c16="http://schemas.microsoft.com/office/drawing/2014/chart" uri="{C3380CC4-5D6E-409C-BE32-E72D297353CC}">
              <c16:uniqueId val="{00000002-7A40-4FA7-B7EC-8B09368B0789}"/>
            </c:ext>
          </c:extLst>
        </c:ser>
        <c:ser>
          <c:idx val="3"/>
          <c:order val="4"/>
          <c:tx>
            <c:strRef>
              <c:f>'Struktura CA i FA'!$B$13</c:f>
              <c:strCache>
                <c:ptCount val="1"/>
                <c:pt idx="0">
                  <c:v>Салдо текућих трансфера</c:v>
                </c:pt>
              </c:strCache>
            </c:strRef>
          </c:tx>
          <c:spPr>
            <a:solidFill>
              <a:srgbClr val="51BBE7"/>
            </a:solidFill>
            <a:ln>
              <a:noFill/>
            </a:ln>
            <a:effectLst/>
          </c:spPr>
          <c:invertIfNegative val="0"/>
          <c:cat>
            <c:strRef>
              <c:f>'Struktura CA i FA'!$H$8:$N$8</c:f>
              <c:strCache>
                <c:ptCount val="7"/>
                <c:pt idx="0">
                  <c:v>2020</c:v>
                </c:pt>
                <c:pt idx="1">
                  <c:v>2021</c:v>
                </c:pt>
                <c:pt idx="2">
                  <c:v>2022</c:v>
                </c:pt>
                <c:pt idx="3">
                  <c:v>2023*</c:v>
                </c:pt>
                <c:pt idx="4">
                  <c:v>2024</c:v>
                </c:pt>
                <c:pt idx="5">
                  <c:v>2025</c:v>
                </c:pt>
                <c:pt idx="6">
                  <c:v>2026</c:v>
                </c:pt>
              </c:strCache>
            </c:strRef>
          </c:cat>
          <c:val>
            <c:numRef>
              <c:f>'Struktura CA i FA'!$H$13:$N$13</c:f>
              <c:numCache>
                <c:formatCode>0.0</c:formatCode>
                <c:ptCount val="7"/>
                <c:pt idx="0">
                  <c:v>7.6788649807282559</c:v>
                </c:pt>
                <c:pt idx="1">
                  <c:v>8.2759537419911791</c:v>
                </c:pt>
                <c:pt idx="2">
                  <c:v>9.792531425956529</c:v>
                </c:pt>
                <c:pt idx="3">
                  <c:v>8.7579699306877945</c:v>
                </c:pt>
                <c:pt idx="4">
                  <c:v>8.0490578081401161</c:v>
                </c:pt>
                <c:pt idx="5">
                  <c:v>7.8574095101316255</c:v>
                </c:pt>
                <c:pt idx="6">
                  <c:v>7.5898878898913988</c:v>
                </c:pt>
              </c:numCache>
            </c:numRef>
          </c:val>
          <c:extLst>
            <c:ext xmlns:c16="http://schemas.microsoft.com/office/drawing/2014/chart" uri="{C3380CC4-5D6E-409C-BE32-E72D297353CC}">
              <c16:uniqueId val="{00000003-7A40-4FA7-B7EC-8B09368B0789}"/>
            </c:ext>
          </c:extLst>
        </c:ser>
        <c:dLbls>
          <c:showLegendKey val="0"/>
          <c:showVal val="0"/>
          <c:showCatName val="0"/>
          <c:showSerName val="0"/>
          <c:showPercent val="0"/>
          <c:showBubbleSize val="0"/>
        </c:dLbls>
        <c:gapWidth val="50"/>
        <c:overlap val="100"/>
        <c:axId val="1763590384"/>
        <c:axId val="1763611056"/>
      </c:barChart>
      <c:lineChart>
        <c:grouping val="standard"/>
        <c:varyColors val="0"/>
        <c:ser>
          <c:idx val="4"/>
          <c:order val="0"/>
          <c:tx>
            <c:strRef>
              <c:f>'Struktura CA i FA'!$B$9</c:f>
              <c:strCache>
                <c:ptCount val="1"/>
                <c:pt idx="0">
                  <c:v>Дефицит текућег рачуна</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'Struktura CA i FA'!$H$8:$N$8</c:f>
              <c:strCache>
                <c:ptCount val="7"/>
                <c:pt idx="0">
                  <c:v>2020</c:v>
                </c:pt>
                <c:pt idx="1">
                  <c:v>2021</c:v>
                </c:pt>
                <c:pt idx="2">
                  <c:v>2022</c:v>
                </c:pt>
                <c:pt idx="3">
                  <c:v>2023*</c:v>
                </c:pt>
                <c:pt idx="4">
                  <c:v>2024</c:v>
                </c:pt>
                <c:pt idx="5">
                  <c:v>2025</c:v>
                </c:pt>
                <c:pt idx="6">
                  <c:v>2026</c:v>
                </c:pt>
              </c:strCache>
            </c:strRef>
          </c:cat>
          <c:val>
            <c:numRef>
              <c:f>'Struktura CA i FA'!$H$9:$N$9</c:f>
              <c:numCache>
                <c:formatCode>0.0</c:formatCode>
                <c:ptCount val="7"/>
                <c:pt idx="0">
                  <c:v>-4.1199593390187337</c:v>
                </c:pt>
                <c:pt idx="1">
                  <c:v>-4.2483578719030222</c:v>
                </c:pt>
                <c:pt idx="2">
                  <c:v>-6.856705857615121</c:v>
                </c:pt>
                <c:pt idx="3">
                  <c:v>-2.8637401677331713</c:v>
                </c:pt>
                <c:pt idx="4">
                  <c:v>-3.9872892239518793</c:v>
                </c:pt>
                <c:pt idx="5">
                  <c:v>-4.0624423699342982</c:v>
                </c:pt>
                <c:pt idx="6">
                  <c:v>-4.0501875174473883</c:v>
                </c:pt>
              </c:numCache>
            </c:numRef>
          </c:val>
          <c:smooth val="0"/>
          <c:extLst>
            <c:ext xmlns:c16="http://schemas.microsoft.com/office/drawing/2014/chart" uri="{C3380CC4-5D6E-409C-BE32-E72D297353CC}">
              <c16:uniqueId val="{00000004-7A40-4FA7-B7EC-8B09368B0789}"/>
            </c:ext>
          </c:extLst>
        </c:ser>
        <c:dLbls>
          <c:showLegendKey val="0"/>
          <c:showVal val="0"/>
          <c:showCatName val="0"/>
          <c:showSerName val="0"/>
          <c:showPercent val="0"/>
          <c:showBubbleSize val="0"/>
        </c:dLbls>
        <c:marker val="1"/>
        <c:smooth val="0"/>
        <c:axId val="1763590384"/>
        <c:axId val="1763611056"/>
      </c:lineChart>
      <c:catAx>
        <c:axId val="1763590384"/>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bg1"/>
                </a:solidFill>
                <a:latin typeface="+mn-lt"/>
                <a:ea typeface="+mn-ea"/>
                <a:cs typeface="+mn-cs"/>
              </a:defRPr>
            </a:pPr>
            <a:endParaRPr lang="sr-Latn-RS"/>
          </a:p>
        </c:txPr>
        <c:crossAx val="1763611056"/>
        <c:crosses val="autoZero"/>
        <c:auto val="1"/>
        <c:lblAlgn val="ctr"/>
        <c:lblOffset val="100"/>
        <c:noMultiLvlLbl val="0"/>
      </c:catAx>
      <c:valAx>
        <c:axId val="1763611056"/>
        <c:scaling>
          <c:orientation val="minMax"/>
          <c:max val="15"/>
          <c:min val="-2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3590384"/>
        <c:crosses val="autoZero"/>
        <c:crossBetween val="between"/>
        <c:majorUnit val="5"/>
      </c:valAx>
      <c:spPr>
        <a:noFill/>
        <a:ln>
          <a:noFill/>
        </a:ln>
        <a:effectLst/>
      </c:spPr>
    </c:plotArea>
    <c:legend>
      <c:legendPos val="b"/>
      <c:layout>
        <c:manualLayout>
          <c:xMode val="edge"/>
          <c:yMode val="edge"/>
          <c:x val="1.14209682123068E-3"/>
          <c:y val="0.85112691558716447"/>
          <c:w val="0.99885790317876932"/>
          <c:h val="0.148873084412835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7937445319335081E-2"/>
          <c:y val="5.0925925925925923E-2"/>
          <c:w val="0.92150699912510936"/>
          <c:h val="0.70304067460317465"/>
        </c:manualLayout>
      </c:layout>
      <c:barChart>
        <c:barDir val="col"/>
        <c:grouping val="clustered"/>
        <c:varyColors val="0"/>
        <c:ser>
          <c:idx val="0"/>
          <c:order val="0"/>
          <c:tx>
            <c:strRef>
              <c:f>'Def. tek. racuna i SDI'!$B$8</c:f>
              <c:strCache>
                <c:ptCount val="1"/>
                <c:pt idx="0">
                  <c:v>Дефицит текућег рачуна, % БДП</c:v>
                </c:pt>
              </c:strCache>
            </c:strRef>
          </c:tx>
          <c:spPr>
            <a:solidFill>
              <a:srgbClr val="29489A"/>
            </a:solidFill>
            <a:ln>
              <a:noFill/>
            </a:ln>
            <a:effectLst/>
          </c:spPr>
          <c:invertIfNegative val="0"/>
          <c:cat>
            <c:strRef>
              <c:f>'Def. tek. racuna i SDI'!$G$7:$N$7</c:f>
              <c:strCache>
                <c:ptCount val="8"/>
                <c:pt idx="0">
                  <c:v>2019</c:v>
                </c:pt>
                <c:pt idx="1">
                  <c:v>2020</c:v>
                </c:pt>
                <c:pt idx="2">
                  <c:v>2021</c:v>
                </c:pt>
                <c:pt idx="3">
                  <c:v>2022</c:v>
                </c:pt>
                <c:pt idx="4">
                  <c:v>2023*</c:v>
                </c:pt>
                <c:pt idx="5">
                  <c:v>2024</c:v>
                </c:pt>
                <c:pt idx="6">
                  <c:v>2025</c:v>
                </c:pt>
                <c:pt idx="7">
                  <c:v>2026</c:v>
                </c:pt>
              </c:strCache>
            </c:strRef>
          </c:cat>
          <c:val>
            <c:numRef>
              <c:f>'Def. tek. racuna i SDI'!$G$8:$N$8</c:f>
              <c:numCache>
                <c:formatCode>0.0</c:formatCode>
                <c:ptCount val="8"/>
                <c:pt idx="0">
                  <c:v>6.8707188213542798</c:v>
                </c:pt>
                <c:pt idx="1">
                  <c:v>4.1199593390187337</c:v>
                </c:pt>
                <c:pt idx="2">
                  <c:v>4.2483578719030222</c:v>
                </c:pt>
                <c:pt idx="3">
                  <c:v>6.856705857615121</c:v>
                </c:pt>
                <c:pt idx="4">
                  <c:v>2.8637401677331713</c:v>
                </c:pt>
                <c:pt idx="5">
                  <c:v>3.9872892239518793</c:v>
                </c:pt>
                <c:pt idx="6">
                  <c:v>4.0624423699342982</c:v>
                </c:pt>
                <c:pt idx="7">
                  <c:v>4.0501875174473883</c:v>
                </c:pt>
              </c:numCache>
            </c:numRef>
          </c:val>
          <c:extLst>
            <c:ext xmlns:c16="http://schemas.microsoft.com/office/drawing/2014/chart" uri="{C3380CC4-5D6E-409C-BE32-E72D297353CC}">
              <c16:uniqueId val="{00000000-3AB0-4D9E-99F7-5AE74D721981}"/>
            </c:ext>
          </c:extLst>
        </c:ser>
        <c:ser>
          <c:idx val="1"/>
          <c:order val="1"/>
          <c:tx>
            <c:strRef>
              <c:f>'Def. tek. racuna i SDI'!$B$9</c:f>
              <c:strCache>
                <c:ptCount val="1"/>
                <c:pt idx="0">
                  <c:v>Стране директне инвестиције, нето, % БДП</c:v>
                </c:pt>
              </c:strCache>
            </c:strRef>
          </c:tx>
          <c:spPr>
            <a:solidFill>
              <a:srgbClr val="51BBE7"/>
            </a:solidFill>
            <a:ln>
              <a:noFill/>
            </a:ln>
            <a:effectLst/>
          </c:spPr>
          <c:invertIfNegative val="0"/>
          <c:cat>
            <c:strRef>
              <c:f>'Def. tek. racuna i SDI'!$G$7:$N$7</c:f>
              <c:strCache>
                <c:ptCount val="8"/>
                <c:pt idx="0">
                  <c:v>2019</c:v>
                </c:pt>
                <c:pt idx="1">
                  <c:v>2020</c:v>
                </c:pt>
                <c:pt idx="2">
                  <c:v>2021</c:v>
                </c:pt>
                <c:pt idx="3">
                  <c:v>2022</c:v>
                </c:pt>
                <c:pt idx="4">
                  <c:v>2023*</c:v>
                </c:pt>
                <c:pt idx="5">
                  <c:v>2024</c:v>
                </c:pt>
                <c:pt idx="6">
                  <c:v>2025</c:v>
                </c:pt>
                <c:pt idx="7">
                  <c:v>2026</c:v>
                </c:pt>
              </c:strCache>
            </c:strRef>
          </c:cat>
          <c:val>
            <c:numRef>
              <c:f>'Def. tek. racuna i SDI'!$G$9:$N$9</c:f>
              <c:numCache>
                <c:formatCode>0.0</c:formatCode>
                <c:ptCount val="8"/>
                <c:pt idx="0">
                  <c:v>7.7188516246762404</c:v>
                </c:pt>
                <c:pt idx="1">
                  <c:v>6.2767610835053871</c:v>
                </c:pt>
                <c:pt idx="2">
                  <c:v>6.8572251962409165</c:v>
                </c:pt>
                <c:pt idx="3">
                  <c:v>7.1326938252139964</c:v>
                </c:pt>
                <c:pt idx="4">
                  <c:v>6.2349785930393242</c:v>
                </c:pt>
                <c:pt idx="5">
                  <c:v>5.9026423926360847</c:v>
                </c:pt>
                <c:pt idx="6">
                  <c:v>5.4877145785046269</c:v>
                </c:pt>
                <c:pt idx="7">
                  <c:v>5.1377702639264839</c:v>
                </c:pt>
              </c:numCache>
            </c:numRef>
          </c:val>
          <c:extLst>
            <c:ext xmlns:c16="http://schemas.microsoft.com/office/drawing/2014/chart" uri="{C3380CC4-5D6E-409C-BE32-E72D297353CC}">
              <c16:uniqueId val="{00000001-3AB0-4D9E-99F7-5AE74D721981}"/>
            </c:ext>
          </c:extLst>
        </c:ser>
        <c:dLbls>
          <c:showLegendKey val="0"/>
          <c:showVal val="0"/>
          <c:showCatName val="0"/>
          <c:showSerName val="0"/>
          <c:showPercent val="0"/>
          <c:showBubbleSize val="0"/>
        </c:dLbls>
        <c:gapWidth val="80"/>
        <c:overlap val="-11"/>
        <c:axId val="1839176496"/>
        <c:axId val="1839185744"/>
      </c:barChart>
      <c:catAx>
        <c:axId val="1839176496"/>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5744"/>
        <c:crosses val="autoZero"/>
        <c:auto val="1"/>
        <c:lblAlgn val="ctr"/>
        <c:lblOffset val="100"/>
        <c:noMultiLvlLbl val="0"/>
      </c:catAx>
      <c:valAx>
        <c:axId val="183918574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76496"/>
        <c:crosses val="autoZero"/>
        <c:crossBetween val="between"/>
      </c:valAx>
      <c:spPr>
        <a:noFill/>
        <a:ln>
          <a:noFill/>
        </a:ln>
        <a:effectLst/>
      </c:spPr>
    </c:plotArea>
    <c:legend>
      <c:legendPos val="b"/>
      <c:layout>
        <c:manualLayout>
          <c:xMode val="edge"/>
          <c:yMode val="edge"/>
          <c:x val="1.0742927967337418E-2"/>
          <c:y val="0.86493849206349194"/>
          <c:w val="0.97274511918886852"/>
          <c:h val="0.1224620951507275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manualLayout>
          <c:layoutTarget val="inner"/>
          <c:xMode val="edge"/>
          <c:yMode val="edge"/>
          <c:x val="0.11990303295421406"/>
          <c:y val="6.842061127661922E-2"/>
          <c:w val="0.8458227617381161"/>
          <c:h val="0.89994549266247381"/>
        </c:manualLayout>
      </c:layout>
      <c:barChart>
        <c:barDir val="col"/>
        <c:grouping val="clustered"/>
        <c:varyColors val="0"/>
        <c:ser>
          <c:idx val="0"/>
          <c:order val="0"/>
          <c:tx>
            <c:v>Фискални резултат</c:v>
          </c:tx>
          <c:spPr>
            <a:solidFill>
              <a:schemeClr val="accent1">
                <a:shade val="76000"/>
              </a:schemeClr>
            </a:solidFill>
            <a:ln>
              <a:noFill/>
            </a:ln>
            <a:effectLst/>
          </c:spPr>
          <c:invertIfNegative val="0"/>
          <c:dLbls>
            <c:dLbl>
              <c:idx val="1"/>
              <c:layout>
                <c:manualLayout>
                  <c:x val="1.3888888888888846E-2"/>
                  <c:y val="1.5037593984962405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3C1A-45B5-9D31-E560827A4645}"/>
                </c:ext>
              </c:extLst>
            </c:dLbl>
            <c:dLbl>
              <c:idx val="3"/>
              <c:layout>
                <c:manualLayout>
                  <c:x val="-1.3888888888888888E-2"/>
                  <c:y val="2.506265664160400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3C1A-45B5-9D31-E560827A4645}"/>
                </c:ext>
              </c:extLst>
            </c:dLbl>
            <c:dLbl>
              <c:idx val="8"/>
              <c:layout>
                <c:manualLayout>
                  <c:x val="-1.6975112544026657E-16"/>
                  <c:y val="2.005052000078946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3C1A-45B5-9D31-E560827A4645}"/>
                </c:ext>
              </c:extLst>
            </c:dLbl>
            <c:numFmt formatCode="#,##0.0" sourceLinked="0"/>
            <c:spPr>
              <a:noFill/>
              <a:ln>
                <a:noFill/>
              </a:ln>
              <a:effectLst/>
            </c:spPr>
            <c:txPr>
              <a:bodyPr rot="0" spcFirstLastPara="1" vertOverflow="ellipsis" vert="horz" wrap="square" anchor="ctr" anchorCtr="1"/>
              <a:lstStyle/>
              <a:p>
                <a:pPr>
                  <a:defRPr sz="800" b="1" i="0" u="none" strike="noStrike" kern="1200" baseline="0">
                    <a:solidFill>
                      <a:schemeClr val="tx1">
                        <a:lumMod val="75000"/>
                        <a:lumOff val="25000"/>
                      </a:schemeClr>
                    </a:solidFill>
                    <a:latin typeface="+mn-lt"/>
                    <a:ea typeface="+mn-ea"/>
                    <a:cs typeface="+mn-cs"/>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Yearly'!$CM$7:$CT$8,'Quaterly, Yearly'!$CU$7:$CU$8)</c:f>
              <c:strCache>
                <c:ptCount val="9"/>
                <c:pt idx="0">
                  <c:v>2015</c:v>
                </c:pt>
                <c:pt idx="1">
                  <c:v>2016</c:v>
                </c:pt>
                <c:pt idx="2">
                  <c:v>2017</c:v>
                </c:pt>
                <c:pt idx="3">
                  <c:v>2018</c:v>
                </c:pt>
                <c:pt idx="4">
                  <c:v>2019</c:v>
                </c:pt>
                <c:pt idx="5">
                  <c:v>2020</c:v>
                </c:pt>
                <c:pt idx="6">
                  <c:v>2021</c:v>
                </c:pt>
                <c:pt idx="7">
                  <c:v>2022</c:v>
                </c:pt>
                <c:pt idx="8">
                  <c:v>2023</c:v>
                </c:pt>
              </c:strCache>
            </c:strRef>
          </c:cat>
          <c:val>
            <c:numRef>
              <c:f>('Quaterly, Yearly'!$CM$78:$CS$78,'Quaterly, Yearly'!$CT$78,'Quaterly, Yearly'!$CU$78)</c:f>
              <c:numCache>
                <c:formatCode>#,##0.00</c:formatCode>
                <c:ptCount val="9"/>
                <c:pt idx="0">
                  <c:v>-3.4561672728767112</c:v>
                </c:pt>
                <c:pt idx="1">
                  <c:v>-1.1926941660681765</c:v>
                </c:pt>
                <c:pt idx="2">
                  <c:v>1.0986349345465762</c:v>
                </c:pt>
                <c:pt idx="3">
                  <c:v>0.63523655395945411</c:v>
                </c:pt>
                <c:pt idx="4">
                  <c:v>-0.20497664525511922</c:v>
                </c:pt>
                <c:pt idx="5">
                  <c:v>-8.0441635730355401</c:v>
                </c:pt>
                <c:pt idx="6">
                  <c:v>-4.1369458955187222</c:v>
                </c:pt>
                <c:pt idx="7">
                  <c:v>-3.1709662073615501</c:v>
                </c:pt>
                <c:pt idx="8">
                  <c:v>-2.8</c:v>
                </c:pt>
              </c:numCache>
            </c:numRef>
          </c:val>
          <c:extLst>
            <c:ext xmlns:c16="http://schemas.microsoft.com/office/drawing/2014/chart" uri="{C3380CC4-5D6E-409C-BE32-E72D297353CC}">
              <c16:uniqueId val="{00000000-3C1A-45B5-9D31-E560827A4645}"/>
            </c:ext>
          </c:extLst>
        </c:ser>
        <c:ser>
          <c:idx val="1"/>
          <c:order val="1"/>
          <c:tx>
            <c:v>Примарни фискални резултат</c:v>
          </c:tx>
          <c:spPr>
            <a:solidFill>
              <a:schemeClr val="accent1">
                <a:tint val="77000"/>
              </a:schemeClr>
            </a:solidFill>
            <a:ln>
              <a:noFill/>
            </a:ln>
            <a:effectLst/>
          </c:spPr>
          <c:invertIfNegative val="0"/>
          <c:dLbls>
            <c:dLbl>
              <c:idx val="0"/>
              <c:layout>
                <c:manualLayout>
                  <c:x val="1.132108486439193E-2"/>
                  <c:y val="1.787934402936484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C1A-45B5-9D31-E560827A4645}"/>
                </c:ext>
              </c:extLst>
            </c:dLbl>
            <c:dLbl>
              <c:idx val="1"/>
              <c:layout>
                <c:manualLayout>
                  <c:x val="-3.2073297015369011E-3"/>
                  <c:y val="-1.41424978807239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C1A-45B5-9D31-E560827A4645}"/>
                </c:ext>
              </c:extLst>
            </c:dLbl>
            <c:dLbl>
              <c:idx val="2"/>
              <c:layout>
                <c:manualLayout>
                  <c:x val="-2.4176209155354405E-3"/>
                  <c:y val="-6.65152027843574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C1A-45B5-9D31-E560827A4645}"/>
                </c:ext>
              </c:extLst>
            </c:dLbl>
            <c:dLbl>
              <c:idx val="3"/>
              <c:layout>
                <c:manualLayout>
                  <c:x val="2.6858041798127055E-3"/>
                  <c:y val="3.62947391256674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C1A-45B5-9D31-E560827A4645}"/>
                </c:ext>
              </c:extLst>
            </c:dLbl>
            <c:dLbl>
              <c:idx val="4"/>
              <c:layout>
                <c:manualLayout>
                  <c:x val="-3.92169728783902E-3"/>
                  <c:y val="1.416454522132101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C1A-45B5-9D31-E560827A4645}"/>
                </c:ext>
              </c:extLst>
            </c:dLbl>
            <c:dLbl>
              <c:idx val="5"/>
              <c:layout>
                <c:manualLayout>
                  <c:x val="1.8183368791494724E-3"/>
                  <c:y val="-1.343484497407029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C1A-45B5-9D31-E560827A4645}"/>
                </c:ext>
              </c:extLst>
            </c:dLbl>
            <c:dLbl>
              <c:idx val="6"/>
              <c:layout>
                <c:manualLayout>
                  <c:x val="1.3735038279346209E-2"/>
                  <c:y val="-1.31188348229063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C1A-45B5-9D31-E560827A4645}"/>
                </c:ext>
              </c:extLst>
            </c:dLbl>
            <c:dLbl>
              <c:idx val="7"/>
              <c:layout>
                <c:manualLayout>
                  <c:x val="1.9834499854184895E-2"/>
                  <c:y val="1.659305744676652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C1A-45B5-9D31-E560827A4645}"/>
                </c:ext>
              </c:extLst>
            </c:dLbl>
            <c:dLbl>
              <c:idx val="8"/>
              <c:layout>
                <c:manualLayout>
                  <c:x val="1.0093321668124818E-2"/>
                  <c:y val="4.386517474789335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C1A-45B5-9D31-E560827A4645}"/>
                </c:ext>
              </c:extLst>
            </c:dLbl>
            <c:dLbl>
              <c:idx val="9"/>
              <c:layout>
                <c:manualLayout>
                  <c:x val="-4.7561598436538947E-2"/>
                  <c:y val="1.37998645169602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3C1A-45B5-9D31-E560827A4645}"/>
                </c:ext>
              </c:extLst>
            </c:dLbl>
            <c:dLbl>
              <c:idx val="10"/>
              <c:layout>
                <c:manualLayout>
                  <c:x val="-3.1357910371513177E-2"/>
                  <c:y val="-1.50580624660600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3C1A-45B5-9D31-E560827A4645}"/>
                </c:ext>
              </c:extLst>
            </c:dLbl>
            <c:dLbl>
              <c:idx val="11"/>
              <c:layout>
                <c:manualLayout>
                  <c:x val="-4.746385337205393E-2"/>
                  <c:y val="-2.509677077676679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3C1A-45B5-9D31-E560827A4645}"/>
                </c:ext>
              </c:extLst>
            </c:dLbl>
            <c:numFmt formatCode="#,##0.0" sourceLinked="0"/>
            <c:spPr>
              <a:noFill/>
              <a:ln>
                <a:noFill/>
              </a:ln>
              <a:effectLst/>
            </c:spPr>
            <c:txPr>
              <a:bodyPr rot="0" spcFirstLastPara="1" vertOverflow="ellipsis" vert="horz" wrap="square" anchor="ctr" anchorCtr="1"/>
              <a:lstStyle/>
              <a:p>
                <a:pPr>
                  <a:defRPr sz="8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Yearly'!$CM$7:$CT$8,'Quaterly, Yearly'!$CU$7:$CU$8)</c:f>
              <c:strCache>
                <c:ptCount val="9"/>
                <c:pt idx="0">
                  <c:v>2015</c:v>
                </c:pt>
                <c:pt idx="1">
                  <c:v>2016</c:v>
                </c:pt>
                <c:pt idx="2">
                  <c:v>2017</c:v>
                </c:pt>
                <c:pt idx="3">
                  <c:v>2018</c:v>
                </c:pt>
                <c:pt idx="4">
                  <c:v>2019</c:v>
                </c:pt>
                <c:pt idx="5">
                  <c:v>2020</c:v>
                </c:pt>
                <c:pt idx="6">
                  <c:v>2021</c:v>
                </c:pt>
                <c:pt idx="7">
                  <c:v>2022</c:v>
                </c:pt>
                <c:pt idx="8">
                  <c:v>2023</c:v>
                </c:pt>
              </c:strCache>
            </c:strRef>
          </c:cat>
          <c:val>
            <c:numRef>
              <c:f>('Quaterly, Yearly'!$CM$79:$CS$79,'Quaterly, Yearly'!$CT$79,'Quaterly, Yearly'!$CU$79)</c:f>
              <c:numCache>
                <c:formatCode>#,##0.00</c:formatCode>
                <c:ptCount val="9"/>
                <c:pt idx="0">
                  <c:v>-0.47061316203530046</c:v>
                </c:pt>
                <c:pt idx="1">
                  <c:v>1.7045650732845505</c:v>
                </c:pt>
                <c:pt idx="2">
                  <c:v>3.634771068549187</c:v>
                </c:pt>
                <c:pt idx="3">
                  <c:v>2.7475533250713307</c:v>
                </c:pt>
                <c:pt idx="4">
                  <c:v>1.7916206652556272</c:v>
                </c:pt>
                <c:pt idx="5">
                  <c:v>-6.0431380560869226</c:v>
                </c:pt>
                <c:pt idx="6">
                  <c:v>-2.404213120233746</c:v>
                </c:pt>
                <c:pt idx="7">
                  <c:v>-1.6638900250618343</c:v>
                </c:pt>
                <c:pt idx="8">
                  <c:v>-1.02</c:v>
                </c:pt>
              </c:numCache>
            </c:numRef>
          </c:val>
          <c:extLst>
            <c:ext xmlns:c16="http://schemas.microsoft.com/office/drawing/2014/chart" uri="{C3380CC4-5D6E-409C-BE32-E72D297353CC}">
              <c16:uniqueId val="{0000000D-3C1A-45B5-9D31-E560827A4645}"/>
            </c:ext>
          </c:extLst>
        </c:ser>
        <c:dLbls>
          <c:showLegendKey val="0"/>
          <c:showVal val="0"/>
          <c:showCatName val="0"/>
          <c:showSerName val="0"/>
          <c:showPercent val="0"/>
          <c:showBubbleSize val="0"/>
        </c:dLbls>
        <c:gapWidth val="150"/>
        <c:axId val="522006368"/>
        <c:axId val="522006928"/>
      </c:barChart>
      <c:catAx>
        <c:axId val="522006368"/>
        <c:scaling>
          <c:orientation val="minMax"/>
        </c:scaling>
        <c:delete val="0"/>
        <c:axPos val="b"/>
        <c:numFmt formatCode="General" sourceLinked="1"/>
        <c:majorTickMark val="out"/>
        <c:minorTickMark val="none"/>
        <c:tickLblPos val="high"/>
        <c:spPr>
          <a:noFill/>
          <a:ln w="12700" cap="flat" cmpd="sng" algn="ctr">
            <a:solidFill>
              <a:schemeClr val="tx1">
                <a:lumMod val="50000"/>
                <a:lumOff val="50000"/>
              </a:schemeClr>
            </a:solidFill>
            <a:prstDash val="sysDash"/>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22006928"/>
        <c:crosses val="autoZero"/>
        <c:auto val="1"/>
        <c:lblAlgn val="ctr"/>
        <c:lblOffset val="100"/>
        <c:noMultiLvlLbl val="0"/>
      </c:catAx>
      <c:valAx>
        <c:axId val="522006928"/>
        <c:scaling>
          <c:orientation val="minMax"/>
          <c:max val="5"/>
          <c:min val="-10"/>
        </c:scaling>
        <c:delete val="0"/>
        <c:axPos val="l"/>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latin typeface="+mn-lt"/>
                  </a:rPr>
                  <a:t>% </a:t>
                </a:r>
                <a:r>
                  <a:rPr lang="sr-Cyrl-RS" sz="800">
                    <a:latin typeface="+mn-lt"/>
                  </a:rPr>
                  <a:t>БДП</a:t>
                </a:r>
                <a:endParaRPr lang="en-US" sz="800">
                  <a:latin typeface="+mn-lt"/>
                </a:endParaRPr>
              </a:p>
            </c:rich>
          </c:tx>
          <c:layout>
            <c:manualLayout>
              <c:xMode val="edge"/>
              <c:yMode val="edge"/>
              <c:x val="5.7779235928842284E-4"/>
              <c:y val="0.46366033193219269"/>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22006368"/>
        <c:crosses val="autoZero"/>
        <c:crossBetween val="between"/>
      </c:valAx>
      <c:spPr>
        <a:noFill/>
        <a:ln>
          <a:noFill/>
        </a:ln>
        <a:effectLst/>
      </c:spPr>
    </c:plotArea>
    <c:legend>
      <c:legendPos val="b"/>
      <c:layout>
        <c:manualLayout>
          <c:xMode val="edge"/>
          <c:yMode val="edge"/>
          <c:x val="0.11158902012248469"/>
          <c:y val="0.87338424802162884"/>
          <c:w val="0.51810891150797223"/>
          <c:h val="0.1152205361251488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a:latin typeface="Georgia" panose="02040502050405020303" pitchFamily="18" charset="0"/>
        </a:defRPr>
      </a:pPr>
      <a:endParaRPr lang="sr-Latn-RS"/>
    </a:p>
  </c:txPr>
  <c:externalData r:id="rId3">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rtl="0">
              <a:defRPr sz="900" b="0" i="0" u="none" strike="noStrike" kern="1200" spc="0" baseline="0">
                <a:solidFill>
                  <a:schemeClr val="tx1">
                    <a:lumMod val="65000"/>
                    <a:lumOff val="35000"/>
                  </a:schemeClr>
                </a:solidFill>
                <a:latin typeface="+mn-lt"/>
                <a:ea typeface="+mn-ea"/>
                <a:cs typeface="+mn-cs"/>
              </a:defRPr>
            </a:pPr>
            <a:r>
              <a:rPr lang="en-US" sz="900" b="1">
                <a:solidFill>
                  <a:srgbClr val="002060"/>
                </a:solidFill>
              </a:rPr>
              <a:t>S0 </a:t>
            </a:r>
            <a:r>
              <a:rPr lang="sr-Cyrl-RS" sz="900" b="1">
                <a:solidFill>
                  <a:srgbClr val="002060"/>
                </a:solidFill>
              </a:rPr>
              <a:t>индикатор са фискалним подиндексом и подиндексом финансијске конкурентности за Србију за период 2015-20</a:t>
            </a:r>
            <a:r>
              <a:rPr lang="sr-Latn-RS" sz="900" b="1">
                <a:solidFill>
                  <a:srgbClr val="002060"/>
                </a:solidFill>
              </a:rPr>
              <a:t>22</a:t>
            </a:r>
            <a:r>
              <a:rPr lang="sr-Cyrl-RS" sz="900" b="1">
                <a:solidFill>
                  <a:srgbClr val="002060"/>
                </a:solidFill>
              </a:rPr>
              <a:t>. године </a:t>
            </a:r>
            <a:endParaRPr lang="en-US" sz="900" b="1">
              <a:solidFill>
                <a:srgbClr val="002060"/>
              </a:solidFill>
            </a:endParaRPr>
          </a:p>
        </c:rich>
      </c:tx>
      <c:layout>
        <c:manualLayout>
          <c:xMode val="edge"/>
          <c:yMode val="edge"/>
          <c:x val="0.10814122740566154"/>
          <c:y val="1.282051282051282E-2"/>
        </c:manualLayout>
      </c:layout>
      <c:overlay val="0"/>
      <c:spPr>
        <a:noFill/>
        <a:ln>
          <a:noFill/>
        </a:ln>
        <a:effectLst/>
      </c:spPr>
      <c:txPr>
        <a:bodyPr rot="0" spcFirstLastPara="1" vertOverflow="ellipsis" vert="horz" wrap="square" anchor="ctr" anchorCtr="1"/>
        <a:lstStyle/>
        <a:p>
          <a:pPr algn="ctr" rtl="0">
            <a:defRPr sz="900" b="0" i="0" u="none" strike="noStrike" kern="1200" spc="0" baseline="0">
              <a:solidFill>
                <a:schemeClr val="tx1">
                  <a:lumMod val="65000"/>
                  <a:lumOff val="35000"/>
                </a:schemeClr>
              </a:solidFill>
              <a:latin typeface="+mn-lt"/>
              <a:ea typeface="+mn-ea"/>
              <a:cs typeface="+mn-cs"/>
            </a:defRPr>
          </a:pPr>
          <a:endParaRPr lang="sr-Latn-RS"/>
        </a:p>
      </c:txPr>
    </c:title>
    <c:autoTitleDeleted val="0"/>
    <c:plotArea>
      <c:layout>
        <c:manualLayout>
          <c:layoutTarget val="inner"/>
          <c:xMode val="edge"/>
          <c:yMode val="edge"/>
          <c:x val="6.3415222230767468E-2"/>
          <c:y val="8.6538461538461536E-2"/>
          <c:w val="0.89818784226795878"/>
          <c:h val="0.56116520290732885"/>
        </c:manualLayout>
      </c:layout>
      <c:barChart>
        <c:barDir val="col"/>
        <c:grouping val="clustered"/>
        <c:varyColors val="0"/>
        <c:ser>
          <c:idx val="0"/>
          <c:order val="0"/>
          <c:tx>
            <c:strRef>
              <c:f>'S0 EU Serbia'!$AG$39</c:f>
              <c:strCache>
                <c:ptCount val="1"/>
                <c:pt idx="0">
                  <c:v>Фискални подиндекс</c:v>
                </c:pt>
              </c:strCache>
            </c:strRef>
          </c:tx>
          <c:spPr>
            <a:solidFill>
              <a:srgbClr val="7030A0"/>
            </a:solidFill>
            <a:ln w="9525">
              <a:noFill/>
            </a:ln>
            <a:effectLst/>
          </c:spPr>
          <c:invertIfNegative val="0"/>
          <c:cat>
            <c:numRef>
              <c:f>'S0 EU Serbia'!$AF$42:$AF$50</c:f>
              <c:numCache>
                <c:formatCode>General</c:formatCode>
                <c:ptCount val="8"/>
                <c:pt idx="0">
                  <c:v>2015</c:v>
                </c:pt>
                <c:pt idx="1">
                  <c:v>2016</c:v>
                </c:pt>
                <c:pt idx="2">
                  <c:v>2017</c:v>
                </c:pt>
                <c:pt idx="3">
                  <c:v>2018</c:v>
                </c:pt>
                <c:pt idx="4">
                  <c:v>2019</c:v>
                </c:pt>
                <c:pt idx="5">
                  <c:v>2020</c:v>
                </c:pt>
                <c:pt idx="6">
                  <c:v>2021</c:v>
                </c:pt>
                <c:pt idx="7">
                  <c:v>2022</c:v>
                </c:pt>
              </c:numCache>
              <c:extLst/>
            </c:numRef>
          </c:cat>
          <c:val>
            <c:numRef>
              <c:f>'S0 EU Serbia'!$AG$42:$AG$50</c:f>
              <c:numCache>
                <c:formatCode>#.000</c:formatCode>
                <c:ptCount val="8"/>
                <c:pt idx="0">
                  <c:v>0.40718562874251496</c:v>
                </c:pt>
                <c:pt idx="1">
                  <c:v>0.19161676646706588</c:v>
                </c:pt>
                <c:pt idx="2">
                  <c:v>0</c:v>
                </c:pt>
                <c:pt idx="3">
                  <c:v>0</c:v>
                </c:pt>
                <c:pt idx="4">
                  <c:v>0</c:v>
                </c:pt>
                <c:pt idx="5">
                  <c:v>0.47904191616766456</c:v>
                </c:pt>
                <c:pt idx="6">
                  <c:v>0.21560000000000001</c:v>
                </c:pt>
                <c:pt idx="7">
                  <c:v>0.21556886227544908</c:v>
                </c:pt>
              </c:numCache>
              <c:extLst/>
            </c:numRef>
          </c:val>
          <c:extLst>
            <c:ext xmlns:c16="http://schemas.microsoft.com/office/drawing/2014/chart" uri="{C3380CC4-5D6E-409C-BE32-E72D297353CC}">
              <c16:uniqueId val="{00000000-483D-41AD-8D72-CAD464FF7E39}"/>
            </c:ext>
          </c:extLst>
        </c:ser>
        <c:ser>
          <c:idx val="1"/>
          <c:order val="1"/>
          <c:tx>
            <c:strRef>
              <c:f>'S0 EU Serbia'!$AH$39</c:f>
              <c:strCache>
                <c:ptCount val="1"/>
                <c:pt idx="0">
                  <c:v>Подиндекс макро-финансијске конкурентности</c:v>
                </c:pt>
              </c:strCache>
            </c:strRef>
          </c:tx>
          <c:spPr>
            <a:solidFill>
              <a:srgbClr val="5297AC"/>
            </a:solidFill>
            <a:ln w="9525">
              <a:noFill/>
            </a:ln>
            <a:effectLst/>
          </c:spPr>
          <c:invertIfNegative val="0"/>
          <c:cat>
            <c:numRef>
              <c:f>'S0 EU Serbia'!$AF$42:$AF$50</c:f>
              <c:numCache>
                <c:formatCode>General</c:formatCode>
                <c:ptCount val="8"/>
                <c:pt idx="0">
                  <c:v>2015</c:v>
                </c:pt>
                <c:pt idx="1">
                  <c:v>2016</c:v>
                </c:pt>
                <c:pt idx="2">
                  <c:v>2017</c:v>
                </c:pt>
                <c:pt idx="3">
                  <c:v>2018</c:v>
                </c:pt>
                <c:pt idx="4">
                  <c:v>2019</c:v>
                </c:pt>
                <c:pt idx="5">
                  <c:v>2020</c:v>
                </c:pt>
                <c:pt idx="6">
                  <c:v>2021</c:v>
                </c:pt>
                <c:pt idx="7">
                  <c:v>2022</c:v>
                </c:pt>
              </c:numCache>
              <c:extLst/>
            </c:numRef>
          </c:cat>
          <c:val>
            <c:numRef>
              <c:f>'S0 EU Serbia'!$AH$42:$AH$50</c:f>
              <c:numCache>
                <c:formatCode>#.000</c:formatCode>
                <c:ptCount val="8"/>
                <c:pt idx="0">
                  <c:v>0.27243589743589747</c:v>
                </c:pt>
                <c:pt idx="1">
                  <c:v>0.27243589743589747</c:v>
                </c:pt>
                <c:pt idx="2">
                  <c:v>0.27243589743589747</c:v>
                </c:pt>
                <c:pt idx="3">
                  <c:v>0.27243589743589747</c:v>
                </c:pt>
                <c:pt idx="4">
                  <c:v>0.27243589743589747</c:v>
                </c:pt>
                <c:pt idx="5">
                  <c:v>0.42307692307692302</c:v>
                </c:pt>
                <c:pt idx="6">
                  <c:v>0.27239999999999998</c:v>
                </c:pt>
                <c:pt idx="7">
                  <c:v>0.27243589743589747</c:v>
                </c:pt>
              </c:numCache>
              <c:extLst/>
            </c:numRef>
          </c:val>
          <c:extLst>
            <c:ext xmlns:c16="http://schemas.microsoft.com/office/drawing/2014/chart" uri="{C3380CC4-5D6E-409C-BE32-E72D297353CC}">
              <c16:uniqueId val="{00000001-483D-41AD-8D72-CAD464FF7E39}"/>
            </c:ext>
          </c:extLst>
        </c:ser>
        <c:dLbls>
          <c:showLegendKey val="0"/>
          <c:showVal val="0"/>
          <c:showCatName val="0"/>
          <c:showSerName val="0"/>
          <c:showPercent val="0"/>
          <c:showBubbleSize val="0"/>
        </c:dLbls>
        <c:gapWidth val="150"/>
        <c:axId val="-486944112"/>
        <c:axId val="-486944656"/>
      </c:barChart>
      <c:lineChart>
        <c:grouping val="standard"/>
        <c:varyColors val="0"/>
        <c:ser>
          <c:idx val="2"/>
          <c:order val="2"/>
          <c:tx>
            <c:strRef>
              <c:f>'S0 EU Serbia'!$AI$39</c:f>
              <c:strCache>
                <c:ptCount val="1"/>
                <c:pt idx="0">
                  <c:v>S0 индикатор</c:v>
                </c:pt>
              </c:strCache>
            </c:strRef>
          </c:tx>
          <c:spPr>
            <a:ln w="22225" cap="rnd">
              <a:noFill/>
              <a:prstDash val="solid"/>
              <a:round/>
            </a:ln>
            <a:effectLst/>
          </c:spPr>
          <c:marker>
            <c:symbol val="triangle"/>
            <c:size val="16"/>
            <c:spPr>
              <a:solidFill>
                <a:schemeClr val="tx1"/>
              </a:solidFill>
              <a:ln w="9525">
                <a:noFill/>
              </a:ln>
              <a:effectLst/>
            </c:spPr>
          </c:marker>
          <c:dPt>
            <c:idx val="0"/>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3-483D-41AD-8D72-CAD464FF7E39}"/>
              </c:ext>
            </c:extLst>
          </c:dPt>
          <c:dPt>
            <c:idx val="1"/>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5-483D-41AD-8D72-CAD464FF7E39}"/>
              </c:ext>
            </c:extLst>
          </c:dPt>
          <c:cat>
            <c:numRef>
              <c:f>'S0 EU Serbia'!$AF$42:$AF$50</c:f>
              <c:numCache>
                <c:formatCode>General</c:formatCode>
                <c:ptCount val="8"/>
                <c:pt idx="0">
                  <c:v>2015</c:v>
                </c:pt>
                <c:pt idx="1">
                  <c:v>2016</c:v>
                </c:pt>
                <c:pt idx="2">
                  <c:v>2017</c:v>
                </c:pt>
                <c:pt idx="3">
                  <c:v>2018</c:v>
                </c:pt>
                <c:pt idx="4">
                  <c:v>2019</c:v>
                </c:pt>
                <c:pt idx="5">
                  <c:v>2020</c:v>
                </c:pt>
                <c:pt idx="6">
                  <c:v>2021</c:v>
                </c:pt>
                <c:pt idx="7">
                  <c:v>2022</c:v>
                </c:pt>
              </c:numCache>
              <c:extLst/>
            </c:numRef>
          </c:cat>
          <c:val>
            <c:numRef>
              <c:f>'S0 EU Serbia'!$AI$42:$AI$50</c:f>
              <c:numCache>
                <c:formatCode>#.000</c:formatCode>
                <c:ptCount val="8"/>
                <c:pt idx="0">
                  <c:v>0.31941544885177453</c:v>
                </c:pt>
                <c:pt idx="1">
                  <c:v>0.24425887265135704</c:v>
                </c:pt>
                <c:pt idx="2">
                  <c:v>0.17745302713987476</c:v>
                </c:pt>
                <c:pt idx="3">
                  <c:v>0.17745302713987476</c:v>
                </c:pt>
                <c:pt idx="4">
                  <c:v>0.17745302713987476</c:v>
                </c:pt>
                <c:pt idx="5">
                  <c:v>0.4425887265135699</c:v>
                </c:pt>
                <c:pt idx="6">
                  <c:v>0.25259999999999999</c:v>
                </c:pt>
                <c:pt idx="7">
                  <c:v>0.25260960334029231</c:v>
                </c:pt>
              </c:numCache>
              <c:extLst/>
            </c:numRef>
          </c:val>
          <c:smooth val="0"/>
          <c:extLst>
            <c:ext xmlns:c16="http://schemas.microsoft.com/office/drawing/2014/chart" uri="{C3380CC4-5D6E-409C-BE32-E72D297353CC}">
              <c16:uniqueId val="{00000006-483D-41AD-8D72-CAD464FF7E39}"/>
            </c:ext>
          </c:extLst>
        </c:ser>
        <c:ser>
          <c:idx val="3"/>
          <c:order val="3"/>
          <c:tx>
            <c:strRef>
              <c:f>'S0 EU Serbia'!$AJ$39</c:f>
              <c:strCache>
                <c:ptCount val="1"/>
                <c:pt idx="0">
                  <c:v>Праг фискалног подиндекса</c:v>
                </c:pt>
              </c:strCache>
            </c:strRef>
          </c:tx>
          <c:spPr>
            <a:ln w="22225" cap="rnd">
              <a:solidFill>
                <a:srgbClr val="7030A0"/>
              </a:solidFill>
              <a:prstDash val="dash"/>
              <a:round/>
            </a:ln>
            <a:effectLst/>
          </c:spPr>
          <c:marker>
            <c:symbol val="none"/>
          </c:marker>
          <c:cat>
            <c:numRef>
              <c:f>'S0 EU Serbia'!$AF$42:$AF$50</c:f>
              <c:numCache>
                <c:formatCode>General</c:formatCode>
                <c:ptCount val="8"/>
                <c:pt idx="0">
                  <c:v>2015</c:v>
                </c:pt>
                <c:pt idx="1">
                  <c:v>2016</c:v>
                </c:pt>
                <c:pt idx="2">
                  <c:v>2017</c:v>
                </c:pt>
                <c:pt idx="3">
                  <c:v>2018</c:v>
                </c:pt>
                <c:pt idx="4">
                  <c:v>2019</c:v>
                </c:pt>
                <c:pt idx="5">
                  <c:v>2020</c:v>
                </c:pt>
                <c:pt idx="6">
                  <c:v>2021</c:v>
                </c:pt>
                <c:pt idx="7">
                  <c:v>2022</c:v>
                </c:pt>
              </c:numCache>
              <c:extLst/>
            </c:numRef>
          </c:cat>
          <c:val>
            <c:numRef>
              <c:f>'S0 EU Serbia'!$AJ$42:$AJ$50</c:f>
              <c:numCache>
                <c:formatCode>General</c:formatCode>
                <c:ptCount val="8"/>
                <c:pt idx="0">
                  <c:v>0.36</c:v>
                </c:pt>
                <c:pt idx="1">
                  <c:v>0.36</c:v>
                </c:pt>
                <c:pt idx="2">
                  <c:v>0.36</c:v>
                </c:pt>
                <c:pt idx="3">
                  <c:v>0.36</c:v>
                </c:pt>
                <c:pt idx="4">
                  <c:v>0.36</c:v>
                </c:pt>
                <c:pt idx="5">
                  <c:v>0.36</c:v>
                </c:pt>
                <c:pt idx="6">
                  <c:v>0.36</c:v>
                </c:pt>
                <c:pt idx="7">
                  <c:v>0.36</c:v>
                </c:pt>
              </c:numCache>
              <c:extLst/>
            </c:numRef>
          </c:val>
          <c:smooth val="0"/>
          <c:extLst>
            <c:ext xmlns:c16="http://schemas.microsoft.com/office/drawing/2014/chart" uri="{C3380CC4-5D6E-409C-BE32-E72D297353CC}">
              <c16:uniqueId val="{00000007-483D-41AD-8D72-CAD464FF7E39}"/>
            </c:ext>
          </c:extLst>
        </c:ser>
        <c:ser>
          <c:idx val="4"/>
          <c:order val="4"/>
          <c:tx>
            <c:strRef>
              <c:f>'S0 EU Serbia'!$AK$39</c:f>
              <c:strCache>
                <c:ptCount val="1"/>
                <c:pt idx="0">
                  <c:v>Праг финансијског подиндекса</c:v>
                </c:pt>
              </c:strCache>
            </c:strRef>
          </c:tx>
          <c:spPr>
            <a:ln w="22225" cap="rnd">
              <a:solidFill>
                <a:srgbClr val="5297AC"/>
              </a:solidFill>
              <a:prstDash val="dash"/>
              <a:round/>
            </a:ln>
            <a:effectLst/>
          </c:spPr>
          <c:marker>
            <c:symbol val="none"/>
          </c:marker>
          <c:cat>
            <c:numRef>
              <c:f>'S0 EU Serbia'!$AF$42:$AF$50</c:f>
              <c:numCache>
                <c:formatCode>General</c:formatCode>
                <c:ptCount val="8"/>
                <c:pt idx="0">
                  <c:v>2015</c:v>
                </c:pt>
                <c:pt idx="1">
                  <c:v>2016</c:v>
                </c:pt>
                <c:pt idx="2">
                  <c:v>2017</c:v>
                </c:pt>
                <c:pt idx="3">
                  <c:v>2018</c:v>
                </c:pt>
                <c:pt idx="4">
                  <c:v>2019</c:v>
                </c:pt>
                <c:pt idx="5">
                  <c:v>2020</c:v>
                </c:pt>
                <c:pt idx="6">
                  <c:v>2021</c:v>
                </c:pt>
                <c:pt idx="7">
                  <c:v>2022</c:v>
                </c:pt>
              </c:numCache>
              <c:extLst/>
            </c:numRef>
          </c:cat>
          <c:val>
            <c:numRef>
              <c:f>'S0 EU Serbia'!$AK$42:$AK$50</c:f>
              <c:numCache>
                <c:formatCode>General</c:formatCode>
                <c:ptCount val="8"/>
                <c:pt idx="0">
                  <c:v>0.49</c:v>
                </c:pt>
                <c:pt idx="1">
                  <c:v>0.49</c:v>
                </c:pt>
                <c:pt idx="2">
                  <c:v>0.49</c:v>
                </c:pt>
                <c:pt idx="3">
                  <c:v>0.49</c:v>
                </c:pt>
                <c:pt idx="4">
                  <c:v>0.49</c:v>
                </c:pt>
                <c:pt idx="5">
                  <c:v>0.49</c:v>
                </c:pt>
                <c:pt idx="6">
                  <c:v>0.49</c:v>
                </c:pt>
                <c:pt idx="7">
                  <c:v>0.49</c:v>
                </c:pt>
              </c:numCache>
              <c:extLst/>
            </c:numRef>
          </c:val>
          <c:smooth val="0"/>
          <c:extLst>
            <c:ext xmlns:c16="http://schemas.microsoft.com/office/drawing/2014/chart" uri="{C3380CC4-5D6E-409C-BE32-E72D297353CC}">
              <c16:uniqueId val="{00000008-483D-41AD-8D72-CAD464FF7E39}"/>
            </c:ext>
          </c:extLst>
        </c:ser>
        <c:ser>
          <c:idx val="5"/>
          <c:order val="5"/>
          <c:tx>
            <c:strRef>
              <c:f>'S0 EU Serbia'!$AL$39</c:f>
              <c:strCache>
                <c:ptCount val="1"/>
                <c:pt idx="0">
                  <c:v>S0 праг</c:v>
                </c:pt>
              </c:strCache>
            </c:strRef>
          </c:tx>
          <c:spPr>
            <a:ln w="22225" cap="rnd">
              <a:solidFill>
                <a:schemeClr val="tx1"/>
              </a:solidFill>
              <a:prstDash val="dash"/>
              <a:round/>
            </a:ln>
            <a:effectLst/>
          </c:spPr>
          <c:marker>
            <c:symbol val="none"/>
          </c:marker>
          <c:cat>
            <c:numRef>
              <c:f>'S0 EU Serbia'!$AF$42:$AF$50</c:f>
              <c:numCache>
                <c:formatCode>General</c:formatCode>
                <c:ptCount val="8"/>
                <c:pt idx="0">
                  <c:v>2015</c:v>
                </c:pt>
                <c:pt idx="1">
                  <c:v>2016</c:v>
                </c:pt>
                <c:pt idx="2">
                  <c:v>2017</c:v>
                </c:pt>
                <c:pt idx="3">
                  <c:v>2018</c:v>
                </c:pt>
                <c:pt idx="4">
                  <c:v>2019</c:v>
                </c:pt>
                <c:pt idx="5">
                  <c:v>2020</c:v>
                </c:pt>
                <c:pt idx="6">
                  <c:v>2021</c:v>
                </c:pt>
                <c:pt idx="7">
                  <c:v>2022</c:v>
                </c:pt>
              </c:numCache>
              <c:extLst/>
            </c:numRef>
          </c:cat>
          <c:val>
            <c:numRef>
              <c:f>'S0 EU Serbia'!$AL$42:$AL$50</c:f>
              <c:numCache>
                <c:formatCode>General</c:formatCode>
                <c:ptCount val="8"/>
                <c:pt idx="0">
                  <c:v>0.46</c:v>
                </c:pt>
                <c:pt idx="1">
                  <c:v>0.46</c:v>
                </c:pt>
                <c:pt idx="2">
                  <c:v>0.46</c:v>
                </c:pt>
                <c:pt idx="3">
                  <c:v>0.46</c:v>
                </c:pt>
                <c:pt idx="4">
                  <c:v>0.46</c:v>
                </c:pt>
                <c:pt idx="5">
                  <c:v>0.46</c:v>
                </c:pt>
                <c:pt idx="6">
                  <c:v>0.46</c:v>
                </c:pt>
                <c:pt idx="7">
                  <c:v>0.46</c:v>
                </c:pt>
              </c:numCache>
              <c:extLst/>
            </c:numRef>
          </c:val>
          <c:smooth val="0"/>
          <c:extLst>
            <c:ext xmlns:c16="http://schemas.microsoft.com/office/drawing/2014/chart" uri="{C3380CC4-5D6E-409C-BE32-E72D297353CC}">
              <c16:uniqueId val="{00000009-483D-41AD-8D72-CAD464FF7E39}"/>
            </c:ext>
          </c:extLst>
        </c:ser>
        <c:dLbls>
          <c:showLegendKey val="0"/>
          <c:showVal val="0"/>
          <c:showCatName val="0"/>
          <c:showSerName val="0"/>
          <c:showPercent val="0"/>
          <c:showBubbleSize val="0"/>
        </c:dLbls>
        <c:marker val="1"/>
        <c:smooth val="0"/>
        <c:axId val="-486944112"/>
        <c:axId val="-486944656"/>
      </c:lineChart>
      <c:catAx>
        <c:axId val="-486944112"/>
        <c:scaling>
          <c:orientation val="minMax"/>
        </c:scaling>
        <c:delete val="0"/>
        <c:axPos val="b"/>
        <c:numFmt formatCode="General" sourceLinked="1"/>
        <c:majorTickMark val="none"/>
        <c:minorTickMark val="none"/>
        <c:tickLblPos val="nextTo"/>
        <c:spPr>
          <a:noFill/>
          <a:ln w="6350" cap="flat" cmpd="sng" algn="ctr">
            <a:solidFill>
              <a:schemeClr val="bg1">
                <a:lumMod val="65000"/>
              </a:schemeClr>
            </a:solidFill>
            <a:round/>
          </a:ln>
          <a:effectLst/>
        </c:spPr>
        <c:txPr>
          <a:bodyPr rot="-6000000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crossAx val="-486944656"/>
        <c:crosses val="autoZero"/>
        <c:auto val="1"/>
        <c:lblAlgn val="ctr"/>
        <c:lblOffset val="100"/>
        <c:noMultiLvlLbl val="0"/>
      </c:catAx>
      <c:valAx>
        <c:axId val="-486944656"/>
        <c:scaling>
          <c:orientation val="minMax"/>
          <c:max val="0.70000000000000007"/>
        </c:scaling>
        <c:delete val="0"/>
        <c:axPos val="l"/>
        <c:numFmt formatCode="#,##0.0" sourceLinked="0"/>
        <c:majorTickMark val="out"/>
        <c:minorTickMark val="none"/>
        <c:tickLblPos val="nextTo"/>
        <c:spPr>
          <a:noFill/>
          <a:ln w="6350">
            <a:noFill/>
          </a:ln>
          <a:effectLst/>
        </c:spPr>
        <c:txPr>
          <a:bodyPr rot="-6000000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crossAx val="-486944112"/>
        <c:crossesAt val="1"/>
        <c:crossBetween val="between"/>
      </c:valAx>
      <c:spPr>
        <a:noFill/>
        <a:ln>
          <a:noFill/>
        </a:ln>
        <a:effectLst/>
      </c:spPr>
    </c:plotArea>
    <c:legend>
      <c:legendPos val="b"/>
      <c:legendEntry>
        <c:idx val="3"/>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legendEntry>
      <c:layout>
        <c:manualLayout>
          <c:xMode val="edge"/>
          <c:yMode val="edge"/>
          <c:x val="2.930789712720251E-4"/>
          <c:y val="0.70762012921461737"/>
          <c:w val="0.99970692102872794"/>
          <c:h val="0.26440616797900257"/>
        </c:manualLayout>
      </c:layout>
      <c:overlay val="0"/>
      <c:spPr>
        <a:noFill/>
        <a:ln>
          <a:noFill/>
        </a:ln>
        <a:effectLst/>
      </c:spPr>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sz="900">
          <a:latin typeface="+mn-lt"/>
        </a:defRPr>
      </a:pPr>
      <a:endParaRPr lang="sr-Latn-RS"/>
    </a:p>
  </c:txPr>
  <c:externalData r:id="rId4">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00" b="1" i="0" u="none" strike="noStrike" kern="1200" spc="0" baseline="0">
                <a:solidFill>
                  <a:srgbClr val="002060"/>
                </a:solidFill>
                <a:latin typeface="+mn-lt"/>
                <a:ea typeface="+mn-ea"/>
                <a:cs typeface="+mn-cs"/>
              </a:defRPr>
            </a:pPr>
            <a:r>
              <a:rPr lang="en-US" sz="900" b="1">
                <a:solidFill>
                  <a:srgbClr val="002060"/>
                </a:solidFill>
              </a:rPr>
              <a:t>S0 </a:t>
            </a:r>
            <a:r>
              <a:rPr lang="sr-Cyrl-RS" sz="900" b="1">
                <a:solidFill>
                  <a:srgbClr val="002060"/>
                </a:solidFill>
              </a:rPr>
              <a:t>индикатор -</a:t>
            </a:r>
            <a:r>
              <a:rPr lang="sr-Cyrl-RS" sz="900" b="1" baseline="0">
                <a:solidFill>
                  <a:srgbClr val="002060"/>
                </a:solidFill>
              </a:rPr>
              <a:t> </a:t>
            </a:r>
            <a:r>
              <a:rPr lang="sr-Cyrl-RS" sz="900" b="1">
                <a:solidFill>
                  <a:srgbClr val="002060"/>
                </a:solidFill>
              </a:rPr>
              <a:t>земље ЕУ и Србија</a:t>
            </a:r>
          </a:p>
        </c:rich>
      </c:tx>
      <c:overlay val="0"/>
      <c:spPr>
        <a:noFill/>
        <a:ln>
          <a:noFill/>
        </a:ln>
        <a:effectLst/>
      </c:spPr>
      <c:txPr>
        <a:bodyPr rot="0" spcFirstLastPara="1" vertOverflow="ellipsis" vert="horz" wrap="square" anchor="ctr" anchorCtr="1"/>
        <a:lstStyle/>
        <a:p>
          <a:pPr>
            <a:defRPr sz="900" b="1" i="0" u="none" strike="noStrike" kern="1200" spc="0" baseline="0">
              <a:solidFill>
                <a:srgbClr val="002060"/>
              </a:solidFill>
              <a:latin typeface="+mn-lt"/>
              <a:ea typeface="+mn-ea"/>
              <a:cs typeface="+mn-cs"/>
            </a:defRPr>
          </a:pPr>
          <a:endParaRPr lang="sr-Latn-RS"/>
        </a:p>
      </c:txPr>
    </c:title>
    <c:autoTitleDeleted val="0"/>
    <c:plotArea>
      <c:layout>
        <c:manualLayout>
          <c:layoutTarget val="inner"/>
          <c:xMode val="edge"/>
          <c:yMode val="edge"/>
          <c:x val="7.0140553174856415E-2"/>
          <c:y val="0.13775301764159703"/>
          <c:w val="0.89795062064282105"/>
          <c:h val="0.4716665570007092"/>
        </c:manualLayout>
      </c:layout>
      <c:barChart>
        <c:barDir val="col"/>
        <c:grouping val="clustered"/>
        <c:varyColors val="0"/>
        <c:ser>
          <c:idx val="3"/>
          <c:order val="1"/>
          <c:tx>
            <c:strRef>
              <c:f>'S0 EU Serbia'!$F$2</c:f>
              <c:strCache>
                <c:ptCount val="1"/>
                <c:pt idx="0">
                  <c:v>S0
2014</c:v>
                </c:pt>
              </c:strCache>
            </c:strRef>
          </c:tx>
          <c:spPr>
            <a:solidFill>
              <a:schemeClr val="tx1"/>
            </a:solidFill>
            <a:ln w="6350">
              <a:solidFill>
                <a:schemeClr val="tx1"/>
              </a:solidFill>
            </a:ln>
            <a:effectLst/>
          </c:spPr>
          <c:invertIfNegative val="0"/>
          <c:cat>
            <c:strRef>
              <c:f>'S0 EU Serbia'!$A$3:$A$31</c:f>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f>'S0 EU Serbia'!$F$3:$F$31</c:f>
            </c:numRef>
          </c:val>
          <c:extLst>
            <c:ext xmlns:c16="http://schemas.microsoft.com/office/drawing/2014/chart" uri="{C3380CC4-5D6E-409C-BE32-E72D297353CC}">
              <c16:uniqueId val="{00000000-A2D0-492E-9952-40FE8A46C7A0}"/>
            </c:ext>
          </c:extLst>
        </c:ser>
        <c:dLbls>
          <c:showLegendKey val="0"/>
          <c:showVal val="0"/>
          <c:showCatName val="0"/>
          <c:showSerName val="0"/>
          <c:showPercent val="0"/>
          <c:showBubbleSize val="0"/>
        </c:dLbls>
        <c:gapWidth val="150"/>
        <c:axId val="-486950096"/>
        <c:axId val="-486949552"/>
      </c:barChart>
      <c:barChart>
        <c:barDir val="col"/>
        <c:grouping val="clustered"/>
        <c:varyColors val="0"/>
        <c:ser>
          <c:idx val="5"/>
          <c:order val="7"/>
          <c:tx>
            <c:strRef>
              <c:f>'S0 EU Serbia'!$AA$2</c:f>
              <c:strCache>
                <c:ptCount val="1"/>
                <c:pt idx="0">
                  <c:v>S0 2021</c:v>
                </c:pt>
              </c:strCache>
            </c:strRef>
          </c:tx>
          <c:spPr>
            <a:solidFill>
              <a:srgbClr val="7030A0"/>
            </a:solidFill>
            <a:ln>
              <a:noFill/>
            </a:ln>
            <a:effectLst/>
          </c:spPr>
          <c:invertIfNegative val="0"/>
          <c:val>
            <c:numRef>
              <c:f>'S0 EU Serbia'!$AA$3:$AA$29</c:f>
              <c:numCache>
                <c:formatCode>#.000</c:formatCode>
                <c:ptCount val="27"/>
                <c:pt idx="0">
                  <c:v>0.18</c:v>
                </c:pt>
                <c:pt idx="1">
                  <c:v>0.31</c:v>
                </c:pt>
                <c:pt idx="2">
                  <c:v>0.32</c:v>
                </c:pt>
                <c:pt idx="3">
                  <c:v>0.24</c:v>
                </c:pt>
                <c:pt idx="4">
                  <c:v>0.38</c:v>
                </c:pt>
                <c:pt idx="5">
                  <c:v>0.47</c:v>
                </c:pt>
                <c:pt idx="6">
                  <c:v>0.18</c:v>
                </c:pt>
                <c:pt idx="7">
                  <c:v>0.22</c:v>
                </c:pt>
                <c:pt idx="8">
                  <c:v>0.26</c:v>
                </c:pt>
                <c:pt idx="9">
                  <c:v>0.45</c:v>
                </c:pt>
                <c:pt idx="10">
                  <c:v>0.31</c:v>
                </c:pt>
                <c:pt idx="11">
                  <c:v>0.34</c:v>
                </c:pt>
                <c:pt idx="12">
                  <c:v>0.36</c:v>
                </c:pt>
                <c:pt idx="13">
                  <c:v>0.28000000000000003</c:v>
                </c:pt>
                <c:pt idx="14">
                  <c:v>0.26</c:v>
                </c:pt>
                <c:pt idx="15">
                  <c:v>0.17</c:v>
                </c:pt>
                <c:pt idx="16">
                  <c:v>0.3</c:v>
                </c:pt>
                <c:pt idx="17">
                  <c:v>0.31</c:v>
                </c:pt>
                <c:pt idx="18">
                  <c:v>0.32</c:v>
                </c:pt>
                <c:pt idx="19">
                  <c:v>0.22</c:v>
                </c:pt>
                <c:pt idx="20">
                  <c:v>0.4</c:v>
                </c:pt>
                <c:pt idx="21">
                  <c:v>0.31</c:v>
                </c:pt>
                <c:pt idx="22">
                  <c:v>0.25259999999999999</c:v>
                </c:pt>
                <c:pt idx="23">
                  <c:v>0.24</c:v>
                </c:pt>
                <c:pt idx="24">
                  <c:v>0.18</c:v>
                </c:pt>
                <c:pt idx="25">
                  <c:v>0.34</c:v>
                </c:pt>
                <c:pt idx="26">
                  <c:v>0.27</c:v>
                </c:pt>
              </c:numCache>
            </c:numRef>
          </c:val>
          <c:extLst>
            <c:ext xmlns:c16="http://schemas.microsoft.com/office/drawing/2014/chart" uri="{C3380CC4-5D6E-409C-BE32-E72D297353CC}">
              <c16:uniqueId val="{00000001-A2D0-492E-9952-40FE8A46C7A0}"/>
            </c:ext>
          </c:extLst>
        </c:ser>
        <c:ser>
          <c:idx val="7"/>
          <c:order val="8"/>
          <c:tx>
            <c:strRef>
              <c:f>'S0 EU Serbia'!$AD$2</c:f>
              <c:strCache>
                <c:ptCount val="1"/>
                <c:pt idx="0">
                  <c:v>S0 2022</c:v>
                </c:pt>
              </c:strCache>
            </c:strRef>
          </c:tx>
          <c:spPr>
            <a:solidFill>
              <a:srgbClr val="00B0F0"/>
            </a:solidFill>
            <a:ln>
              <a:noFill/>
            </a:ln>
            <a:effectLst/>
          </c:spPr>
          <c:invertIfNegative val="0"/>
          <c:val>
            <c:numRef>
              <c:f>'S0 EU Serbia'!$AD$3:$AD$29</c:f>
              <c:numCache>
                <c:formatCode>#.000</c:formatCode>
                <c:ptCount val="27"/>
                <c:pt idx="0">
                  <c:v>0.2</c:v>
                </c:pt>
                <c:pt idx="1">
                  <c:v>0.3</c:v>
                </c:pt>
                <c:pt idx="2">
                  <c:v>0.3</c:v>
                </c:pt>
                <c:pt idx="3">
                  <c:v>0.2</c:v>
                </c:pt>
                <c:pt idx="4">
                  <c:v>0.3</c:v>
                </c:pt>
                <c:pt idx="5">
                  <c:v>0.3</c:v>
                </c:pt>
                <c:pt idx="6">
                  <c:v>0.2</c:v>
                </c:pt>
                <c:pt idx="7">
                  <c:v>0.1</c:v>
                </c:pt>
                <c:pt idx="8">
                  <c:v>0.2</c:v>
                </c:pt>
                <c:pt idx="9">
                  <c:v>0.3</c:v>
                </c:pt>
                <c:pt idx="10">
                  <c:v>0.2</c:v>
                </c:pt>
                <c:pt idx="11">
                  <c:v>0.4</c:v>
                </c:pt>
                <c:pt idx="12">
                  <c:v>0.2</c:v>
                </c:pt>
                <c:pt idx="13">
                  <c:v>0.3</c:v>
                </c:pt>
                <c:pt idx="14">
                  <c:v>0.2</c:v>
                </c:pt>
                <c:pt idx="15">
                  <c:v>0.3</c:v>
                </c:pt>
                <c:pt idx="16">
                  <c:v>0.2</c:v>
                </c:pt>
                <c:pt idx="17">
                  <c:v>0.2</c:v>
                </c:pt>
                <c:pt idx="18">
                  <c:v>0.2</c:v>
                </c:pt>
                <c:pt idx="19">
                  <c:v>0.3</c:v>
                </c:pt>
                <c:pt idx="20">
                  <c:v>0.4</c:v>
                </c:pt>
                <c:pt idx="21">
                  <c:v>0.3</c:v>
                </c:pt>
                <c:pt idx="22">
                  <c:v>0.25260960334029231</c:v>
                </c:pt>
                <c:pt idx="23">
                  <c:v>0.3</c:v>
                </c:pt>
                <c:pt idx="24">
                  <c:v>0.2</c:v>
                </c:pt>
                <c:pt idx="25">
                  <c:v>0.3</c:v>
                </c:pt>
                <c:pt idx="26">
                  <c:v>0.2</c:v>
                </c:pt>
              </c:numCache>
            </c:numRef>
          </c:val>
          <c:extLst>
            <c:ext xmlns:c16="http://schemas.microsoft.com/office/drawing/2014/chart" uri="{C3380CC4-5D6E-409C-BE32-E72D297353CC}">
              <c16:uniqueId val="{00000002-A2D0-492E-9952-40FE8A46C7A0}"/>
            </c:ext>
          </c:extLst>
        </c:ser>
        <c:dLbls>
          <c:showLegendKey val="0"/>
          <c:showVal val="0"/>
          <c:showCatName val="0"/>
          <c:showSerName val="0"/>
          <c:showPercent val="0"/>
          <c:showBubbleSize val="0"/>
        </c:dLbls>
        <c:gapWidth val="150"/>
        <c:axId val="-486950096"/>
        <c:axId val="-486949552"/>
        <c:extLst>
          <c:ext xmlns:c15="http://schemas.microsoft.com/office/drawing/2012/chart" uri="{02D57815-91ED-43cb-92C2-25804820EDAC}">
            <c15:filteredBarSeries>
              <c15:ser>
                <c:idx val="6"/>
                <c:order val="2"/>
                <c:tx>
                  <c:strRef>
                    <c:extLst>
                      <c:ext uri="{02D57815-91ED-43cb-92C2-25804820EDAC}">
                        <c15:formulaRef>
                          <c15:sqref>'S0 EU Serbia'!$I$2</c15:sqref>
                        </c15:formulaRef>
                      </c:ext>
                    </c:extLst>
                    <c:strCache>
                      <c:ptCount val="1"/>
                      <c:pt idx="0">
                        <c:v>S0
2015</c:v>
                      </c:pt>
                    </c:strCache>
                  </c:strRef>
                </c:tx>
                <c:spPr>
                  <a:solidFill>
                    <a:schemeClr val="accent2"/>
                  </a:solidFill>
                  <a:ln>
                    <a:noFill/>
                  </a:ln>
                  <a:effectLst/>
                </c:spPr>
                <c:invertIfNegative val="0"/>
                <c:cat>
                  <c:strRef>
                    <c:extLst>
                      <c:ext uri="{02D57815-91ED-43cb-92C2-25804820EDAC}">
                        <c15:formulaRef>
                          <c15:sqref>'S0 EU Serbia'!$A$3:$A$31</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c:ext uri="{02D57815-91ED-43cb-92C2-25804820EDAC}">
                        <c15:formulaRef>
                          <c15:sqref>'S0 EU Serbia'!$I$3:$I$31</c15:sqref>
                        </c15:formulaRef>
                      </c:ext>
                    </c:extLst>
                    <c:numCache>
                      <c:formatCode>#.000</c:formatCode>
                      <c:ptCount val="29"/>
                      <c:pt idx="0">
                        <c:v>7.0000000000000007E-2</c:v>
                      </c:pt>
                      <c:pt idx="1">
                        <c:v>0.1</c:v>
                      </c:pt>
                      <c:pt idx="2">
                        <c:v>0.21</c:v>
                      </c:pt>
                      <c:pt idx="3">
                        <c:v>0.11</c:v>
                      </c:pt>
                      <c:pt idx="4">
                        <c:v>0.26</c:v>
                      </c:pt>
                      <c:pt idx="6">
                        <c:v>0.25</c:v>
                      </c:pt>
                      <c:pt idx="7">
                        <c:v>0.19</c:v>
                      </c:pt>
                      <c:pt idx="8">
                        <c:v>0.22</c:v>
                      </c:pt>
                      <c:pt idx="9">
                        <c:v>0.17</c:v>
                      </c:pt>
                      <c:pt idx="10">
                        <c:v>0.02</c:v>
                      </c:pt>
                      <c:pt idx="11">
                        <c:v>0.16</c:v>
                      </c:pt>
                      <c:pt idx="12">
                        <c:v>0.38</c:v>
                      </c:pt>
                      <c:pt idx="13">
                        <c:v>0.21</c:v>
                      </c:pt>
                      <c:pt idx="14">
                        <c:v>0.34</c:v>
                      </c:pt>
                      <c:pt idx="15">
                        <c:v>0.18</c:v>
                      </c:pt>
                      <c:pt idx="16">
                        <c:v>0.09</c:v>
                      </c:pt>
                      <c:pt idx="17">
                        <c:v>0.13</c:v>
                      </c:pt>
                      <c:pt idx="18">
                        <c:v>0.19</c:v>
                      </c:pt>
                      <c:pt idx="19">
                        <c:v>0.27</c:v>
                      </c:pt>
                      <c:pt idx="20">
                        <c:v>0.24</c:v>
                      </c:pt>
                      <c:pt idx="21">
                        <c:v>0.14000000000000001</c:v>
                      </c:pt>
                      <c:pt idx="22">
                        <c:v>0.36</c:v>
                      </c:pt>
                      <c:pt idx="23">
                        <c:v>0.21</c:v>
                      </c:pt>
                      <c:pt idx="24">
                        <c:v>0.08</c:v>
                      </c:pt>
                      <c:pt idx="25">
                        <c:v>0.21</c:v>
                      </c:pt>
                      <c:pt idx="26">
                        <c:v>0.15</c:v>
                      </c:pt>
                      <c:pt idx="27">
                        <c:v>0.36</c:v>
                      </c:pt>
                    </c:numCache>
                  </c:numRef>
                </c:val>
                <c:extLst>
                  <c:ext xmlns:c16="http://schemas.microsoft.com/office/drawing/2014/chart" uri="{C3380CC4-5D6E-409C-BE32-E72D297353CC}">
                    <c16:uniqueId val="{00000005-A2D0-492E-9952-40FE8A46C7A0}"/>
                  </c:ext>
                </c:extLst>
              </c15:ser>
            </c15:filteredBarSeries>
            <c15:filteredBarSeries>
              <c15:ser>
                <c:idx val="9"/>
                <c:order val="3"/>
                <c:tx>
                  <c:strRef>
                    <c:extLst xmlns:c15="http://schemas.microsoft.com/office/drawing/2012/chart">
                      <c:ext xmlns:c15="http://schemas.microsoft.com/office/drawing/2012/chart" uri="{02D57815-91ED-43cb-92C2-25804820EDAC}">
                        <c15:formulaRef>
                          <c15:sqref>'S0 EU Serbia'!$L$2</c15:sqref>
                        </c15:formulaRef>
                      </c:ext>
                    </c:extLst>
                    <c:strCache>
                      <c:ptCount val="1"/>
                      <c:pt idx="0">
                        <c:v>S0
 2016</c:v>
                      </c:pt>
                    </c:strCache>
                  </c:strRef>
                </c:tx>
                <c:spPr>
                  <a:solidFill>
                    <a:srgbClr val="7030A0"/>
                  </a:solidFill>
                  <a:ln>
                    <a:noFill/>
                  </a:ln>
                  <a:effectLst/>
                </c:spPr>
                <c:invertIfNegative val="0"/>
                <c:dPt>
                  <c:idx val="16"/>
                  <c:invertIfNegative val="0"/>
                  <c:bubble3D val="0"/>
                  <c:spPr>
                    <a:solidFill>
                      <a:srgbClr val="7F7F7F"/>
                    </a:solidFill>
                    <a:ln>
                      <a:noFill/>
                    </a:ln>
                    <a:effectLst/>
                  </c:spPr>
                  <c:extLst xmlns:c15="http://schemas.microsoft.com/office/drawing/2012/chart">
                    <c:ext xmlns:c16="http://schemas.microsoft.com/office/drawing/2014/chart" uri="{C3380CC4-5D6E-409C-BE32-E72D297353CC}">
                      <c16:uniqueId val="{00000007-A2D0-492E-9952-40FE8A46C7A0}"/>
                    </c:ext>
                  </c:extLst>
                </c:dPt>
                <c:cat>
                  <c:strRef>
                    <c:extLst xmlns:c15="http://schemas.microsoft.com/office/drawing/2012/chart">
                      <c:ext xmlns:c15="http://schemas.microsoft.com/office/drawing/2012/chart" uri="{02D57815-91ED-43cb-92C2-25804820EDAC}">
                        <c15:formulaRef>
                          <c15:sqref>'S0 EU Serbia'!$A$3:$A$31</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Serbia'!$L$3:$L$31</c15:sqref>
                        </c15:formulaRef>
                      </c:ext>
                    </c:extLst>
                    <c:numCache>
                      <c:formatCode>#.000</c:formatCode>
                      <c:ptCount val="29"/>
                      <c:pt idx="0">
                        <c:v>0.15</c:v>
                      </c:pt>
                      <c:pt idx="1">
                        <c:v>0.42</c:v>
                      </c:pt>
                      <c:pt idx="2">
                        <c:v>0.28000000000000003</c:v>
                      </c:pt>
                      <c:pt idx="3">
                        <c:v>0.19</c:v>
                      </c:pt>
                      <c:pt idx="4">
                        <c:v>0.18</c:v>
                      </c:pt>
                      <c:pt idx="5">
                        <c:v>0.41</c:v>
                      </c:pt>
                      <c:pt idx="6">
                        <c:v>0.19</c:v>
                      </c:pt>
                      <c:pt idx="7">
                        <c:v>0.25</c:v>
                      </c:pt>
                      <c:pt idx="8">
                        <c:v>0.22</c:v>
                      </c:pt>
                      <c:pt idx="9">
                        <c:v>0.31</c:v>
                      </c:pt>
                      <c:pt idx="10">
                        <c:v>0.08</c:v>
                      </c:pt>
                      <c:pt idx="11">
                        <c:v>0.31</c:v>
                      </c:pt>
                      <c:pt idx="12">
                        <c:v>0.28000000000000003</c:v>
                      </c:pt>
                      <c:pt idx="13">
                        <c:v>0.42</c:v>
                      </c:pt>
                      <c:pt idx="14">
                        <c:v>0.28999999999999998</c:v>
                      </c:pt>
                      <c:pt idx="15">
                        <c:v>0.21</c:v>
                      </c:pt>
                      <c:pt idx="16">
                        <c:v>0.28999999999999998</c:v>
                      </c:pt>
                      <c:pt idx="17">
                        <c:v>0.15</c:v>
                      </c:pt>
                      <c:pt idx="18">
                        <c:v>0.2</c:v>
                      </c:pt>
                      <c:pt idx="19">
                        <c:v>0.28999999999999998</c:v>
                      </c:pt>
                      <c:pt idx="20">
                        <c:v>0.41</c:v>
                      </c:pt>
                      <c:pt idx="21">
                        <c:v>0.26</c:v>
                      </c:pt>
                      <c:pt idx="22">
                        <c:v>0.19161676646706588</c:v>
                      </c:pt>
                      <c:pt idx="23">
                        <c:v>0.34</c:v>
                      </c:pt>
                      <c:pt idx="24">
                        <c:v>0.14000000000000001</c:v>
                      </c:pt>
                      <c:pt idx="25">
                        <c:v>0.37</c:v>
                      </c:pt>
                      <c:pt idx="26">
                        <c:v>0.12</c:v>
                      </c:pt>
                      <c:pt idx="27">
                        <c:v>0.41</c:v>
                      </c:pt>
                    </c:numCache>
                  </c:numRef>
                </c:val>
                <c:extLst xmlns:c15="http://schemas.microsoft.com/office/drawing/2012/chart">
                  <c:ext xmlns:c16="http://schemas.microsoft.com/office/drawing/2014/chart" uri="{C3380CC4-5D6E-409C-BE32-E72D297353CC}">
                    <c16:uniqueId val="{00000008-A2D0-492E-9952-40FE8A46C7A0}"/>
                  </c:ext>
                </c:extLst>
              </c15:ser>
            </c15:filteredBarSeries>
            <c15:filteredBarSeries>
              <c15:ser>
                <c:idx val="0"/>
                <c:order val="4"/>
                <c:tx>
                  <c:strRef>
                    <c:extLst xmlns:c15="http://schemas.microsoft.com/office/drawing/2012/chart">
                      <c:ext xmlns:c15="http://schemas.microsoft.com/office/drawing/2012/chart" uri="{02D57815-91ED-43cb-92C2-25804820EDAC}">
                        <c15:formulaRef>
                          <c15:sqref>'S0 EU Serbia'!$O$2</c15:sqref>
                        </c15:formulaRef>
                      </c:ext>
                    </c:extLst>
                    <c:strCache>
                      <c:ptCount val="1"/>
                      <c:pt idx="0">
                        <c:v>S0 2017</c:v>
                      </c:pt>
                    </c:strCache>
                  </c:strRef>
                </c:tx>
                <c:spPr>
                  <a:solidFill>
                    <a:schemeClr val="accent1"/>
                  </a:solidFill>
                  <a:ln>
                    <a:noFill/>
                  </a:ln>
                  <a:effectLst/>
                </c:spPr>
                <c:invertIfNegative val="0"/>
                <c:cat>
                  <c:strRef>
                    <c:extLst xmlns:c15="http://schemas.microsoft.com/office/drawing/2012/chart">
                      <c:ext xmlns:c15="http://schemas.microsoft.com/office/drawing/2012/chart" uri="{02D57815-91ED-43cb-92C2-25804820EDAC}">
                        <c15:formulaRef>
                          <c15:sqref>'S0 EU Serbia'!$A$3:$A$30</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Serbia'!$O$3:$O$30</c15:sqref>
                        </c15:formulaRef>
                      </c:ext>
                    </c:extLst>
                    <c:numCache>
                      <c:formatCode>#.000</c:formatCode>
                      <c:ptCount val="28"/>
                      <c:pt idx="0">
                        <c:v>7.0000000000000007E-2</c:v>
                      </c:pt>
                      <c:pt idx="1">
                        <c:v>0.35</c:v>
                      </c:pt>
                      <c:pt idx="2">
                        <c:v>0.25</c:v>
                      </c:pt>
                      <c:pt idx="3">
                        <c:v>0.19</c:v>
                      </c:pt>
                      <c:pt idx="4">
                        <c:v>0.2</c:v>
                      </c:pt>
                      <c:pt idx="5">
                        <c:v>0.44</c:v>
                      </c:pt>
                      <c:pt idx="6">
                        <c:v>0.3</c:v>
                      </c:pt>
                      <c:pt idx="7">
                        <c:v>0.2</c:v>
                      </c:pt>
                      <c:pt idx="8">
                        <c:v>0.1</c:v>
                      </c:pt>
                      <c:pt idx="9">
                        <c:v>0.24</c:v>
                      </c:pt>
                      <c:pt idx="10">
                        <c:v>0.08</c:v>
                      </c:pt>
                      <c:pt idx="11">
                        <c:v>0.39</c:v>
                      </c:pt>
                      <c:pt idx="12">
                        <c:v>0.28000000000000003</c:v>
                      </c:pt>
                      <c:pt idx="13">
                        <c:v>0.36</c:v>
                      </c:pt>
                      <c:pt idx="14">
                        <c:v>0.24</c:v>
                      </c:pt>
                      <c:pt idx="15">
                        <c:v>0.21</c:v>
                      </c:pt>
                      <c:pt idx="16">
                        <c:v>0.12</c:v>
                      </c:pt>
                      <c:pt idx="17">
                        <c:v>0.05</c:v>
                      </c:pt>
                      <c:pt idx="18">
                        <c:v>0.2</c:v>
                      </c:pt>
                      <c:pt idx="19">
                        <c:v>0.25</c:v>
                      </c:pt>
                      <c:pt idx="20">
                        <c:v>0.36</c:v>
                      </c:pt>
                      <c:pt idx="21">
                        <c:v>0.2</c:v>
                      </c:pt>
                      <c:pt idx="22">
                        <c:v>0.17745302713987476</c:v>
                      </c:pt>
                      <c:pt idx="23">
                        <c:v>0.3</c:v>
                      </c:pt>
                      <c:pt idx="24">
                        <c:v>0.13</c:v>
                      </c:pt>
                      <c:pt idx="25">
                        <c:v>0.37</c:v>
                      </c:pt>
                      <c:pt idx="26">
                        <c:v>0.12</c:v>
                      </c:pt>
                      <c:pt idx="27">
                        <c:v>0.42</c:v>
                      </c:pt>
                    </c:numCache>
                  </c:numRef>
                </c:val>
                <c:extLst xmlns:c15="http://schemas.microsoft.com/office/drawing/2012/chart">
                  <c:ext xmlns:c16="http://schemas.microsoft.com/office/drawing/2014/chart" uri="{C3380CC4-5D6E-409C-BE32-E72D297353CC}">
                    <c16:uniqueId val="{00000009-A2D0-492E-9952-40FE8A46C7A0}"/>
                  </c:ext>
                </c:extLst>
              </c15:ser>
            </c15:filteredBarSeries>
            <c15:filteredBarSeries>
              <c15:ser>
                <c:idx val="1"/>
                <c:order val="5"/>
                <c:tx>
                  <c:strRef>
                    <c:extLst xmlns:c15="http://schemas.microsoft.com/office/drawing/2012/chart">
                      <c:ext xmlns:c15="http://schemas.microsoft.com/office/drawing/2012/chart" uri="{02D57815-91ED-43cb-92C2-25804820EDAC}">
                        <c15:formulaRef>
                          <c15:sqref>'S0 EU Serbia'!$R$2</c15:sqref>
                        </c15:formulaRef>
                      </c:ext>
                    </c:extLst>
                    <c:strCache>
                      <c:ptCount val="1"/>
                      <c:pt idx="0">
                        <c:v>S0 2018</c:v>
                      </c:pt>
                    </c:strCache>
                  </c:strRef>
                </c:tx>
                <c:spPr>
                  <a:solidFill>
                    <a:srgbClr val="7030A0"/>
                  </a:solidFill>
                  <a:ln>
                    <a:noFill/>
                  </a:ln>
                  <a:effectLst/>
                </c:spPr>
                <c:invertIfNegative val="0"/>
                <c:cat>
                  <c:strRef>
                    <c:extLst xmlns:c15="http://schemas.microsoft.com/office/drawing/2012/chart">
                      <c:ext xmlns:c15="http://schemas.microsoft.com/office/drawing/2012/chart" uri="{02D57815-91ED-43cb-92C2-25804820EDAC}">
                        <c15:formulaRef>
                          <c15:sqref>'S0 EU Serbia'!$A$3:$A$30</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Serbia'!$R$3:$R$30</c15:sqref>
                        </c15:formulaRef>
                      </c:ext>
                    </c:extLst>
                    <c:numCache>
                      <c:formatCode>#.000</c:formatCode>
                      <c:ptCount val="28"/>
                      <c:pt idx="0">
                        <c:v>0.03</c:v>
                      </c:pt>
                      <c:pt idx="1">
                        <c:v>0.22</c:v>
                      </c:pt>
                      <c:pt idx="2">
                        <c:v>0.19</c:v>
                      </c:pt>
                      <c:pt idx="3">
                        <c:v>0.18</c:v>
                      </c:pt>
                      <c:pt idx="4">
                        <c:v>0.24</c:v>
                      </c:pt>
                      <c:pt idx="5">
                        <c:v>0.46</c:v>
                      </c:pt>
                      <c:pt idx="6">
                        <c:v>0.12</c:v>
                      </c:pt>
                      <c:pt idx="7">
                        <c:v>0.17</c:v>
                      </c:pt>
                      <c:pt idx="8">
                        <c:v>0.14000000000000001</c:v>
                      </c:pt>
                      <c:pt idx="9">
                        <c:v>0.28999999999999998</c:v>
                      </c:pt>
                      <c:pt idx="10">
                        <c:v>0</c:v>
                      </c:pt>
                      <c:pt idx="11">
                        <c:v>0.34</c:v>
                      </c:pt>
                      <c:pt idx="12">
                        <c:v>0.21</c:v>
                      </c:pt>
                      <c:pt idx="13">
                        <c:v>0.36</c:v>
                      </c:pt>
                      <c:pt idx="14">
                        <c:v>0.24</c:v>
                      </c:pt>
                      <c:pt idx="15">
                        <c:v>0.21</c:v>
                      </c:pt>
                      <c:pt idx="16">
                        <c:v>0.12</c:v>
                      </c:pt>
                      <c:pt idx="17">
                        <c:v>0.06</c:v>
                      </c:pt>
                      <c:pt idx="18">
                        <c:v>0.08</c:v>
                      </c:pt>
                      <c:pt idx="19">
                        <c:v>0.18</c:v>
                      </c:pt>
                      <c:pt idx="20">
                        <c:v>0.33</c:v>
                      </c:pt>
                      <c:pt idx="21">
                        <c:v>0.3</c:v>
                      </c:pt>
                      <c:pt idx="22">
                        <c:v>0.17745302713987476</c:v>
                      </c:pt>
                      <c:pt idx="23">
                        <c:v>0.27</c:v>
                      </c:pt>
                      <c:pt idx="24">
                        <c:v>0.13</c:v>
                      </c:pt>
                      <c:pt idx="25">
                        <c:v>0.37</c:v>
                      </c:pt>
                      <c:pt idx="26">
                        <c:v>0.2</c:v>
                      </c:pt>
                      <c:pt idx="27">
                        <c:v>0.42</c:v>
                      </c:pt>
                    </c:numCache>
                  </c:numRef>
                </c:val>
                <c:extLst xmlns:c15="http://schemas.microsoft.com/office/drawing/2012/chart">
                  <c:ext xmlns:c16="http://schemas.microsoft.com/office/drawing/2014/chart" uri="{C3380CC4-5D6E-409C-BE32-E72D297353CC}">
                    <c16:uniqueId val="{0000000A-A2D0-492E-9952-40FE8A46C7A0}"/>
                  </c:ext>
                </c:extLst>
              </c15:ser>
            </c15:filteredBarSeries>
            <c15:filteredBarSeries>
              <c15:ser>
                <c:idx val="4"/>
                <c:order val="6"/>
                <c:tx>
                  <c:strRef>
                    <c:extLst xmlns:c15="http://schemas.microsoft.com/office/drawing/2012/chart">
                      <c:ext xmlns:c15="http://schemas.microsoft.com/office/drawing/2012/chart" uri="{02D57815-91ED-43cb-92C2-25804820EDAC}">
                        <c15:formulaRef>
                          <c15:sqref>'S0 EU Serbia'!$U$2</c15:sqref>
                        </c15:formulaRef>
                      </c:ext>
                    </c:extLst>
                    <c:strCache>
                      <c:ptCount val="1"/>
                      <c:pt idx="0">
                        <c:v>S0 2019</c:v>
                      </c:pt>
                    </c:strCache>
                  </c:strRef>
                </c:tx>
                <c:spPr>
                  <a:solidFill>
                    <a:schemeClr val="accent5"/>
                  </a:solidFill>
                  <a:ln>
                    <a:noFill/>
                  </a:ln>
                  <a:effectLst/>
                </c:spPr>
                <c:invertIfNegative val="0"/>
                <c:val>
                  <c:numRef>
                    <c:extLst xmlns:c15="http://schemas.microsoft.com/office/drawing/2012/chart">
                      <c:ext xmlns:c15="http://schemas.microsoft.com/office/drawing/2012/chart" uri="{02D57815-91ED-43cb-92C2-25804820EDAC}">
                        <c15:formulaRef>
                          <c15:sqref>'S0 EU Serbia'!$U$3:$U$29</c15:sqref>
                        </c15:formulaRef>
                      </c:ext>
                    </c:extLst>
                    <c:numCache>
                      <c:formatCode>#.000</c:formatCode>
                      <c:ptCount val="27"/>
                      <c:pt idx="0">
                        <c:v>0.1</c:v>
                      </c:pt>
                      <c:pt idx="1">
                        <c:v>0.17</c:v>
                      </c:pt>
                      <c:pt idx="2">
                        <c:v>0.21</c:v>
                      </c:pt>
                      <c:pt idx="3">
                        <c:v>0.22</c:v>
                      </c:pt>
                      <c:pt idx="4">
                        <c:v>0.24</c:v>
                      </c:pt>
                      <c:pt idx="5">
                        <c:v>0.45</c:v>
                      </c:pt>
                      <c:pt idx="6">
                        <c:v>0.2</c:v>
                      </c:pt>
                      <c:pt idx="7">
                        <c:v>0.2</c:v>
                      </c:pt>
                      <c:pt idx="8">
                        <c:v>0.26</c:v>
                      </c:pt>
                      <c:pt idx="9">
                        <c:v>0.36</c:v>
                      </c:pt>
                      <c:pt idx="10">
                        <c:v>0.08</c:v>
                      </c:pt>
                      <c:pt idx="11">
                        <c:v>0.28999999999999998</c:v>
                      </c:pt>
                      <c:pt idx="12">
                        <c:v>0.14000000000000001</c:v>
                      </c:pt>
                      <c:pt idx="13">
                        <c:v>0.33</c:v>
                      </c:pt>
                      <c:pt idx="14">
                        <c:v>0.24</c:v>
                      </c:pt>
                      <c:pt idx="15">
                        <c:v>0.21</c:v>
                      </c:pt>
                      <c:pt idx="16">
                        <c:v>0.19</c:v>
                      </c:pt>
                      <c:pt idx="17">
                        <c:v>0.06</c:v>
                      </c:pt>
                      <c:pt idx="18">
                        <c:v>0.16</c:v>
                      </c:pt>
                      <c:pt idx="19">
                        <c:v>0.26</c:v>
                      </c:pt>
                      <c:pt idx="20">
                        <c:v>0.33</c:v>
                      </c:pt>
                      <c:pt idx="21">
                        <c:v>0.37</c:v>
                      </c:pt>
                      <c:pt idx="22">
                        <c:v>0.17745302713987476</c:v>
                      </c:pt>
                      <c:pt idx="23">
                        <c:v>0.27</c:v>
                      </c:pt>
                      <c:pt idx="24">
                        <c:v>0.05</c:v>
                      </c:pt>
                      <c:pt idx="25">
                        <c:v>0.37</c:v>
                      </c:pt>
                      <c:pt idx="26">
                        <c:v>0.24</c:v>
                      </c:pt>
                    </c:numCache>
                  </c:numRef>
                </c:val>
                <c:extLst xmlns:c15="http://schemas.microsoft.com/office/drawing/2012/chart">
                  <c:ext xmlns:c16="http://schemas.microsoft.com/office/drawing/2014/chart" uri="{C3380CC4-5D6E-409C-BE32-E72D297353CC}">
                    <c16:uniqueId val="{0000000B-A2D0-492E-9952-40FE8A46C7A0}"/>
                  </c:ext>
                </c:extLst>
              </c15:ser>
            </c15:filteredBarSeries>
          </c:ext>
        </c:extLst>
      </c:barChart>
      <c:lineChart>
        <c:grouping val="standard"/>
        <c:varyColors val="0"/>
        <c:ser>
          <c:idx val="2"/>
          <c:order val="0"/>
          <c:tx>
            <c:strRef>
              <c:f>'S0 EU Serbia'!$E$1</c:f>
              <c:strCache>
                <c:ptCount val="1"/>
                <c:pt idx="0">
                  <c:v>S0 праг</c:v>
                </c:pt>
              </c:strCache>
            </c:strRef>
          </c:tx>
          <c:spPr>
            <a:ln w="22225" cap="rnd">
              <a:solidFill>
                <a:schemeClr val="tx1"/>
              </a:solidFill>
              <a:prstDash val="dash"/>
              <a:round/>
            </a:ln>
            <a:effectLst/>
          </c:spPr>
          <c:marker>
            <c:symbol val="none"/>
          </c:marker>
          <c:dLbls>
            <c:dLbl>
              <c:idx val="15"/>
              <c:layout>
                <c:manualLayout>
                  <c:x val="-2.5343339842620423E-3"/>
                  <c:y val="-9.65645311049210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2D0-492E-9952-40FE8A46C7A0}"/>
                </c:ext>
              </c:extLst>
            </c:dLbl>
            <c:numFmt formatCode="#,##0.00" sourceLinked="0"/>
            <c:spPr>
              <a:noFill/>
              <a:ln>
                <a:noFill/>
              </a:ln>
              <a:effectLst/>
            </c:spPr>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'S0 EU Serbia'!$A$3:$A$29</c:f>
              <c:strCache>
                <c:ptCount val="27"/>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strCache>
            </c:strRef>
          </c:cat>
          <c:val>
            <c:numRef>
              <c:f>'S0 EU Serbia'!$E$3:$E$29</c:f>
              <c:numCache>
                <c:formatCode>#.000</c:formatCode>
                <c:ptCount val="27"/>
                <c:pt idx="0">
                  <c:v>0.46</c:v>
                </c:pt>
                <c:pt idx="1">
                  <c:v>0.46</c:v>
                </c:pt>
                <c:pt idx="2">
                  <c:v>0.46</c:v>
                </c:pt>
                <c:pt idx="3">
                  <c:v>0.46</c:v>
                </c:pt>
                <c:pt idx="4">
                  <c:v>0.46</c:v>
                </c:pt>
                <c:pt idx="5">
                  <c:v>0.46</c:v>
                </c:pt>
                <c:pt idx="6">
                  <c:v>0.46</c:v>
                </c:pt>
                <c:pt idx="7">
                  <c:v>0.46</c:v>
                </c:pt>
                <c:pt idx="8">
                  <c:v>0.46</c:v>
                </c:pt>
                <c:pt idx="9">
                  <c:v>0.46</c:v>
                </c:pt>
                <c:pt idx="10">
                  <c:v>0.46</c:v>
                </c:pt>
                <c:pt idx="11">
                  <c:v>0.46</c:v>
                </c:pt>
                <c:pt idx="12">
                  <c:v>0.46</c:v>
                </c:pt>
                <c:pt idx="13">
                  <c:v>0.46</c:v>
                </c:pt>
                <c:pt idx="14">
                  <c:v>0.46</c:v>
                </c:pt>
                <c:pt idx="15">
                  <c:v>0.46</c:v>
                </c:pt>
                <c:pt idx="16">
                  <c:v>0.46</c:v>
                </c:pt>
                <c:pt idx="17">
                  <c:v>0.46</c:v>
                </c:pt>
                <c:pt idx="18">
                  <c:v>0.46</c:v>
                </c:pt>
                <c:pt idx="19">
                  <c:v>0.46</c:v>
                </c:pt>
                <c:pt idx="20">
                  <c:v>0.46</c:v>
                </c:pt>
                <c:pt idx="21">
                  <c:v>0.46</c:v>
                </c:pt>
                <c:pt idx="22">
                  <c:v>0.46</c:v>
                </c:pt>
                <c:pt idx="23">
                  <c:v>0.46</c:v>
                </c:pt>
                <c:pt idx="24">
                  <c:v>0.46</c:v>
                </c:pt>
                <c:pt idx="25">
                  <c:v>0.46</c:v>
                </c:pt>
                <c:pt idx="26">
                  <c:v>0.46</c:v>
                </c:pt>
              </c:numCache>
            </c:numRef>
          </c:val>
          <c:smooth val="0"/>
          <c:extLst>
            <c:ext xmlns:c16="http://schemas.microsoft.com/office/drawing/2014/chart" uri="{C3380CC4-5D6E-409C-BE32-E72D297353CC}">
              <c16:uniqueId val="{00000004-A2D0-492E-9952-40FE8A46C7A0}"/>
            </c:ext>
          </c:extLst>
        </c:ser>
        <c:dLbls>
          <c:showLegendKey val="0"/>
          <c:showVal val="0"/>
          <c:showCatName val="0"/>
          <c:showSerName val="0"/>
          <c:showPercent val="0"/>
          <c:showBubbleSize val="0"/>
        </c:dLbls>
        <c:marker val="1"/>
        <c:smooth val="0"/>
        <c:axId val="-486950096"/>
        <c:axId val="-486949552"/>
      </c:lineChart>
      <c:catAx>
        <c:axId val="-486950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rgbClr val="44546A"/>
                </a:solidFill>
                <a:latin typeface="+mn-lt"/>
                <a:ea typeface="+mn-ea"/>
                <a:cs typeface="+mn-cs"/>
              </a:defRPr>
            </a:pPr>
            <a:endParaRPr lang="sr-Latn-RS"/>
          </a:p>
        </c:txPr>
        <c:crossAx val="-486949552"/>
        <c:crosses val="autoZero"/>
        <c:auto val="1"/>
        <c:lblAlgn val="ctr"/>
        <c:lblOffset val="100"/>
        <c:noMultiLvlLbl val="0"/>
      </c:catAx>
      <c:valAx>
        <c:axId val="-486949552"/>
        <c:scaling>
          <c:orientation val="minMax"/>
          <c:max val="0.9"/>
          <c:min val="0"/>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crossAx val="-4869500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sz="900">
          <a:latin typeface="+mn-lt"/>
        </a:defRPr>
      </a:pPr>
      <a:endParaRPr lang="sr-Latn-RS"/>
    </a:p>
  </c:txPr>
  <c:externalData r:id="rId4">
    <c:autoUpdate val="0"/>
  </c:externalData>
  <c:userShapes r:id="rId5"/>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00" b="1" i="0" u="none" strike="noStrike" kern="1200" spc="0" baseline="0">
                <a:solidFill>
                  <a:srgbClr val="002060"/>
                </a:solidFill>
                <a:latin typeface="+mn-lt"/>
                <a:ea typeface="+mn-ea"/>
                <a:cs typeface="+mn-cs"/>
              </a:defRPr>
            </a:pPr>
            <a:r>
              <a:rPr lang="sr-Cyrl-RS" sz="900" b="1" i="0" u="none" strike="noStrike" baseline="0">
                <a:solidFill>
                  <a:srgbClr val="002060"/>
                </a:solidFill>
                <a:effectLst/>
                <a:latin typeface="+mn-lt"/>
              </a:rPr>
              <a:t>Фискални подиндекс и подиндекс макро-финансијске конкурентности за земље ЕУ и Србију за 20</a:t>
            </a:r>
            <a:r>
              <a:rPr lang="sr-Latn-RS" sz="900" b="1" i="0" u="none" strike="noStrike" baseline="0">
                <a:solidFill>
                  <a:srgbClr val="002060"/>
                </a:solidFill>
                <a:effectLst/>
                <a:latin typeface="+mn-lt"/>
              </a:rPr>
              <a:t>22.</a:t>
            </a:r>
            <a:r>
              <a:rPr lang="sr-Cyrl-RS" sz="900" b="1" i="0" u="none" strike="noStrike" baseline="0">
                <a:solidFill>
                  <a:srgbClr val="002060"/>
                </a:solidFill>
                <a:effectLst/>
                <a:latin typeface="+mn-lt"/>
              </a:rPr>
              <a:t> годину</a:t>
            </a:r>
            <a:endParaRPr lang="en-US" sz="900" b="1">
              <a:solidFill>
                <a:srgbClr val="002060"/>
              </a:solidFill>
              <a:latin typeface="+mn-lt"/>
            </a:endParaRPr>
          </a:p>
        </c:rich>
      </c:tx>
      <c:layout>
        <c:manualLayout>
          <c:xMode val="edge"/>
          <c:yMode val="edge"/>
          <c:x val="0.13292435361879323"/>
          <c:y val="0"/>
        </c:manualLayout>
      </c:layout>
      <c:overlay val="0"/>
      <c:spPr>
        <a:noFill/>
        <a:ln>
          <a:noFill/>
        </a:ln>
        <a:effectLst/>
      </c:spPr>
      <c:txPr>
        <a:bodyPr rot="0" spcFirstLastPara="1" vertOverflow="ellipsis" vert="horz" wrap="square" anchor="ctr" anchorCtr="1"/>
        <a:lstStyle/>
        <a:p>
          <a:pPr>
            <a:defRPr sz="900" b="1" i="0" u="none" strike="noStrike" kern="1200" spc="0" baseline="0">
              <a:solidFill>
                <a:srgbClr val="002060"/>
              </a:solidFill>
              <a:latin typeface="+mn-lt"/>
              <a:ea typeface="+mn-ea"/>
              <a:cs typeface="+mn-cs"/>
            </a:defRPr>
          </a:pPr>
          <a:endParaRPr lang="sr-Latn-RS"/>
        </a:p>
      </c:txPr>
    </c:title>
    <c:autoTitleDeleted val="0"/>
    <c:plotArea>
      <c:layout>
        <c:manualLayout>
          <c:layoutTarget val="inner"/>
          <c:xMode val="edge"/>
          <c:yMode val="edge"/>
          <c:x val="0.13516977778658723"/>
          <c:y val="0.1075637224820004"/>
          <c:w val="0.80990041443057503"/>
          <c:h val="0.81333285058353966"/>
        </c:manualLayout>
      </c:layout>
      <c:scatterChart>
        <c:scatterStyle val="smoothMarker"/>
        <c:varyColors val="0"/>
        <c:ser>
          <c:idx val="1"/>
          <c:order val="1"/>
          <c:tx>
            <c:v>Prag fiskalnog podindeksa</c:v>
          </c:tx>
          <c:spPr>
            <a:ln w="12700" cap="rnd">
              <a:solidFill>
                <a:srgbClr val="7030A0"/>
              </a:solidFill>
              <a:round/>
            </a:ln>
            <a:effectLst/>
          </c:spPr>
          <c:marker>
            <c:symbol val="none"/>
          </c:marker>
          <c:xVal>
            <c:numRef>
              <c:f>'2022'!$F$4:$F$31</c:f>
              <c:numCache>
                <c:formatCode>#.000</c:formatCode>
                <c:ptCount val="28"/>
                <c:pt idx="0">
                  <c:v>0.36</c:v>
                </c:pt>
                <c:pt idx="1">
                  <c:v>0.36</c:v>
                </c:pt>
                <c:pt idx="2">
                  <c:v>0.36</c:v>
                </c:pt>
                <c:pt idx="3">
                  <c:v>0.36</c:v>
                </c:pt>
                <c:pt idx="4">
                  <c:v>0.36</c:v>
                </c:pt>
                <c:pt idx="5">
                  <c:v>0.36</c:v>
                </c:pt>
                <c:pt idx="6">
                  <c:v>0.36</c:v>
                </c:pt>
                <c:pt idx="7">
                  <c:v>0.36</c:v>
                </c:pt>
                <c:pt idx="8">
                  <c:v>0.36</c:v>
                </c:pt>
                <c:pt idx="9">
                  <c:v>0.36</c:v>
                </c:pt>
                <c:pt idx="10">
                  <c:v>0.36</c:v>
                </c:pt>
                <c:pt idx="11">
                  <c:v>0.36</c:v>
                </c:pt>
                <c:pt idx="12">
                  <c:v>0.36</c:v>
                </c:pt>
                <c:pt idx="13">
                  <c:v>0.36</c:v>
                </c:pt>
                <c:pt idx="14">
                  <c:v>0.36</c:v>
                </c:pt>
                <c:pt idx="15">
                  <c:v>0.36</c:v>
                </c:pt>
                <c:pt idx="16">
                  <c:v>0.36</c:v>
                </c:pt>
                <c:pt idx="17">
                  <c:v>0.36</c:v>
                </c:pt>
                <c:pt idx="18">
                  <c:v>0.36</c:v>
                </c:pt>
                <c:pt idx="19">
                  <c:v>0.36</c:v>
                </c:pt>
                <c:pt idx="20">
                  <c:v>0.36</c:v>
                </c:pt>
                <c:pt idx="21">
                  <c:v>0.36</c:v>
                </c:pt>
                <c:pt idx="22">
                  <c:v>0.36</c:v>
                </c:pt>
                <c:pt idx="23">
                  <c:v>0.36</c:v>
                </c:pt>
                <c:pt idx="24">
                  <c:v>0.36</c:v>
                </c:pt>
                <c:pt idx="25">
                  <c:v>0.36</c:v>
                </c:pt>
                <c:pt idx="26">
                  <c:v>0.36</c:v>
                </c:pt>
                <c:pt idx="27">
                  <c:v>0.36</c:v>
                </c:pt>
              </c:numCache>
            </c:numRef>
          </c:xVal>
          <c:yVal>
            <c:numRef>
              <c:f>'2022'!$G$4:$G$31</c:f>
              <c:numCache>
                <c:formatCode>#.000</c:formatCode>
                <c:ptCount val="28"/>
                <c:pt idx="0">
                  <c:v>0</c:v>
                </c:pt>
                <c:pt idx="1">
                  <c:v>2.2222222222222223E-2</c:v>
                </c:pt>
                <c:pt idx="2">
                  <c:v>4.4444444444444446E-2</c:v>
                </c:pt>
                <c:pt idx="3">
                  <c:v>6.6666666666666666E-2</c:v>
                </c:pt>
                <c:pt idx="4">
                  <c:v>8.8888888888888892E-2</c:v>
                </c:pt>
                <c:pt idx="5">
                  <c:v>0.11111111111111112</c:v>
                </c:pt>
                <c:pt idx="6">
                  <c:v>0.13333333333333333</c:v>
                </c:pt>
                <c:pt idx="7">
                  <c:v>0.15555555555555556</c:v>
                </c:pt>
                <c:pt idx="8">
                  <c:v>0.17777777777777778</c:v>
                </c:pt>
                <c:pt idx="9">
                  <c:v>0.2</c:v>
                </c:pt>
                <c:pt idx="10">
                  <c:v>0.22222222222222224</c:v>
                </c:pt>
                <c:pt idx="11">
                  <c:v>0.24444444444444446</c:v>
                </c:pt>
                <c:pt idx="12">
                  <c:v>0.26666666666666666</c:v>
                </c:pt>
                <c:pt idx="13">
                  <c:v>0.28888888888888886</c:v>
                </c:pt>
                <c:pt idx="14">
                  <c:v>0.31111111111111106</c:v>
                </c:pt>
                <c:pt idx="15">
                  <c:v>0.33333333333333326</c:v>
                </c:pt>
                <c:pt idx="16">
                  <c:v>0.35555555555555546</c:v>
                </c:pt>
                <c:pt idx="17">
                  <c:v>0.37777777777777766</c:v>
                </c:pt>
                <c:pt idx="18">
                  <c:v>0.39999999999999986</c:v>
                </c:pt>
                <c:pt idx="19">
                  <c:v>0.42222222222222205</c:v>
                </c:pt>
                <c:pt idx="20">
                  <c:v>0.44444444444444425</c:v>
                </c:pt>
                <c:pt idx="21">
                  <c:v>0.46666666666666645</c:v>
                </c:pt>
                <c:pt idx="22">
                  <c:v>0.48888888888888865</c:v>
                </c:pt>
                <c:pt idx="23">
                  <c:v>0.51111111111111085</c:v>
                </c:pt>
                <c:pt idx="24">
                  <c:v>0.5333333333333331</c:v>
                </c:pt>
                <c:pt idx="25">
                  <c:v>0.55555555555555536</c:v>
                </c:pt>
                <c:pt idx="26">
                  <c:v>0.57777777777777761</c:v>
                </c:pt>
                <c:pt idx="27">
                  <c:v>0.59999999999999987</c:v>
                </c:pt>
              </c:numCache>
            </c:numRef>
          </c:yVal>
          <c:smooth val="1"/>
          <c:extLst>
            <c:ext xmlns:c16="http://schemas.microsoft.com/office/drawing/2014/chart" uri="{C3380CC4-5D6E-409C-BE32-E72D297353CC}">
              <c16:uniqueId val="{00000000-4550-407C-8E56-A3906B81264C}"/>
            </c:ext>
          </c:extLst>
        </c:ser>
        <c:ser>
          <c:idx val="2"/>
          <c:order val="2"/>
          <c:tx>
            <c:v>Prag finansijskog podindeksa</c:v>
          </c:tx>
          <c:spPr>
            <a:ln w="12700" cap="rnd">
              <a:solidFill>
                <a:srgbClr val="7030A0"/>
              </a:solidFill>
              <a:round/>
            </a:ln>
            <a:effectLst/>
          </c:spPr>
          <c:marker>
            <c:symbol val="none"/>
          </c:marker>
          <c:xVal>
            <c:numRef>
              <c:f>'2022'!$H$4:$H$31</c:f>
              <c:numCache>
                <c:formatCode>#.000</c:formatCode>
                <c:ptCount val="28"/>
                <c:pt idx="0">
                  <c:v>0</c:v>
                </c:pt>
                <c:pt idx="1">
                  <c:v>2.9629629629629631E-2</c:v>
                </c:pt>
                <c:pt idx="2">
                  <c:v>5.9259259259259262E-2</c:v>
                </c:pt>
                <c:pt idx="3">
                  <c:v>8.8888888888888892E-2</c:v>
                </c:pt>
                <c:pt idx="4">
                  <c:v>0.11851851851851852</c:v>
                </c:pt>
                <c:pt idx="5">
                  <c:v>0.14814814814814814</c:v>
                </c:pt>
                <c:pt idx="6">
                  <c:v>0.17777777777777776</c:v>
                </c:pt>
                <c:pt idx="7">
                  <c:v>0.20740740740740737</c:v>
                </c:pt>
                <c:pt idx="8">
                  <c:v>0.23703703703703699</c:v>
                </c:pt>
                <c:pt idx="9">
                  <c:v>0.26666666666666661</c:v>
                </c:pt>
                <c:pt idx="10">
                  <c:v>0.29629629629629622</c:v>
                </c:pt>
                <c:pt idx="11">
                  <c:v>0.32592592592592584</c:v>
                </c:pt>
                <c:pt idx="12">
                  <c:v>0.35555555555555546</c:v>
                </c:pt>
                <c:pt idx="13">
                  <c:v>0.38518518518518507</c:v>
                </c:pt>
                <c:pt idx="14">
                  <c:v>0.41481481481481469</c:v>
                </c:pt>
                <c:pt idx="15">
                  <c:v>0.44444444444444431</c:v>
                </c:pt>
                <c:pt idx="16">
                  <c:v>0.47407407407407393</c:v>
                </c:pt>
                <c:pt idx="17">
                  <c:v>0.50370370370370354</c:v>
                </c:pt>
                <c:pt idx="18">
                  <c:v>0.53333333333333321</c:v>
                </c:pt>
                <c:pt idx="19">
                  <c:v>0.56296296296296289</c:v>
                </c:pt>
                <c:pt idx="20">
                  <c:v>0.59259259259259256</c:v>
                </c:pt>
                <c:pt idx="21">
                  <c:v>0.62222222222222223</c:v>
                </c:pt>
                <c:pt idx="22">
                  <c:v>0.6518518518518519</c:v>
                </c:pt>
                <c:pt idx="23">
                  <c:v>0.68148148148148158</c:v>
                </c:pt>
                <c:pt idx="24">
                  <c:v>0.71111111111111125</c:v>
                </c:pt>
                <c:pt idx="25">
                  <c:v>0.74074074074074092</c:v>
                </c:pt>
                <c:pt idx="26">
                  <c:v>0.77037037037037059</c:v>
                </c:pt>
                <c:pt idx="27">
                  <c:v>0.80000000000000027</c:v>
                </c:pt>
              </c:numCache>
            </c:numRef>
          </c:xVal>
          <c:yVal>
            <c:numRef>
              <c:f>'2022'!$I$4:$I$31</c:f>
              <c:numCache>
                <c:formatCode>#.000</c:formatCode>
                <c:ptCount val="28"/>
                <c:pt idx="0">
                  <c:v>0.49</c:v>
                </c:pt>
                <c:pt idx="1">
                  <c:v>0.49</c:v>
                </c:pt>
                <c:pt idx="2">
                  <c:v>0.49</c:v>
                </c:pt>
                <c:pt idx="3">
                  <c:v>0.49</c:v>
                </c:pt>
                <c:pt idx="4">
                  <c:v>0.49</c:v>
                </c:pt>
                <c:pt idx="5">
                  <c:v>0.49</c:v>
                </c:pt>
                <c:pt idx="6">
                  <c:v>0.49</c:v>
                </c:pt>
                <c:pt idx="7">
                  <c:v>0.49</c:v>
                </c:pt>
                <c:pt idx="8">
                  <c:v>0.49</c:v>
                </c:pt>
                <c:pt idx="9">
                  <c:v>0.49</c:v>
                </c:pt>
                <c:pt idx="10">
                  <c:v>0.49</c:v>
                </c:pt>
                <c:pt idx="11">
                  <c:v>0.49</c:v>
                </c:pt>
                <c:pt idx="12">
                  <c:v>0.49</c:v>
                </c:pt>
                <c:pt idx="13">
                  <c:v>0.49</c:v>
                </c:pt>
                <c:pt idx="14">
                  <c:v>0.49</c:v>
                </c:pt>
                <c:pt idx="15">
                  <c:v>0.49</c:v>
                </c:pt>
                <c:pt idx="16">
                  <c:v>0.49</c:v>
                </c:pt>
                <c:pt idx="17">
                  <c:v>0.49</c:v>
                </c:pt>
                <c:pt idx="18">
                  <c:v>0.49</c:v>
                </c:pt>
                <c:pt idx="19">
                  <c:v>0.49</c:v>
                </c:pt>
                <c:pt idx="20">
                  <c:v>0.49</c:v>
                </c:pt>
                <c:pt idx="21">
                  <c:v>0.49</c:v>
                </c:pt>
                <c:pt idx="22">
                  <c:v>0.49</c:v>
                </c:pt>
                <c:pt idx="23">
                  <c:v>0.49</c:v>
                </c:pt>
                <c:pt idx="24">
                  <c:v>0.49</c:v>
                </c:pt>
                <c:pt idx="25">
                  <c:v>0.49</c:v>
                </c:pt>
                <c:pt idx="26">
                  <c:v>0.49</c:v>
                </c:pt>
                <c:pt idx="27">
                  <c:v>0.49</c:v>
                </c:pt>
              </c:numCache>
            </c:numRef>
          </c:yVal>
          <c:smooth val="1"/>
          <c:extLst>
            <c:ext xmlns:c16="http://schemas.microsoft.com/office/drawing/2014/chart" uri="{C3380CC4-5D6E-409C-BE32-E72D297353CC}">
              <c16:uniqueId val="{00000001-4550-407C-8E56-A3906B81264C}"/>
            </c:ext>
          </c:extLst>
        </c:ser>
        <c:dLbls>
          <c:showLegendKey val="0"/>
          <c:showVal val="0"/>
          <c:showCatName val="0"/>
          <c:showSerName val="0"/>
          <c:showPercent val="0"/>
          <c:showBubbleSize val="0"/>
        </c:dLbls>
        <c:axId val="-262788736"/>
        <c:axId val="-262793088"/>
      </c:scatterChart>
      <c:scatterChart>
        <c:scatterStyle val="lineMarker"/>
        <c:varyColors val="0"/>
        <c:ser>
          <c:idx val="0"/>
          <c:order val="0"/>
          <c:spPr>
            <a:ln w="25400" cap="rnd">
              <a:noFill/>
              <a:round/>
            </a:ln>
            <a:effectLst/>
          </c:spPr>
          <c:marker>
            <c:symbol val="circle"/>
            <c:size val="5"/>
            <c:spPr>
              <a:solidFill>
                <a:srgbClr val="5297AC"/>
              </a:solidFill>
              <a:ln w="9525">
                <a:noFill/>
              </a:ln>
              <a:effectLst/>
            </c:spPr>
          </c:marker>
          <c:dLbls>
            <c:dLbl>
              <c:idx val="0"/>
              <c:layout>
                <c:manualLayout>
                  <c:x val="-3.5948417288263687E-2"/>
                  <c:y val="3.2900160952131545E-2"/>
                </c:manualLayout>
              </c:layout>
              <c:tx>
                <c:rich>
                  <a:bodyPr/>
                  <a:lstStyle/>
                  <a:p>
                    <a:fld id="{7DD53581-5FDF-4379-B75A-B6388683BECA}"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2-4550-407C-8E56-A3906B81264C}"/>
                </c:ext>
              </c:extLst>
            </c:dLbl>
            <c:dLbl>
              <c:idx val="1"/>
              <c:layout>
                <c:manualLayout>
                  <c:x val="3.5938394891456365E-3"/>
                  <c:y val="3.0580750586474564E-2"/>
                </c:manualLayout>
              </c:layout>
              <c:tx>
                <c:rich>
                  <a:bodyPr/>
                  <a:lstStyle/>
                  <a:p>
                    <a:fld id="{C433E695-A58C-40EB-8DDC-2072846A0AB2}"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4550-407C-8E56-A3906B81264C}"/>
                </c:ext>
              </c:extLst>
            </c:dLbl>
            <c:dLbl>
              <c:idx val="2"/>
              <c:layout>
                <c:manualLayout>
                  <c:x val="1.0809429674157153E-2"/>
                  <c:y val="9.6898709679296511E-3"/>
                </c:manualLayout>
              </c:layout>
              <c:tx>
                <c:rich>
                  <a:bodyPr/>
                  <a:lstStyle/>
                  <a:p>
                    <a:fld id="{D08A57B1-C1B5-4E9F-935B-0DC1A34FAA2E}"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4-4550-407C-8E56-A3906B81264C}"/>
                </c:ext>
              </c:extLst>
            </c:dLbl>
            <c:dLbl>
              <c:idx val="3"/>
              <c:layout>
                <c:manualLayout>
                  <c:x val="6.3333549712019637E-3"/>
                  <c:y val="1.2874617493600062E-2"/>
                </c:manualLayout>
              </c:layout>
              <c:tx>
                <c:rich>
                  <a:bodyPr/>
                  <a:lstStyle/>
                  <a:p>
                    <a:fld id="{B0BA10C9-02D2-4563-BE6E-6FAE8A671FC3}"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4550-407C-8E56-A3906B81264C}"/>
                </c:ext>
              </c:extLst>
            </c:dLbl>
            <c:dLbl>
              <c:idx val="4"/>
              <c:layout>
                <c:manualLayout>
                  <c:x val="1.4810813846507072E-2"/>
                  <c:y val="4.2057146808350383E-2"/>
                </c:manualLayout>
              </c:layout>
              <c:tx>
                <c:rich>
                  <a:bodyPr/>
                  <a:lstStyle/>
                  <a:p>
                    <a:fld id="{BCBE2A3D-577C-40C6-B084-1269C6141E39}"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4550-407C-8E56-A3906B81264C}"/>
                </c:ext>
              </c:extLst>
            </c:dLbl>
            <c:dLbl>
              <c:idx val="5"/>
              <c:layout>
                <c:manualLayout>
                  <c:x val="-9.2290666309883071E-2"/>
                  <c:y val="-2.9653071631688191E-2"/>
                </c:manualLayout>
              </c:layout>
              <c:tx>
                <c:rich>
                  <a:bodyPr/>
                  <a:lstStyle/>
                  <a:p>
                    <a:fld id="{FFD0D5E7-12B8-4091-BA3A-6038B0E506AD}"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4550-407C-8E56-A3906B81264C}"/>
                </c:ext>
              </c:extLst>
            </c:dLbl>
            <c:dLbl>
              <c:idx val="6"/>
              <c:layout>
                <c:manualLayout>
                  <c:x val="-0.11183811274691988"/>
                  <c:y val="3.7915293519155333E-2"/>
                </c:manualLayout>
              </c:layout>
              <c:tx>
                <c:rich>
                  <a:bodyPr/>
                  <a:lstStyle/>
                  <a:p>
                    <a:fld id="{E3054611-295E-4C51-AD48-779BC297B65A}"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8-4550-407C-8E56-A3906B81264C}"/>
                </c:ext>
              </c:extLst>
            </c:dLbl>
            <c:dLbl>
              <c:idx val="7"/>
              <c:layout>
                <c:manualLayout>
                  <c:x val="-8.4762532436749374E-2"/>
                  <c:y val="3.7396697531359623E-2"/>
                </c:manualLayout>
              </c:layout>
              <c:tx>
                <c:rich>
                  <a:bodyPr/>
                  <a:lstStyle/>
                  <a:p>
                    <a:fld id="{46881799-C1AE-41E5-9CC0-F13F1F465B70}"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4550-407C-8E56-A3906B81264C}"/>
                </c:ext>
              </c:extLst>
            </c:dLbl>
            <c:dLbl>
              <c:idx val="8"/>
              <c:layout>
                <c:manualLayout>
                  <c:x val="1.282501062222628E-2"/>
                  <c:y val="2.0553185351589367E-2"/>
                </c:manualLayout>
              </c:layout>
              <c:tx>
                <c:rich>
                  <a:bodyPr/>
                  <a:lstStyle/>
                  <a:p>
                    <a:fld id="{058413D6-454B-4B34-BEE1-069D53C56B46}"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4550-407C-8E56-A3906B81264C}"/>
                </c:ext>
              </c:extLst>
            </c:dLbl>
            <c:dLbl>
              <c:idx val="9"/>
              <c:layout>
                <c:manualLayout>
                  <c:x val="1.995639888890369E-2"/>
                  <c:y val="1.2672324895787668E-2"/>
                </c:manualLayout>
              </c:layout>
              <c:tx>
                <c:rich>
                  <a:bodyPr/>
                  <a:lstStyle/>
                  <a:p>
                    <a:fld id="{8D59FA1A-6ACB-405E-A5F8-928C4B33CFC6}"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B-4550-407C-8E56-A3906B81264C}"/>
                </c:ext>
              </c:extLst>
            </c:dLbl>
            <c:dLbl>
              <c:idx val="10"/>
              <c:layout>
                <c:manualLayout>
                  <c:x val="3.3415426595904394E-3"/>
                  <c:y val="6.2301899419542978E-2"/>
                </c:manualLayout>
              </c:layout>
              <c:tx>
                <c:rich>
                  <a:bodyPr/>
                  <a:lstStyle/>
                  <a:p>
                    <a:fld id="{893A28B1-8208-4D36-A43A-7CA1FB5E4452}"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4550-407C-8E56-A3906B81264C}"/>
                </c:ext>
              </c:extLst>
            </c:dLbl>
            <c:dLbl>
              <c:idx val="11"/>
              <c:layout>
                <c:manualLayout>
                  <c:x val="2.4016558870739307E-3"/>
                  <c:y val="3.6893194836719295E-2"/>
                </c:manualLayout>
              </c:layout>
              <c:tx>
                <c:rich>
                  <a:bodyPr/>
                  <a:lstStyle/>
                  <a:p>
                    <a:fld id="{0DB61E35-BDDC-4731-B629-742718B1F3D5}"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4550-407C-8E56-A3906B81264C}"/>
                </c:ext>
              </c:extLst>
            </c:dLbl>
            <c:dLbl>
              <c:idx val="12"/>
              <c:layout>
                <c:manualLayout>
                  <c:x val="-6.3611541949326861E-2"/>
                  <c:y val="4.1550157492662484E-2"/>
                </c:manualLayout>
              </c:layout>
              <c:tx>
                <c:rich>
                  <a:bodyPr/>
                  <a:lstStyle/>
                  <a:p>
                    <a:fld id="{7AB1B948-428A-4FF8-9EBC-BFF86BC026FC}"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E-4550-407C-8E56-A3906B81264C}"/>
                </c:ext>
              </c:extLst>
            </c:dLbl>
            <c:dLbl>
              <c:idx val="13"/>
              <c:layout>
                <c:manualLayout>
                  <c:x val="-0.10656167979002629"/>
                  <c:y val="3.5582352425485783E-2"/>
                </c:manualLayout>
              </c:layout>
              <c:tx>
                <c:rich>
                  <a:bodyPr/>
                  <a:lstStyle/>
                  <a:p>
                    <a:fld id="{B3EA519B-7F78-4EF3-B563-ED54C325BAE8}"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4550-407C-8E56-A3906B81264C}"/>
                </c:ext>
              </c:extLst>
            </c:dLbl>
            <c:dLbl>
              <c:idx val="14"/>
              <c:layout>
                <c:manualLayout>
                  <c:x val="-7.5284642283150724E-2"/>
                  <c:y val="-3.8708498430012388E-2"/>
                </c:manualLayout>
              </c:layout>
              <c:tx>
                <c:rich>
                  <a:bodyPr/>
                  <a:lstStyle/>
                  <a:p>
                    <a:fld id="{C6DC5702-F80B-4BFD-855F-BC723ECCDB9A}"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4550-407C-8E56-A3906B81264C}"/>
                </c:ext>
              </c:extLst>
            </c:dLbl>
            <c:dLbl>
              <c:idx val="15"/>
              <c:layout>
                <c:manualLayout>
                  <c:x val="-1.7416325161997922E-3"/>
                  <c:y val="-2.0820641108116152E-2"/>
                </c:manualLayout>
              </c:layout>
              <c:tx>
                <c:rich>
                  <a:bodyPr/>
                  <a:lstStyle/>
                  <a:p>
                    <a:fld id="{BD884960-F88F-49DC-8FC3-1C7DF5DF3ABF}"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1-4550-407C-8E56-A3906B81264C}"/>
                </c:ext>
              </c:extLst>
            </c:dLbl>
            <c:dLbl>
              <c:idx val="16"/>
              <c:layout>
                <c:manualLayout>
                  <c:x val="-0.16033788727950857"/>
                  <c:y val="-2.5364035862147423E-2"/>
                </c:manualLayout>
              </c:layout>
              <c:tx>
                <c:rich>
                  <a:bodyPr/>
                  <a:lstStyle/>
                  <a:p>
                    <a:fld id="{AEC265DF-2BDA-4156-A020-4B86C8E63563}"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4550-407C-8E56-A3906B81264C}"/>
                </c:ext>
              </c:extLst>
            </c:dLbl>
            <c:dLbl>
              <c:idx val="17"/>
              <c:layout>
                <c:manualLayout>
                  <c:x val="-9.3399999008934462E-2"/>
                  <c:y val="-4.9207103777230976E-2"/>
                </c:manualLayout>
              </c:layout>
              <c:tx>
                <c:rich>
                  <a:bodyPr/>
                  <a:lstStyle/>
                  <a:p>
                    <a:fld id="{95C5B75B-C144-4B22-A2AE-96A9D5E4F9DD}"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4550-407C-8E56-A3906B81264C}"/>
                </c:ext>
              </c:extLst>
            </c:dLbl>
            <c:dLbl>
              <c:idx val="18"/>
              <c:layout>
                <c:manualLayout>
                  <c:x val="-0.13813834944640729"/>
                  <c:y val="-3.6335304409671046E-2"/>
                </c:manualLayout>
              </c:layout>
              <c:tx>
                <c:rich>
                  <a:bodyPr/>
                  <a:lstStyle/>
                  <a:p>
                    <a:fld id="{6CDCC2E5-A031-4D28-A849-00754CFE38BD}"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4-4550-407C-8E56-A3906B81264C}"/>
                </c:ext>
              </c:extLst>
            </c:dLbl>
            <c:dLbl>
              <c:idx val="19"/>
              <c:layout>
                <c:manualLayout>
                  <c:x val="1.8193320548587813E-2"/>
                  <c:y val="-1.8101469478773991E-2"/>
                </c:manualLayout>
              </c:layout>
              <c:tx>
                <c:rich>
                  <a:bodyPr/>
                  <a:lstStyle/>
                  <a:p>
                    <a:fld id="{0FB7677F-3F52-472E-A5F9-A9354164FD95}"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4550-407C-8E56-A3906B81264C}"/>
                </c:ext>
              </c:extLst>
            </c:dLbl>
            <c:dLbl>
              <c:idx val="20"/>
              <c:layout>
                <c:manualLayout>
                  <c:x val="2.1777013556124866E-2"/>
                  <c:y val="-1.8884302469875131E-2"/>
                </c:manualLayout>
              </c:layout>
              <c:tx>
                <c:rich>
                  <a:bodyPr/>
                  <a:lstStyle/>
                  <a:p>
                    <a:fld id="{5AF7C176-B869-4A7C-A801-D374BFFE3B1C}"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4550-407C-8E56-A3906B81264C}"/>
                </c:ext>
              </c:extLst>
            </c:dLbl>
            <c:dLbl>
              <c:idx val="21"/>
              <c:layout>
                <c:manualLayout>
                  <c:x val="-4.5538664904163979E-2"/>
                  <c:y val="-3.5392385611100745E-2"/>
                </c:manualLayout>
              </c:layout>
              <c:tx>
                <c:rich>
                  <a:bodyPr/>
                  <a:lstStyle/>
                  <a:p>
                    <a:fld id="{4031E845-3D55-428D-963D-7AD6C47ABD9C}"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7-4550-407C-8E56-A3906B81264C}"/>
                </c:ext>
              </c:extLst>
            </c:dLbl>
            <c:dLbl>
              <c:idx val="22"/>
              <c:layout>
                <c:manualLayout>
                  <c:x val="-6.6857611961500488E-2"/>
                  <c:y val="-4.2213219505629972E-2"/>
                </c:manualLayout>
              </c:layout>
              <c:tx>
                <c:rich>
                  <a:bodyPr/>
                  <a:lstStyle/>
                  <a:p>
                    <a:fld id="{01AA4F0E-F632-4A99-9AFE-F3573492C6BB}" type="CELLRANGE">
                      <a:rPr lang="sr-Cyrl-RS">
                        <a:solidFill>
                          <a:schemeClr val="tx1">
                            <a:lumMod val="50000"/>
                            <a:lumOff val="50000"/>
                          </a:schemeClr>
                        </a:solidFill>
                      </a:rPr>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4550-407C-8E56-A3906B81264C}"/>
                </c:ext>
              </c:extLst>
            </c:dLbl>
            <c:dLbl>
              <c:idx val="23"/>
              <c:layout>
                <c:manualLayout>
                  <c:x val="-0.10717944397919422"/>
                  <c:y val="8.7669639538745917E-2"/>
                </c:manualLayout>
              </c:layout>
              <c:tx>
                <c:rich>
                  <a:bodyPr/>
                  <a:lstStyle/>
                  <a:p>
                    <a:fld id="{9E754691-3CF2-4FE7-BA9A-1C76531E36EE}" type="CELLRANGE">
                      <a:rPr lang="sr-Cyrl-RS">
                        <a:solidFill>
                          <a:schemeClr val="tx1">
                            <a:lumMod val="50000"/>
                            <a:lumOff val="50000"/>
                          </a:schemeClr>
                        </a:solidFill>
                      </a:rPr>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4550-407C-8E56-A3906B81264C}"/>
                </c:ext>
              </c:extLst>
            </c:dLbl>
            <c:dLbl>
              <c:idx val="24"/>
              <c:layout>
                <c:manualLayout>
                  <c:x val="-8.3391411339816826E-2"/>
                  <c:y val="-3.411424204086759E-2"/>
                </c:manualLayout>
              </c:layout>
              <c:tx>
                <c:rich>
                  <a:bodyPr rot="0" spcFirstLastPara="1" vertOverflow="ellipsis" vert="horz" wrap="square" lIns="38100" tIns="19050" rIns="38100" bIns="19050" anchor="ctr" anchorCtr="1">
                    <a:noAutofit/>
                  </a:bodyPr>
                  <a:lstStyle/>
                  <a:p>
                    <a:pPr>
                      <a:defRPr sz="800" b="0" i="0" u="none" strike="noStrike" kern="1200" baseline="0">
                        <a:solidFill>
                          <a:schemeClr val="tx1">
                            <a:lumMod val="50000"/>
                            <a:lumOff val="50000"/>
                          </a:schemeClr>
                        </a:solidFill>
                        <a:latin typeface="+mn-lt"/>
                        <a:ea typeface="+mn-ea"/>
                        <a:cs typeface="+mn-cs"/>
                      </a:defRPr>
                    </a:pPr>
                    <a:r>
                      <a:rPr lang="sr-Cyrl-RS" sz="800">
                        <a:solidFill>
                          <a:schemeClr val="tx1">
                            <a:lumMod val="50000"/>
                            <a:lumOff val="50000"/>
                          </a:schemeClr>
                        </a:solidFill>
                      </a:rPr>
                      <a:t>Кипар</a:t>
                    </a:r>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50000"/>
                          <a:lumOff val="50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layout>
                    <c:manualLayout>
                      <c:w val="0.13100275293998009"/>
                      <c:h val="3.706857368218909E-2"/>
                    </c:manualLayout>
                  </c15:layout>
                  <c15:showDataLabelsRange val="0"/>
                </c:ext>
                <c:ext xmlns:c16="http://schemas.microsoft.com/office/drawing/2014/chart" uri="{C3380CC4-5D6E-409C-BE32-E72D297353CC}">
                  <c16:uniqueId val="{0000001A-4550-407C-8E56-A3906B81264C}"/>
                </c:ext>
              </c:extLst>
            </c:dLbl>
            <c:dLbl>
              <c:idx val="25"/>
              <c:layout>
                <c:manualLayout>
                  <c:x val="-0.10887846067699687"/>
                  <c:y val="-3.5036591885948397E-2"/>
                </c:manualLayout>
              </c:layout>
              <c:tx>
                <c:rich>
                  <a:bodyPr/>
                  <a:lstStyle/>
                  <a:p>
                    <a:r>
                      <a:rPr lang="sr-Cyrl-RS"/>
                      <a:t>Грчка</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B-4550-407C-8E56-A3906B81264C}"/>
                </c:ext>
              </c:extLst>
            </c:dLbl>
            <c:dLbl>
              <c:idx val="26"/>
              <c:layout>
                <c:manualLayout>
                  <c:x val="3.3692806736734943E-2"/>
                  <c:y val="-4.0155249137337701E-2"/>
                </c:manualLayout>
              </c:layout>
              <c:tx>
                <c:rich>
                  <a:bodyPr/>
                  <a:lstStyle/>
                  <a:p>
                    <a:r>
                      <a:rPr lang="sr-Cyrl-RS" baseline="0"/>
                      <a:t>Португал </a:t>
                    </a:r>
                    <a:endParaRPr lang="sr-Cyrl-RS"/>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C-4550-407C-8E56-A3906B81264C}"/>
                </c:ext>
              </c:extLst>
            </c:dLbl>
            <c:dLbl>
              <c:idx val="27"/>
              <c:layout>
                <c:manualLayout>
                  <c:x val="0"/>
                  <c:y val="-3.2036337084359663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FF0000"/>
                        </a:solidFill>
                        <a:latin typeface="+mn-lt"/>
                        <a:ea typeface="+mn-ea"/>
                        <a:cs typeface="+mn-cs"/>
                      </a:defRPr>
                    </a:pPr>
                    <a:r>
                      <a:rPr lang="sr-Cyrl-RS">
                        <a:solidFill>
                          <a:srgbClr val="FF0000"/>
                        </a:solidFill>
                      </a:rPr>
                      <a:t>Србија</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D-4550-407C-8E56-A3906B81264C}"/>
                </c:ext>
              </c:extLst>
            </c:dLbl>
            <c:dLbl>
              <c:idx val="2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E-4550-407C-8E56-A3906B81264C}"/>
                </c:ext>
              </c:extLst>
            </c:dLbl>
            <c:dLbl>
              <c:idx val="29"/>
              <c:layout>
                <c:manualLayout>
                  <c:x val="0.27121180204981443"/>
                  <c:y val="-0.10981647825182873"/>
                </c:manualLayout>
              </c:layout>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layout>
                    <c:manualLayout>
                      <c:w val="6.4583536111454121E-2"/>
                      <c:h val="3.6566409796610792E-2"/>
                    </c:manualLayout>
                  </c15:layout>
                  <c15:showDataLabelsRange val="0"/>
                </c:ext>
                <c:ext xmlns:c16="http://schemas.microsoft.com/office/drawing/2014/chart" uri="{C3380CC4-5D6E-409C-BE32-E72D297353CC}">
                  <c16:uniqueId val="{0000001F-4550-407C-8E56-A3906B81264C}"/>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'2022'!$D$4:$D$31</c:f>
              <c:numCache>
                <c:formatCode>#.000</c:formatCode>
                <c:ptCount val="28"/>
                <c:pt idx="0">
                  <c:v>0.45</c:v>
                </c:pt>
                <c:pt idx="1">
                  <c:v>0.56999999999999995</c:v>
                </c:pt>
                <c:pt idx="2">
                  <c:v>0.28000000000000003</c:v>
                </c:pt>
                <c:pt idx="3">
                  <c:v>0.22</c:v>
                </c:pt>
                <c:pt idx="4">
                  <c:v>0.33</c:v>
                </c:pt>
                <c:pt idx="5">
                  <c:v>0</c:v>
                </c:pt>
                <c:pt idx="6">
                  <c:v>0.08</c:v>
                </c:pt>
                <c:pt idx="7">
                  <c:v>0.15</c:v>
                </c:pt>
                <c:pt idx="8">
                  <c:v>0.56999999999999995</c:v>
                </c:pt>
                <c:pt idx="9">
                  <c:v>0.41</c:v>
                </c:pt>
                <c:pt idx="10">
                  <c:v>0</c:v>
                </c:pt>
                <c:pt idx="11">
                  <c:v>0.69</c:v>
                </c:pt>
                <c:pt idx="12">
                  <c:v>0.22</c:v>
                </c:pt>
                <c:pt idx="13">
                  <c:v>0.23</c:v>
                </c:pt>
                <c:pt idx="14">
                  <c:v>0.08</c:v>
                </c:pt>
                <c:pt idx="15">
                  <c:v>0.08</c:v>
                </c:pt>
                <c:pt idx="16">
                  <c:v>0.22</c:v>
                </c:pt>
                <c:pt idx="17">
                  <c:v>0.08</c:v>
                </c:pt>
                <c:pt idx="18">
                  <c:v>0.22</c:v>
                </c:pt>
                <c:pt idx="19">
                  <c:v>0.22</c:v>
                </c:pt>
                <c:pt idx="20">
                  <c:v>0.22</c:v>
                </c:pt>
                <c:pt idx="21">
                  <c:v>0.28999999999999998</c:v>
                </c:pt>
                <c:pt idx="22">
                  <c:v>0.56999999999999995</c:v>
                </c:pt>
                <c:pt idx="23">
                  <c:v>0</c:v>
                </c:pt>
                <c:pt idx="24">
                  <c:v>7.0000000000000007E-2</c:v>
                </c:pt>
                <c:pt idx="25">
                  <c:v>0.33</c:v>
                </c:pt>
                <c:pt idx="26">
                  <c:v>0.53</c:v>
                </c:pt>
                <c:pt idx="27">
                  <c:v>0.21556886227544908</c:v>
                </c:pt>
              </c:numCache>
            </c:numRef>
          </c:xVal>
          <c:yVal>
            <c:numRef>
              <c:f>'2022'!$E$4:$E$31</c:f>
              <c:numCache>
                <c:formatCode>#.000</c:formatCode>
                <c:ptCount val="28"/>
                <c:pt idx="0">
                  <c:v>0.06</c:v>
                </c:pt>
                <c:pt idx="1">
                  <c:v>0.12</c:v>
                </c:pt>
                <c:pt idx="2">
                  <c:v>0.28000000000000003</c:v>
                </c:pt>
                <c:pt idx="3">
                  <c:v>0.25</c:v>
                </c:pt>
                <c:pt idx="4">
                  <c:v>0.22</c:v>
                </c:pt>
                <c:pt idx="5">
                  <c:v>0.34</c:v>
                </c:pt>
                <c:pt idx="6">
                  <c:v>0.13</c:v>
                </c:pt>
                <c:pt idx="7">
                  <c:v>0.24</c:v>
                </c:pt>
                <c:pt idx="8">
                  <c:v>0.21</c:v>
                </c:pt>
                <c:pt idx="9">
                  <c:v>0.46</c:v>
                </c:pt>
                <c:pt idx="10">
                  <c:v>0.32</c:v>
                </c:pt>
                <c:pt idx="11">
                  <c:v>7.0000000000000007E-2</c:v>
                </c:pt>
                <c:pt idx="12">
                  <c:v>0.22</c:v>
                </c:pt>
                <c:pt idx="13">
                  <c:v>0.12</c:v>
                </c:pt>
                <c:pt idx="14">
                  <c:v>0.35</c:v>
                </c:pt>
                <c:pt idx="15">
                  <c:v>0.3</c:v>
                </c:pt>
                <c:pt idx="16">
                  <c:v>0.14000000000000001</c:v>
                </c:pt>
                <c:pt idx="17">
                  <c:v>0.3</c:v>
                </c:pt>
                <c:pt idx="18">
                  <c:v>0.45</c:v>
                </c:pt>
                <c:pt idx="19">
                  <c:v>0.37</c:v>
                </c:pt>
                <c:pt idx="20">
                  <c:v>0.33</c:v>
                </c:pt>
                <c:pt idx="21">
                  <c:v>0.13</c:v>
                </c:pt>
                <c:pt idx="22">
                  <c:v>0.22</c:v>
                </c:pt>
                <c:pt idx="23">
                  <c:v>0.31</c:v>
                </c:pt>
                <c:pt idx="24">
                  <c:v>0.4</c:v>
                </c:pt>
                <c:pt idx="25">
                  <c:v>0.45</c:v>
                </c:pt>
                <c:pt idx="26">
                  <c:v>0.33</c:v>
                </c:pt>
                <c:pt idx="27">
                  <c:v>0.27243589743589747</c:v>
                </c:pt>
              </c:numCache>
            </c:numRef>
          </c:yVal>
          <c:smooth val="0"/>
          <c:extLst>
            <c:ext xmlns:c15="http://schemas.microsoft.com/office/drawing/2012/chart" uri="{02D57815-91ED-43cb-92C2-25804820EDAC}">
              <c15:datalabelsRange>
                <c15:f>'2022'!$B$4:$B$34</c15:f>
                <c15:dlblRangeCache>
                  <c:ptCount val="31"/>
                  <c:pt idx="0">
                    <c:v>Аустрија</c:v>
                  </c:pt>
                  <c:pt idx="1">
                    <c:v>Белгија</c:v>
                  </c:pt>
                  <c:pt idx="2">
                    <c:v>Бугарска</c:v>
                  </c:pt>
                  <c:pt idx="3">
                    <c:v>Чешка</c:v>
                  </c:pt>
                  <c:pt idx="4">
                    <c:v>Хрватска</c:v>
                  </c:pt>
                  <c:pt idx="5">
                    <c:v>Данска</c:v>
                  </c:pt>
                  <c:pt idx="6">
                    <c:v>Естонија</c:v>
                  </c:pt>
                  <c:pt idx="7">
                    <c:v>Финска</c:v>
                  </c:pt>
                  <c:pt idx="8">
                    <c:v>Француска</c:v>
                  </c:pt>
                  <c:pt idx="9">
                    <c:v>Мађарска</c:v>
                  </c:pt>
                  <c:pt idx="10">
                    <c:v>Ирска</c:v>
                  </c:pt>
                  <c:pt idx="11">
                    <c:v>Италија</c:v>
                  </c:pt>
                  <c:pt idx="12">
                    <c:v>Летонија</c:v>
                  </c:pt>
                  <c:pt idx="13">
                    <c:v>Немачка</c:v>
                  </c:pt>
                  <c:pt idx="14">
                    <c:v>Литванија</c:v>
                  </c:pt>
                  <c:pt idx="15">
                    <c:v>Луксембург</c:v>
                  </c:pt>
                  <c:pt idx="16">
                    <c:v>Малта</c:v>
                  </c:pt>
                  <c:pt idx="17">
                    <c:v>Холандија</c:v>
                  </c:pt>
                  <c:pt idx="18">
                    <c:v>Пољска</c:v>
                  </c:pt>
                  <c:pt idx="19">
                    <c:v>Румунија</c:v>
                  </c:pt>
                  <c:pt idx="20">
                    <c:v>Словачка</c:v>
                  </c:pt>
                  <c:pt idx="21">
                    <c:v>Словенија</c:v>
                  </c:pt>
                  <c:pt idx="22">
                    <c:v>Шпанија</c:v>
                  </c:pt>
                  <c:pt idx="23">
                    <c:v>Шведска</c:v>
                  </c:pt>
                  <c:pt idx="24">
                    <c:v>Кипар</c:v>
                  </c:pt>
                  <c:pt idx="25">
                    <c:v>Грчка</c:v>
                  </c:pt>
                  <c:pt idx="26">
                    <c:v>Португал</c:v>
                  </c:pt>
                  <c:pt idx="27">
                    <c:v>Србија</c:v>
                  </c:pt>
                  <c:pt idx="29">
                    <c:v>Србија 2020</c:v>
                  </c:pt>
                  <c:pt idx="30">
                    <c:v>Србија 2019,2018,2017</c:v>
                  </c:pt>
                </c15:dlblRangeCache>
              </c15:datalabelsRange>
            </c:ext>
            <c:ext xmlns:c16="http://schemas.microsoft.com/office/drawing/2014/chart" uri="{C3380CC4-5D6E-409C-BE32-E72D297353CC}">
              <c16:uniqueId val="{00000020-4550-407C-8E56-A3906B81264C}"/>
            </c:ext>
          </c:extLst>
        </c:ser>
        <c:dLbls>
          <c:showLegendKey val="0"/>
          <c:showVal val="0"/>
          <c:showCatName val="0"/>
          <c:showSerName val="0"/>
          <c:showPercent val="0"/>
          <c:showBubbleSize val="0"/>
        </c:dLbls>
        <c:axId val="2099147520"/>
        <c:axId val="2099146272"/>
      </c:scatterChart>
      <c:valAx>
        <c:axId val="-262788736"/>
        <c:scaling>
          <c:orientation val="minMax"/>
          <c:max val="0.8"/>
        </c:scaling>
        <c:delete val="0"/>
        <c:axPos val="b"/>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sr-Cyrl-RS" sz="800">
                    <a:latin typeface="+mn-lt"/>
                  </a:rPr>
                  <a:t>Фискални подиндекс</a:t>
                </a:r>
                <a:endParaRPr lang="en-US" sz="800">
                  <a:latin typeface="+mn-lt"/>
                </a:endParaRPr>
              </a:p>
            </c:rich>
          </c:tx>
          <c:layout>
            <c:manualLayout>
              <c:xMode val="edge"/>
              <c:yMode val="edge"/>
              <c:x val="0.32836644318138641"/>
              <c:y val="0.95971250026238497"/>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title>
        <c:numFmt formatCode="#,##0.0" sourceLinked="0"/>
        <c:majorTickMark val="none"/>
        <c:minorTickMark val="none"/>
        <c:tickLblPos val="nextTo"/>
        <c:spPr>
          <a:noFill/>
          <a:ln w="6350" cap="flat" cmpd="sng" algn="ctr">
            <a:solidFill>
              <a:schemeClr val="tx1">
                <a:lumMod val="25000"/>
                <a:lumOff val="7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262793088"/>
        <c:crosses val="autoZero"/>
        <c:crossBetween val="midCat"/>
      </c:valAx>
      <c:valAx>
        <c:axId val="-262793088"/>
        <c:scaling>
          <c:orientation val="minMax"/>
          <c:max val="0.60000000000000009"/>
        </c:scaling>
        <c:delete val="0"/>
        <c:axPos val="l"/>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sr-Cyrl-RS" sz="800">
                    <a:latin typeface="+mn-lt"/>
                  </a:rPr>
                  <a:t>Подиндекс макро-финансијске конкурентности</a:t>
                </a:r>
                <a:endParaRPr lang="en-US" sz="800">
                  <a:latin typeface="+mn-lt"/>
                </a:endParaRPr>
              </a:p>
            </c:rich>
          </c:tx>
          <c:layout>
            <c:manualLayout>
              <c:xMode val="edge"/>
              <c:yMode val="edge"/>
              <c:x val="7.5251868585250346E-3"/>
              <c:y val="0.15476829195481337"/>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title>
        <c:numFmt formatCode="#,##0.0" sourceLinked="0"/>
        <c:majorTickMark val="none"/>
        <c:minorTickMark val="none"/>
        <c:tickLblPos val="nextTo"/>
        <c:spPr>
          <a:noFill/>
          <a:ln w="6350" cap="flat" cmpd="sng" algn="ctr">
            <a:solidFill>
              <a:schemeClr val="tx1">
                <a:lumMod val="25000"/>
                <a:lumOff val="7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262788736"/>
        <c:crosses val="autoZero"/>
        <c:crossBetween val="midCat"/>
      </c:valAx>
      <c:valAx>
        <c:axId val="2099146272"/>
        <c:scaling>
          <c:orientation val="minMax"/>
        </c:scaling>
        <c:delete val="1"/>
        <c:axPos val="r"/>
        <c:numFmt formatCode="#.000" sourceLinked="1"/>
        <c:majorTickMark val="out"/>
        <c:minorTickMark val="none"/>
        <c:tickLblPos val="nextTo"/>
        <c:crossAx val="2099147520"/>
        <c:crosses val="max"/>
        <c:crossBetween val="midCat"/>
      </c:valAx>
      <c:valAx>
        <c:axId val="2099147520"/>
        <c:scaling>
          <c:orientation val="minMax"/>
        </c:scaling>
        <c:delete val="1"/>
        <c:axPos val="t"/>
        <c:numFmt formatCode="#.000" sourceLinked="1"/>
        <c:majorTickMark val="out"/>
        <c:minorTickMark val="none"/>
        <c:tickLblPos val="nextTo"/>
        <c:crossAx val="2099146272"/>
        <c:crosses val="max"/>
        <c:crossBetween val="midCat"/>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1392534266550021E-2"/>
          <c:y val="2.7557203497710934E-2"/>
          <c:w val="0.86085801063022016"/>
          <c:h val="0.73790683571960913"/>
        </c:manualLayout>
      </c:layout>
      <c:barChart>
        <c:barDir val="col"/>
        <c:grouping val="clustered"/>
        <c:varyColors val="0"/>
        <c:ser>
          <c:idx val="0"/>
          <c:order val="0"/>
          <c:tx>
            <c:strRef>
              <c:f>'мемо 2011-2016'!$D$50</c:f>
              <c:strCache>
                <c:ptCount val="1"/>
                <c:pt idx="0">
                  <c:v>дуг</c:v>
                </c:pt>
              </c:strCache>
            </c:strRef>
          </c:tx>
          <c:spPr>
            <a:solidFill>
              <a:schemeClr val="tx2"/>
            </a:solidFill>
          </c:spPr>
          <c:invertIfNegative val="0"/>
          <c:dLbls>
            <c:numFmt formatCode="#,##0.0" sourceLinked="0"/>
            <c:spPr>
              <a:noFill/>
              <a:ln>
                <a:noFill/>
              </a:ln>
              <a:effectLst/>
            </c:spPr>
            <c:txPr>
              <a:bodyPr/>
              <a:lstStyle/>
              <a:p>
                <a:pPr>
                  <a:defRPr sz="750" b="0" baseline="0">
                    <a:solidFill>
                      <a:schemeClr val="bg1"/>
                    </a:solidFill>
                    <a:latin typeface="Calibri" panose="020F0502020204030204" pitchFamily="34" charset="0"/>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'мемо 2011-2016'!$J$48:$U$48</c:f>
              <c:numCache>
                <c:formatCode>General</c:formatCode>
                <c:ptCount val="12"/>
                <c:pt idx="0">
                  <c:v>2015</c:v>
                </c:pt>
                <c:pt idx="1">
                  <c:v>2016</c:v>
                </c:pt>
                <c:pt idx="2">
                  <c:v>2017</c:v>
                </c:pt>
                <c:pt idx="3">
                  <c:v>2018</c:v>
                </c:pt>
                <c:pt idx="4">
                  <c:v>2019</c:v>
                </c:pt>
                <c:pt idx="5">
                  <c:v>2020</c:v>
                </c:pt>
                <c:pt idx="6">
                  <c:v>2021</c:v>
                </c:pt>
                <c:pt idx="7">
                  <c:v>2022</c:v>
                </c:pt>
                <c:pt idx="8">
                  <c:v>2023</c:v>
                </c:pt>
                <c:pt idx="9">
                  <c:v>2024</c:v>
                </c:pt>
                <c:pt idx="10">
                  <c:v>2025</c:v>
                </c:pt>
                <c:pt idx="11">
                  <c:v>2026</c:v>
                </c:pt>
              </c:numCache>
            </c:numRef>
          </c:cat>
          <c:val>
            <c:numRef>
              <c:f>'мемо 2011-2016'!$J$50:$U$50</c:f>
              <c:numCache>
                <c:formatCode>#,##0.0</c:formatCode>
                <c:ptCount val="12"/>
                <c:pt idx="0">
                  <c:v>71.199826125969352</c:v>
                </c:pt>
                <c:pt idx="1">
                  <c:v>68.7</c:v>
                </c:pt>
                <c:pt idx="2">
                  <c:v>58.6</c:v>
                </c:pt>
                <c:pt idx="3" formatCode="0.0">
                  <c:v>54.353090578805471</c:v>
                </c:pt>
                <c:pt idx="4" formatCode="General">
                  <c:v>52.8</c:v>
                </c:pt>
                <c:pt idx="5" formatCode="General">
                  <c:v>57.8</c:v>
                </c:pt>
                <c:pt idx="6" formatCode="General">
                  <c:v>57.1</c:v>
                </c:pt>
                <c:pt idx="7" formatCode="General">
                  <c:v>55.6</c:v>
                </c:pt>
                <c:pt idx="8" formatCode="General">
                  <c:v>53.3</c:v>
                </c:pt>
                <c:pt idx="9" formatCode="General">
                  <c:v>51.7</c:v>
                </c:pt>
                <c:pt idx="10" formatCode="General">
                  <c:v>50.7</c:v>
                </c:pt>
                <c:pt idx="11" formatCode="General">
                  <c:v>50</c:v>
                </c:pt>
              </c:numCache>
            </c:numRef>
          </c:val>
          <c:extLst>
            <c:ext xmlns:c16="http://schemas.microsoft.com/office/drawing/2014/chart" uri="{C3380CC4-5D6E-409C-BE32-E72D297353CC}">
              <c16:uniqueId val="{00000000-CBAD-4A3C-BBC1-1BF3BC27DE9E}"/>
            </c:ext>
          </c:extLst>
        </c:ser>
        <c:dLbls>
          <c:showLegendKey val="0"/>
          <c:showVal val="0"/>
          <c:showCatName val="0"/>
          <c:showSerName val="0"/>
          <c:showPercent val="0"/>
          <c:showBubbleSize val="0"/>
        </c:dLbls>
        <c:gapWidth val="22"/>
        <c:overlap val="90"/>
        <c:axId val="430644800"/>
        <c:axId val="430645584"/>
      </c:barChart>
      <c:lineChart>
        <c:grouping val="standard"/>
        <c:varyColors val="0"/>
        <c:ser>
          <c:idx val="2"/>
          <c:order val="1"/>
          <c:tx>
            <c:strRef>
              <c:f>'мемо 2011-2016'!$D$49</c:f>
              <c:strCache>
                <c:ptCount val="1"/>
                <c:pt idx="0">
                  <c:v>резултат (десна скала)</c:v>
                </c:pt>
              </c:strCache>
            </c:strRef>
          </c:tx>
          <c:spPr>
            <a:ln>
              <a:solidFill>
                <a:srgbClr val="FF0000"/>
              </a:solidFill>
            </a:ln>
          </c:spPr>
          <c:marker>
            <c:symbol val="none"/>
          </c:marker>
          <c:dLbls>
            <c:dLbl>
              <c:idx val="0"/>
              <c:layout>
                <c:manualLayout>
                  <c:x val="-6.3588509769612125E-2"/>
                  <c:y val="-0.2769343646858957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BAD-4A3C-BBC1-1BF3BC27DE9E}"/>
                </c:ext>
              </c:extLst>
            </c:dLbl>
            <c:dLbl>
              <c:idx val="1"/>
              <c:layout>
                <c:manualLayout>
                  <c:x val="-7.8026757072032688E-2"/>
                  <c:y val="-0.1076217324686266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BAD-4A3C-BBC1-1BF3BC27DE9E}"/>
                </c:ext>
              </c:extLst>
            </c:dLbl>
            <c:dLbl>
              <c:idx val="2"/>
              <c:layout>
                <c:manualLayout>
                  <c:x val="-6.3351195683872888E-2"/>
                  <c:y val="-4.39986668333125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BAD-4A3C-BBC1-1BF3BC27DE9E}"/>
                </c:ext>
              </c:extLst>
            </c:dLbl>
            <c:dLbl>
              <c:idx val="3"/>
              <c:layout>
                <c:manualLayout>
                  <c:x val="-3.9130941965587675E-2"/>
                  <c:y val="-3.7556879464141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BAD-4A3C-BBC1-1BF3BC27DE9E}"/>
                </c:ext>
              </c:extLst>
            </c:dLbl>
            <c:dLbl>
              <c:idx val="4"/>
              <c:layout>
                <c:manualLayout>
                  <c:x val="-0.10284303003791193"/>
                  <c:y val="3.984085322667999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BAD-4A3C-BBC1-1BF3BC27DE9E}"/>
                </c:ext>
              </c:extLst>
            </c:dLbl>
            <c:dLbl>
              <c:idx val="5"/>
              <c:layout>
                <c:manualLayout>
                  <c:x val="-5.5227107028288216E-2"/>
                  <c:y val="-0.2461275673874099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BAD-4A3C-BBC1-1BF3BC27DE9E}"/>
                </c:ext>
              </c:extLst>
            </c:dLbl>
            <c:dLbl>
              <c:idx val="6"/>
              <c:layout>
                <c:manualLayout>
                  <c:x val="-6.597149314669E-2"/>
                  <c:y val="-8.556013831604382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BAD-4A3C-BBC1-1BF3BC27DE9E}"/>
                </c:ext>
              </c:extLst>
            </c:dLbl>
            <c:dLbl>
              <c:idx val="7"/>
              <c:layout>
                <c:manualLayout>
                  <c:x val="-5.1256197142023917E-2"/>
                  <c:y val="1.99201951607900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BAD-4A3C-BBC1-1BF3BC27DE9E}"/>
                </c:ext>
              </c:extLst>
            </c:dLbl>
            <c:dLbl>
              <c:idx val="8"/>
              <c:layout>
                <c:manualLayout>
                  <c:x val="-5.0925925925926013E-2"/>
                  <c:y val="2.57203960616034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BAD-4A3C-BBC1-1BF3BC27DE9E}"/>
                </c:ext>
              </c:extLst>
            </c:dLbl>
            <c:dLbl>
              <c:idx val="9"/>
              <c:layout>
                <c:manualLayout>
                  <c:x val="-5.7288568095654795E-2"/>
                  <c:y val="5.14403292181069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CBAD-4A3C-BBC1-1BF3BC27DE9E}"/>
                </c:ext>
              </c:extLst>
            </c:dLbl>
            <c:dLbl>
              <c:idx val="10"/>
              <c:layout>
                <c:manualLayout>
                  <c:x val="-7.3195538057742787E-2"/>
                  <c:y val="3.76614960167016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CBAD-4A3C-BBC1-1BF3BC27DE9E}"/>
                </c:ext>
              </c:extLst>
            </c:dLbl>
            <c:dLbl>
              <c:idx val="11"/>
              <c:layout>
                <c:manualLayout>
                  <c:x val="-9.7222222222222224E-2"/>
                  <c:y val="-4.70311581422692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CBAD-4A3C-BBC1-1BF3BC27DE9E}"/>
                </c:ext>
              </c:extLst>
            </c:dLbl>
            <c:numFmt formatCode="#,##0.0" sourceLinked="0"/>
            <c:spPr>
              <a:noFill/>
              <a:ln>
                <a:noFill/>
              </a:ln>
              <a:effectLst/>
            </c:spPr>
            <c:txPr>
              <a:bodyPr wrap="square" lIns="38100" tIns="19050" rIns="38100" bIns="19050" anchor="ctr">
                <a:spAutoFit/>
              </a:bodyPr>
              <a:lstStyle/>
              <a:p>
                <a:pPr>
                  <a:defRPr sz="800" baseline="0">
                    <a:solidFill>
                      <a:schemeClr val="tx2"/>
                    </a:solidFill>
                    <a:latin typeface="Calibri" panose="020F0502020204030204" pitchFamily="34"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'мемо 2011-2016'!$J$49:$U$49</c:f>
              <c:numCache>
                <c:formatCode>#,##0.0</c:formatCode>
                <c:ptCount val="12"/>
                <c:pt idx="0">
                  <c:v>-3.4574923786243579</c:v>
                </c:pt>
                <c:pt idx="1">
                  <c:v>-1.1977763417297731</c:v>
                </c:pt>
                <c:pt idx="2">
                  <c:v>1.099509271415023</c:v>
                </c:pt>
                <c:pt idx="3" formatCode="0.0">
                  <c:v>0.63691314414627054</c:v>
                </c:pt>
                <c:pt idx="4">
                  <c:v>-0.2</c:v>
                </c:pt>
                <c:pt idx="5">
                  <c:v>-8</c:v>
                </c:pt>
                <c:pt idx="6">
                  <c:v>-4.0999999999999996</c:v>
                </c:pt>
                <c:pt idx="7">
                  <c:v>-3.2</c:v>
                </c:pt>
                <c:pt idx="8" formatCode="General">
                  <c:v>-2.8</c:v>
                </c:pt>
                <c:pt idx="9" formatCode="General">
                  <c:v>-2.2000000000000002</c:v>
                </c:pt>
                <c:pt idx="10" formatCode="General">
                  <c:v>-1.5</c:v>
                </c:pt>
                <c:pt idx="11" formatCode="General">
                  <c:v>-1.5</c:v>
                </c:pt>
              </c:numCache>
            </c:numRef>
          </c:val>
          <c:smooth val="1"/>
          <c:extLst>
            <c:ext xmlns:c16="http://schemas.microsoft.com/office/drawing/2014/chart" uri="{C3380CC4-5D6E-409C-BE32-E72D297353CC}">
              <c16:uniqueId val="{0000000C-CBAD-4A3C-BBC1-1BF3BC27DE9E}"/>
            </c:ext>
          </c:extLst>
        </c:ser>
        <c:ser>
          <c:idx val="1"/>
          <c:order val="2"/>
          <c:tx>
            <c:strRef>
              <c:f>'мемо 2011-2016'!$D$51</c:f>
              <c:strCache>
                <c:ptCount val="1"/>
                <c:pt idx="0">
                  <c:v>баланс</c:v>
                </c:pt>
              </c:strCache>
            </c:strRef>
          </c:tx>
          <c:spPr>
            <a:ln w="22225">
              <a:solidFill>
                <a:schemeClr val="tx1"/>
              </a:solidFill>
            </a:ln>
          </c:spPr>
          <c:marker>
            <c:symbol val="none"/>
          </c:marker>
          <c:val>
            <c:numRef>
              <c:f>'мемо 2011-2016'!$J$51:$U$51</c:f>
              <c:numCache>
                <c:formatCode>#,##0.0</c:formatCode>
                <c:ptCount val="12"/>
                <c:pt idx="0">
                  <c:v>0</c:v>
                </c:pt>
                <c:pt idx="1">
                  <c:v>0</c:v>
                </c:pt>
                <c:pt idx="2">
                  <c:v>0</c:v>
                </c:pt>
                <c:pt idx="3">
                  <c:v>0</c:v>
                </c:pt>
                <c:pt idx="4">
                  <c:v>0</c:v>
                </c:pt>
                <c:pt idx="5">
                  <c:v>0</c:v>
                </c:pt>
                <c:pt idx="6">
                  <c:v>0</c:v>
                </c:pt>
                <c:pt idx="7">
                  <c:v>0</c:v>
                </c:pt>
                <c:pt idx="8" formatCode="General">
                  <c:v>0</c:v>
                </c:pt>
                <c:pt idx="9" formatCode="General">
                  <c:v>0</c:v>
                </c:pt>
                <c:pt idx="10" formatCode="General">
                  <c:v>0</c:v>
                </c:pt>
                <c:pt idx="11" formatCode="General">
                  <c:v>0</c:v>
                </c:pt>
              </c:numCache>
            </c:numRef>
          </c:val>
          <c:smooth val="0"/>
          <c:extLst>
            <c:ext xmlns:c16="http://schemas.microsoft.com/office/drawing/2014/chart" uri="{C3380CC4-5D6E-409C-BE32-E72D297353CC}">
              <c16:uniqueId val="{0000000D-CBAD-4A3C-BBC1-1BF3BC27DE9E}"/>
            </c:ext>
          </c:extLst>
        </c:ser>
        <c:dLbls>
          <c:showLegendKey val="0"/>
          <c:showVal val="0"/>
          <c:showCatName val="0"/>
          <c:showSerName val="0"/>
          <c:showPercent val="0"/>
          <c:showBubbleSize val="0"/>
        </c:dLbls>
        <c:marker val="1"/>
        <c:smooth val="0"/>
        <c:axId val="426079336"/>
        <c:axId val="426078160"/>
      </c:lineChart>
      <c:catAx>
        <c:axId val="430644800"/>
        <c:scaling>
          <c:orientation val="minMax"/>
        </c:scaling>
        <c:delete val="0"/>
        <c:axPos val="b"/>
        <c:numFmt formatCode="General" sourceLinked="1"/>
        <c:majorTickMark val="out"/>
        <c:minorTickMark val="none"/>
        <c:tickLblPos val="nextTo"/>
        <c:spPr>
          <a:ln>
            <a:noFill/>
          </a:ln>
        </c:spPr>
        <c:txPr>
          <a:bodyPr/>
          <a:lstStyle/>
          <a:p>
            <a:pPr>
              <a:defRPr sz="800" baseline="0">
                <a:solidFill>
                  <a:schemeClr val="tx2"/>
                </a:solidFill>
                <a:latin typeface="Calibri" panose="020F0502020204030204" pitchFamily="34" charset="0"/>
              </a:defRPr>
            </a:pPr>
            <a:endParaRPr lang="sr-Latn-RS"/>
          </a:p>
        </c:txPr>
        <c:crossAx val="430645584"/>
        <c:crossesAt val="0"/>
        <c:auto val="1"/>
        <c:lblAlgn val="ctr"/>
        <c:lblOffset val="100"/>
        <c:noMultiLvlLbl val="0"/>
      </c:catAx>
      <c:valAx>
        <c:axId val="430645584"/>
        <c:scaling>
          <c:orientation val="minMax"/>
          <c:max val="80"/>
          <c:min val="40"/>
        </c:scaling>
        <c:delete val="0"/>
        <c:axPos val="l"/>
        <c:majorGridlines>
          <c:spPr>
            <a:ln>
              <a:noFill/>
            </a:ln>
          </c:spPr>
        </c:majorGridlines>
        <c:numFmt formatCode="#,##0" sourceLinked="0"/>
        <c:majorTickMark val="out"/>
        <c:minorTickMark val="none"/>
        <c:tickLblPos val="nextTo"/>
        <c:spPr>
          <a:ln>
            <a:noFill/>
          </a:ln>
        </c:spPr>
        <c:txPr>
          <a:bodyPr/>
          <a:lstStyle/>
          <a:p>
            <a:pPr>
              <a:defRPr sz="800" baseline="0">
                <a:solidFill>
                  <a:schemeClr val="tx2"/>
                </a:solidFill>
                <a:latin typeface="+mn-lt"/>
              </a:defRPr>
            </a:pPr>
            <a:endParaRPr lang="sr-Latn-RS"/>
          </a:p>
        </c:txPr>
        <c:crossAx val="430644800"/>
        <c:crosses val="autoZero"/>
        <c:crossBetween val="between"/>
        <c:majorUnit val="5"/>
      </c:valAx>
      <c:valAx>
        <c:axId val="426078160"/>
        <c:scaling>
          <c:orientation val="minMax"/>
        </c:scaling>
        <c:delete val="0"/>
        <c:axPos val="r"/>
        <c:numFmt formatCode="#,##0" sourceLinked="0"/>
        <c:majorTickMark val="out"/>
        <c:minorTickMark val="none"/>
        <c:tickLblPos val="nextTo"/>
        <c:spPr>
          <a:ln>
            <a:noFill/>
          </a:ln>
        </c:spPr>
        <c:txPr>
          <a:bodyPr/>
          <a:lstStyle/>
          <a:p>
            <a:pPr>
              <a:defRPr sz="800" baseline="0">
                <a:solidFill>
                  <a:schemeClr val="tx2"/>
                </a:solidFill>
                <a:latin typeface="+mn-lt"/>
              </a:defRPr>
            </a:pPr>
            <a:endParaRPr lang="sr-Latn-RS"/>
          </a:p>
        </c:txPr>
        <c:crossAx val="426079336"/>
        <c:crosses val="max"/>
        <c:crossBetween val="between"/>
      </c:valAx>
      <c:catAx>
        <c:axId val="426079336"/>
        <c:scaling>
          <c:orientation val="minMax"/>
        </c:scaling>
        <c:delete val="1"/>
        <c:axPos val="b"/>
        <c:majorTickMark val="out"/>
        <c:minorTickMark val="none"/>
        <c:tickLblPos val="nextTo"/>
        <c:crossAx val="426078160"/>
        <c:crosses val="autoZero"/>
        <c:auto val="1"/>
        <c:lblAlgn val="ctr"/>
        <c:lblOffset val="100"/>
        <c:noMultiLvlLbl val="0"/>
      </c:catAx>
      <c:spPr>
        <a:noFill/>
        <a:ln>
          <a:noFill/>
        </a:ln>
      </c:spPr>
    </c:plotArea>
    <c:legend>
      <c:legendPos val="b"/>
      <c:layout>
        <c:manualLayout>
          <c:xMode val="edge"/>
          <c:yMode val="edge"/>
          <c:x val="5.000000000000001E-2"/>
          <c:y val="0.8961356682266568"/>
          <c:w val="0.9"/>
          <c:h val="9.210654223777584E-2"/>
        </c:manualLayout>
      </c:layout>
      <c:overlay val="0"/>
      <c:txPr>
        <a:bodyPr/>
        <a:lstStyle/>
        <a:p>
          <a:pPr>
            <a:defRPr sz="800" baseline="0">
              <a:solidFill>
                <a:schemeClr val="tx2"/>
              </a:solidFill>
              <a:latin typeface="Calibri" panose="020F0502020204030204" pitchFamily="34" charset="0"/>
            </a:defRPr>
          </a:pPr>
          <a:endParaRPr lang="sr-Latn-RS"/>
        </a:p>
      </c:txPr>
    </c:legend>
    <c:plotVisOnly val="1"/>
    <c:dispBlanksAs val="gap"/>
    <c:showDLblsOverMax val="0"/>
  </c:chart>
  <c:spPr>
    <a:ln>
      <a:noFill/>
    </a:ln>
  </c:spPr>
  <c:txPr>
    <a:bodyPr/>
    <a:lstStyle/>
    <a:p>
      <a:pPr>
        <a:defRPr sz="900" baseline="0">
          <a:latin typeface="Cambria Math" pitchFamily="18" charset="0"/>
        </a:defRPr>
      </a:pPr>
      <a:endParaRPr lang="sr-Latn-RS"/>
    </a:p>
  </c:txPr>
  <c:externalData r:id="rId2">
    <c:autoUpdate val="0"/>
  </c:externalData>
  <c:userShapes r:id="rId3"/>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sr-Cyrl-R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sr-Latn-RS"/>
        </a:p>
      </c:txPr>
    </c:title>
    <c:autoTitleDeleted val="0"/>
    <c:plotArea>
      <c:layout>
        <c:manualLayout>
          <c:layoutTarget val="inner"/>
          <c:xMode val="edge"/>
          <c:yMode val="edge"/>
          <c:x val="0.17238043161271507"/>
          <c:y val="0.16425233644859813"/>
          <c:w val="0.77669364246135897"/>
          <c:h val="0.44173350994677069"/>
        </c:manualLayout>
      </c:layout>
      <c:lineChart>
        <c:grouping val="standard"/>
        <c:varyColors val="0"/>
        <c:ser>
          <c:idx val="2"/>
          <c:order val="2"/>
          <c:tx>
            <c:strRef>
              <c:f>'Графикон 1а'!$E$3</c:f>
              <c:strCache>
                <c:ptCount val="1"/>
                <c:pt idx="0">
                  <c:v>Учешће индиректног дуга у укупном јавном дугу (%)</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accent5">
                        <a:lumMod val="75000"/>
                      </a:schemeClr>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'Графикон 1а'!$B$4:$B$12</c:f>
              <c:strCache>
                <c:ptCount val="9"/>
                <c:pt idx="0">
                  <c:v>2015</c:v>
                </c:pt>
                <c:pt idx="1">
                  <c:v>2016</c:v>
                </c:pt>
                <c:pt idx="2">
                  <c:v>2017</c:v>
                </c:pt>
                <c:pt idx="3">
                  <c:v>2018</c:v>
                </c:pt>
                <c:pt idx="4">
                  <c:v>2019</c:v>
                </c:pt>
                <c:pt idx="5">
                  <c:v>2020</c:v>
                </c:pt>
                <c:pt idx="6">
                  <c:v>2021</c:v>
                </c:pt>
                <c:pt idx="7">
                  <c:v>2022</c:v>
                </c:pt>
                <c:pt idx="8">
                  <c:v>30.06.2023.</c:v>
                </c:pt>
              </c:strCache>
            </c:strRef>
          </c:cat>
          <c:val>
            <c:numRef>
              <c:f>'Графикон 1а'!$E$4:$E$12</c:f>
              <c:numCache>
                <c:formatCode>0.0%</c:formatCode>
                <c:ptCount val="9"/>
                <c:pt idx="0">
                  <c:v>9.4899104808064988E-2</c:v>
                </c:pt>
                <c:pt idx="1">
                  <c:v>8.511191075345316E-2</c:v>
                </c:pt>
                <c:pt idx="2">
                  <c:v>7.4846461106681306E-2</c:v>
                </c:pt>
                <c:pt idx="3">
                  <c:v>6.5330701538416705E-2</c:v>
                </c:pt>
                <c:pt idx="4">
                  <c:v>6.1105887896482892E-2</c:v>
                </c:pt>
                <c:pt idx="5">
                  <c:v>5.2600687469211274E-2</c:v>
                </c:pt>
                <c:pt idx="6">
                  <c:v>4.5373884107775889E-2</c:v>
                </c:pt>
                <c:pt idx="7">
                  <c:v>4.5966213255720076E-2</c:v>
                </c:pt>
                <c:pt idx="8">
                  <c:v>4.8757975411469104E-2</c:v>
                </c:pt>
              </c:numCache>
            </c:numRef>
          </c:val>
          <c:smooth val="0"/>
          <c:extLst>
            <c:ext xmlns:c16="http://schemas.microsoft.com/office/drawing/2014/chart" uri="{C3380CC4-5D6E-409C-BE32-E72D297353CC}">
              <c16:uniqueId val="{00000000-3D95-4EE1-B55E-918CB1785359}"/>
            </c:ext>
          </c:extLst>
        </c:ser>
        <c:dLbls>
          <c:dLblPos val="t"/>
          <c:showLegendKey val="0"/>
          <c:showVal val="1"/>
          <c:showCatName val="0"/>
          <c:showSerName val="0"/>
          <c:showPercent val="0"/>
          <c:showBubbleSize val="0"/>
        </c:dLbls>
        <c:marker val="1"/>
        <c:smooth val="0"/>
        <c:axId val="640768464"/>
        <c:axId val="640765552"/>
        <c:extLst>
          <c:ext xmlns:c15="http://schemas.microsoft.com/office/drawing/2012/chart" uri="{02D57815-91ED-43cb-92C2-25804820EDAC}">
            <c15:filteredLineSeries>
              <c15:ser>
                <c:idx val="0"/>
                <c:order val="0"/>
                <c:tx>
                  <c:strRef>
                    <c:extLst>
                      <c:ext uri="{02D57815-91ED-43cb-92C2-25804820EDAC}">
                        <c15:formulaRef>
                          <c15:sqref>'Графикон 1а'!$C$3</c15:sqref>
                        </c15:formulaRef>
                      </c:ext>
                    </c:extLst>
                    <c:strCache>
                      <c:ptCount val="1"/>
                      <c:pt idx="0">
                        <c:v>Укупне индиректне обавезе</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dLblPos val="t"/>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c:ext uri="{02D57815-91ED-43cb-92C2-25804820EDAC}">
                        <c15:formulaRef>
                          <c15:sqref>'Графикон 1а'!$B$4:$B$12</c15:sqref>
                        </c15:formulaRef>
                      </c:ext>
                    </c:extLst>
                    <c:strCache>
                      <c:ptCount val="9"/>
                      <c:pt idx="0">
                        <c:v>2015</c:v>
                      </c:pt>
                      <c:pt idx="1">
                        <c:v>2016</c:v>
                      </c:pt>
                      <c:pt idx="2">
                        <c:v>2017</c:v>
                      </c:pt>
                      <c:pt idx="3">
                        <c:v>2018</c:v>
                      </c:pt>
                      <c:pt idx="4">
                        <c:v>2019</c:v>
                      </c:pt>
                      <c:pt idx="5">
                        <c:v>2020</c:v>
                      </c:pt>
                      <c:pt idx="6">
                        <c:v>2021</c:v>
                      </c:pt>
                      <c:pt idx="7">
                        <c:v>2022</c:v>
                      </c:pt>
                      <c:pt idx="8">
                        <c:v>30.06.2023.</c:v>
                      </c:pt>
                    </c:strCache>
                  </c:strRef>
                </c:cat>
                <c:val>
                  <c:numRef>
                    <c:extLst>
                      <c:ext uri="{02D57815-91ED-43cb-92C2-25804820EDAC}">
                        <c15:formulaRef>
                          <c15:sqref>'Графикон 1а'!$C$4:$C$12</c15:sqref>
                        </c15:formulaRef>
                      </c:ext>
                    </c:extLst>
                    <c:numCache>
                      <c:formatCode>#,##0</c:formatCode>
                      <c:ptCount val="9"/>
                      <c:pt idx="0">
                        <c:v>2397160544.5766659</c:v>
                      </c:pt>
                      <c:pt idx="1">
                        <c:v>2144334522</c:v>
                      </c:pt>
                      <c:pt idx="2">
                        <c:v>1762930209</c:v>
                      </c:pt>
                      <c:pt idx="3">
                        <c:v>1524063240</c:v>
                      </c:pt>
                      <c:pt idx="4">
                        <c:v>1488224891</c:v>
                      </c:pt>
                      <c:pt idx="5">
                        <c:v>1423153551</c:v>
                      </c:pt>
                      <c:pt idx="6">
                        <c:v>1382171362</c:v>
                      </c:pt>
                      <c:pt idx="7">
                        <c:v>1545943015</c:v>
                      </c:pt>
                      <c:pt idx="8">
                        <c:v>1756459093.9100001</c:v>
                      </c:pt>
                    </c:numCache>
                  </c:numRef>
                </c:val>
                <c:smooth val="0"/>
                <c:extLst>
                  <c:ext xmlns:c16="http://schemas.microsoft.com/office/drawing/2014/chart" uri="{C3380CC4-5D6E-409C-BE32-E72D297353CC}">
                    <c16:uniqueId val="{00000001-3D95-4EE1-B55E-918CB1785359}"/>
                  </c:ext>
                </c:extLst>
              </c15:ser>
            </c15:filteredLineSeries>
            <c15:filteredLineSeries>
              <c15:ser>
                <c:idx val="1"/>
                <c:order val="1"/>
                <c:tx>
                  <c:strRef>
                    <c:extLst xmlns:c15="http://schemas.microsoft.com/office/drawing/2012/chart">
                      <c:ext xmlns:c15="http://schemas.microsoft.com/office/drawing/2012/chart" uri="{02D57815-91ED-43cb-92C2-25804820EDAC}">
                        <c15:formulaRef>
                          <c15:sqref>'Графикон 1а'!$D$3</c15:sqref>
                        </c15:formulaRef>
                      </c:ext>
                    </c:extLst>
                    <c:strCache>
                      <c:ptCount val="1"/>
                      <c:pt idx="0">
                        <c:v>Стање јавног дуга општег нивоа државе</c:v>
                      </c:pt>
                    </c:strCache>
                  </c:strRef>
                </c:tx>
                <c:spPr>
                  <a:ln w="28575" cap="rnd">
                    <a:solidFill>
                      <a:schemeClr val="accent3"/>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dLblPos val="t"/>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xmlns:c15="http://schemas.microsoft.com/office/drawing/2012/chart">
                      <c:ext xmlns:c15="http://schemas.microsoft.com/office/drawing/2012/chart" uri="{02D57815-91ED-43cb-92C2-25804820EDAC}">
                        <c15:formulaRef>
                          <c15:sqref>'Графикон 1а'!$B$4:$B$12</c15:sqref>
                        </c15:formulaRef>
                      </c:ext>
                    </c:extLst>
                    <c:strCache>
                      <c:ptCount val="9"/>
                      <c:pt idx="0">
                        <c:v>2015</c:v>
                      </c:pt>
                      <c:pt idx="1">
                        <c:v>2016</c:v>
                      </c:pt>
                      <c:pt idx="2">
                        <c:v>2017</c:v>
                      </c:pt>
                      <c:pt idx="3">
                        <c:v>2018</c:v>
                      </c:pt>
                      <c:pt idx="4">
                        <c:v>2019</c:v>
                      </c:pt>
                      <c:pt idx="5">
                        <c:v>2020</c:v>
                      </c:pt>
                      <c:pt idx="6">
                        <c:v>2021</c:v>
                      </c:pt>
                      <c:pt idx="7">
                        <c:v>2022</c:v>
                      </c:pt>
                      <c:pt idx="8">
                        <c:v>30.06.2023.</c:v>
                      </c:pt>
                    </c:strCache>
                  </c:strRef>
                </c:cat>
                <c:val>
                  <c:numRef>
                    <c:extLst xmlns:c15="http://schemas.microsoft.com/office/drawing/2012/chart">
                      <c:ext xmlns:c15="http://schemas.microsoft.com/office/drawing/2012/chart" uri="{02D57815-91ED-43cb-92C2-25804820EDAC}">
                        <c15:formulaRef>
                          <c15:sqref>'Графикон 1а'!$D$4:$D$12</c15:sqref>
                        </c15:formulaRef>
                      </c:ext>
                    </c:extLst>
                    <c:numCache>
                      <c:formatCode>#,##0.0</c:formatCode>
                      <c:ptCount val="9"/>
                      <c:pt idx="0">
                        <c:v>25260096493.270012</c:v>
                      </c:pt>
                      <c:pt idx="1">
                        <c:v>25194294230</c:v>
                      </c:pt>
                      <c:pt idx="2">
                        <c:v>23553955430</c:v>
                      </c:pt>
                      <c:pt idx="3">
                        <c:v>23328438301</c:v>
                      </c:pt>
                      <c:pt idx="4">
                        <c:v>24354852572</c:v>
                      </c:pt>
                      <c:pt idx="5" formatCode="#,##0">
                        <c:v>27055797547</c:v>
                      </c:pt>
                      <c:pt idx="6" formatCode="#,##0">
                        <c:v>30461825986</c:v>
                      </c:pt>
                      <c:pt idx="7">
                        <c:v>33632159482</c:v>
                      </c:pt>
                      <c:pt idx="8">
                        <c:v>36024036664.509178</c:v>
                      </c:pt>
                    </c:numCache>
                  </c:numRef>
                </c:val>
                <c:smooth val="0"/>
                <c:extLst xmlns:c15="http://schemas.microsoft.com/office/drawing/2012/chart">
                  <c:ext xmlns:c16="http://schemas.microsoft.com/office/drawing/2014/chart" uri="{C3380CC4-5D6E-409C-BE32-E72D297353CC}">
                    <c16:uniqueId val="{00000002-3D95-4EE1-B55E-918CB1785359}"/>
                  </c:ext>
                </c:extLst>
              </c15:ser>
            </c15:filteredLineSeries>
          </c:ext>
        </c:extLst>
      </c:lineChart>
      <c:catAx>
        <c:axId val="640768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accent5">
                    <a:lumMod val="50000"/>
                  </a:schemeClr>
                </a:solidFill>
                <a:latin typeface="+mn-lt"/>
                <a:ea typeface="+mn-ea"/>
                <a:cs typeface="+mn-cs"/>
              </a:defRPr>
            </a:pPr>
            <a:endParaRPr lang="sr-Latn-RS"/>
          </a:p>
        </c:txPr>
        <c:crossAx val="640765552"/>
        <c:crosses val="autoZero"/>
        <c:auto val="1"/>
        <c:lblAlgn val="ctr"/>
        <c:lblOffset val="100"/>
        <c:noMultiLvlLbl val="0"/>
      </c:catAx>
      <c:valAx>
        <c:axId val="64076555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accent5">
                    <a:lumMod val="50000"/>
                  </a:schemeClr>
                </a:solidFill>
                <a:latin typeface="+mn-lt"/>
                <a:ea typeface="+mn-ea"/>
                <a:cs typeface="+mn-cs"/>
              </a:defRPr>
            </a:pPr>
            <a:endParaRPr lang="sr-Latn-RS"/>
          </a:p>
        </c:txPr>
        <c:crossAx val="64076846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19403770635564"/>
          <c:y val="4.5822562776957163E-2"/>
          <c:w val="0.82794583186060833"/>
          <c:h val="0.56761519393409154"/>
        </c:manualLayout>
      </c:layout>
      <c:barChart>
        <c:barDir val="col"/>
        <c:grouping val="clustered"/>
        <c:varyColors val="0"/>
        <c:ser>
          <c:idx val="0"/>
          <c:order val="0"/>
          <c:tx>
            <c:strRef>
              <c:f>'Графикон 2'!$A$9</c:f>
              <c:strCache>
                <c:ptCount val="1"/>
                <c:pt idx="0">
                  <c:v>укупно отплата по основу активираних гаранција 
(главница и камата)</c:v>
                </c:pt>
              </c:strCache>
            </c:strRef>
          </c:tx>
          <c:spPr>
            <a:solidFill>
              <a:schemeClr val="accent1"/>
            </a:solidFill>
            <a:ln>
              <a:noFill/>
            </a:ln>
            <a:effectLst/>
          </c:spPr>
          <c:invertIfNegative val="0"/>
          <c:dLbls>
            <c:numFmt formatCode="#,##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sr-Latn-R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'Графикон 2'!$G$6:$O$6</c:f>
              <c:strCache>
                <c:ptCount val="9"/>
                <c:pt idx="0">
                  <c:v>2015</c:v>
                </c:pt>
                <c:pt idx="1">
                  <c:v>2016</c:v>
                </c:pt>
                <c:pt idx="2">
                  <c:v>2017</c:v>
                </c:pt>
                <c:pt idx="3">
                  <c:v>2018</c:v>
                </c:pt>
                <c:pt idx="4">
                  <c:v>2019</c:v>
                </c:pt>
                <c:pt idx="5">
                  <c:v>2020</c:v>
                </c:pt>
                <c:pt idx="6">
                  <c:v>2021</c:v>
                </c:pt>
                <c:pt idx="7">
                  <c:v>2022</c:v>
                </c:pt>
                <c:pt idx="8">
                  <c:v>30.06.2023.</c:v>
                </c:pt>
              </c:strCache>
            </c:strRef>
          </c:cat>
          <c:val>
            <c:numRef>
              <c:f>'Графикон 2'!$G$9:$O$9</c:f>
              <c:numCache>
                <c:formatCode>#,##0.0</c:formatCode>
                <c:ptCount val="9"/>
                <c:pt idx="0">
                  <c:v>47.198649079570004</c:v>
                </c:pt>
                <c:pt idx="1">
                  <c:v>55.260000000000005</c:v>
                </c:pt>
                <c:pt idx="2">
                  <c:v>36.670999999999999</c:v>
                </c:pt>
                <c:pt idx="3">
                  <c:v>26.008000000000003</c:v>
                </c:pt>
                <c:pt idx="4">
                  <c:v>17.100000000000001</c:v>
                </c:pt>
                <c:pt idx="5">
                  <c:v>13.200000000000001</c:v>
                </c:pt>
                <c:pt idx="6">
                  <c:v>12.92</c:v>
                </c:pt>
                <c:pt idx="7">
                  <c:v>23.3</c:v>
                </c:pt>
                <c:pt idx="8">
                  <c:v>15.24</c:v>
                </c:pt>
              </c:numCache>
            </c:numRef>
          </c:val>
          <c:extLst>
            <c:ext xmlns:c16="http://schemas.microsoft.com/office/drawing/2014/chart" uri="{C3380CC4-5D6E-409C-BE32-E72D297353CC}">
              <c16:uniqueId val="{00000000-C9B1-47CE-B5B4-04C9CAB2F73B}"/>
            </c:ext>
          </c:extLst>
        </c:ser>
        <c:ser>
          <c:idx val="1"/>
          <c:order val="1"/>
          <c:tx>
            <c:strRef>
              <c:f>'Графикон 2'!$A$12</c:f>
              <c:strCache>
                <c:ptCount val="1"/>
                <c:pt idx="0">
                  <c:v>отплата гаранција (главница) укључена у расходе (утиче на дефицит)</c:v>
                </c:pt>
              </c:strCache>
            </c:strRef>
          </c:tx>
          <c:spPr>
            <a:solidFill>
              <a:srgbClr val="FF0000"/>
            </a:solidFill>
            <a:ln>
              <a:noFill/>
            </a:ln>
            <a:effectLst/>
          </c:spPr>
          <c:invertIfNegative val="0"/>
          <c:dLbls>
            <c:numFmt formatCode="#,##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sr-Latn-R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'Графикон 2'!$G$6:$O$6</c:f>
              <c:strCache>
                <c:ptCount val="9"/>
                <c:pt idx="0">
                  <c:v>2015</c:v>
                </c:pt>
                <c:pt idx="1">
                  <c:v>2016</c:v>
                </c:pt>
                <c:pt idx="2">
                  <c:v>2017</c:v>
                </c:pt>
                <c:pt idx="3">
                  <c:v>2018</c:v>
                </c:pt>
                <c:pt idx="4">
                  <c:v>2019</c:v>
                </c:pt>
                <c:pt idx="5">
                  <c:v>2020</c:v>
                </c:pt>
                <c:pt idx="6">
                  <c:v>2021</c:v>
                </c:pt>
                <c:pt idx="7">
                  <c:v>2022</c:v>
                </c:pt>
                <c:pt idx="8">
                  <c:v>30.06.2023.</c:v>
                </c:pt>
              </c:strCache>
            </c:strRef>
          </c:cat>
          <c:val>
            <c:numRef>
              <c:f>'Графикон 2'!$G$12:$O$12</c:f>
              <c:numCache>
                <c:formatCode>#,##0.0</c:formatCode>
                <c:ptCount val="9"/>
                <c:pt idx="0">
                  <c:v>30.099999999999998</c:v>
                </c:pt>
                <c:pt idx="1">
                  <c:v>39.116</c:v>
                </c:pt>
                <c:pt idx="2">
                  <c:v>28.8</c:v>
                </c:pt>
                <c:pt idx="3">
                  <c:v>19.727</c:v>
                </c:pt>
                <c:pt idx="4">
                  <c:v>10.8</c:v>
                </c:pt>
                <c:pt idx="5">
                  <c:v>7.5</c:v>
                </c:pt>
                <c:pt idx="6">
                  <c:v>7.7</c:v>
                </c:pt>
                <c:pt idx="7" formatCode="0.0">
                  <c:v>17.744700000000002</c:v>
                </c:pt>
                <c:pt idx="8" formatCode="0.0">
                  <c:v>11.2356</c:v>
                </c:pt>
              </c:numCache>
            </c:numRef>
          </c:val>
          <c:extLst>
            <c:ext xmlns:c16="http://schemas.microsoft.com/office/drawing/2014/chart" uri="{C3380CC4-5D6E-409C-BE32-E72D297353CC}">
              <c16:uniqueId val="{00000001-C9B1-47CE-B5B4-04C9CAB2F73B}"/>
            </c:ext>
          </c:extLst>
        </c:ser>
        <c:dLbls>
          <c:showLegendKey val="0"/>
          <c:showVal val="0"/>
          <c:showCatName val="0"/>
          <c:showSerName val="0"/>
          <c:showPercent val="0"/>
          <c:showBubbleSize val="0"/>
        </c:dLbls>
        <c:gapWidth val="150"/>
        <c:axId val="317812640"/>
        <c:axId val="320971984"/>
      </c:barChart>
      <c:catAx>
        <c:axId val="3178126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accent5">
                    <a:lumMod val="50000"/>
                  </a:schemeClr>
                </a:solidFill>
                <a:latin typeface="+mn-lt"/>
                <a:ea typeface="+mn-ea"/>
                <a:cs typeface="+mn-cs"/>
              </a:defRPr>
            </a:pPr>
            <a:endParaRPr lang="sr-Latn-RS"/>
          </a:p>
        </c:txPr>
        <c:crossAx val="320971984"/>
        <c:crosses val="autoZero"/>
        <c:auto val="1"/>
        <c:lblAlgn val="ctr"/>
        <c:lblOffset val="100"/>
        <c:noMultiLvlLbl val="0"/>
      </c:catAx>
      <c:valAx>
        <c:axId val="3209719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cap="all" baseline="0">
                    <a:solidFill>
                      <a:schemeClr val="accent5">
                        <a:lumMod val="50000"/>
                      </a:schemeClr>
                    </a:solidFill>
                    <a:latin typeface="+mn-lt"/>
                    <a:ea typeface="+mn-ea"/>
                    <a:cs typeface="+mn-cs"/>
                  </a:defRPr>
                </a:pPr>
                <a:r>
                  <a:rPr lang="sr-Cyrl-RS">
                    <a:solidFill>
                      <a:schemeClr val="accent5">
                        <a:lumMod val="50000"/>
                      </a:schemeClr>
                    </a:solidFill>
                  </a:rPr>
                  <a:t>млрд</a:t>
                </a:r>
                <a:r>
                  <a:rPr lang="sr-Cyrl-RS" baseline="0">
                    <a:solidFill>
                      <a:schemeClr val="accent5">
                        <a:lumMod val="50000"/>
                      </a:schemeClr>
                    </a:solidFill>
                  </a:rPr>
                  <a:t> </a:t>
                </a:r>
                <a:r>
                  <a:rPr lang="sr-Latn-RS">
                    <a:solidFill>
                      <a:schemeClr val="accent5">
                        <a:lumMod val="50000"/>
                      </a:schemeClr>
                    </a:solidFill>
                  </a:rPr>
                  <a:t> </a:t>
                </a:r>
                <a:r>
                  <a:rPr lang="sr-Cyrl-RS">
                    <a:solidFill>
                      <a:schemeClr val="accent5">
                        <a:lumMod val="50000"/>
                      </a:schemeClr>
                    </a:solidFill>
                  </a:rPr>
                  <a:t>динара</a:t>
                </a:r>
                <a:endParaRPr lang="sr-Latn-RS">
                  <a:solidFill>
                    <a:schemeClr val="accent5">
                      <a:lumMod val="50000"/>
                    </a:schemeClr>
                  </a:solidFill>
                </a:endParaRPr>
              </a:p>
            </c:rich>
          </c:tx>
          <c:layout>
            <c:manualLayout>
              <c:xMode val="edge"/>
              <c:yMode val="edge"/>
              <c:x val="1.3888888888888888E-2"/>
              <c:y val="0.3619134587343249"/>
            </c:manualLayout>
          </c:layout>
          <c:overlay val="0"/>
          <c:spPr>
            <a:noFill/>
            <a:ln>
              <a:noFill/>
            </a:ln>
            <a:effectLst/>
          </c:spPr>
          <c:txPr>
            <a:bodyPr rot="-5400000" spcFirstLastPara="1" vertOverflow="ellipsis" vert="horz" wrap="square" anchor="ctr" anchorCtr="1"/>
            <a:lstStyle/>
            <a:p>
              <a:pPr>
                <a:defRPr sz="900" b="0" i="0" u="none" strike="noStrike" kern="1200" cap="all" baseline="0">
                  <a:solidFill>
                    <a:schemeClr val="accent5">
                      <a:lumMod val="50000"/>
                    </a:schemeClr>
                  </a:solidFill>
                  <a:latin typeface="+mn-lt"/>
                  <a:ea typeface="+mn-ea"/>
                  <a:cs typeface="+mn-cs"/>
                </a:defRPr>
              </a:pPr>
              <a:endParaRPr lang="sr-Latn-R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accent5">
                    <a:lumMod val="50000"/>
                  </a:schemeClr>
                </a:solidFill>
                <a:latin typeface="+mn-lt"/>
                <a:ea typeface="+mn-ea"/>
                <a:cs typeface="+mn-cs"/>
              </a:defRPr>
            </a:pPr>
            <a:endParaRPr lang="sr-Latn-RS"/>
          </a:p>
        </c:txPr>
        <c:crossAx val="317812640"/>
        <c:crosses val="autoZero"/>
        <c:crossBetween val="between"/>
      </c:valAx>
      <c:spPr>
        <a:noFill/>
        <a:ln>
          <a:noFill/>
        </a:ln>
        <a:effectLst/>
      </c:spPr>
    </c:plotArea>
    <c:legend>
      <c:legendPos val="r"/>
      <c:layout>
        <c:manualLayout>
          <c:xMode val="edge"/>
          <c:yMode val="edge"/>
          <c:x val="4.7291410419303542E-2"/>
          <c:y val="0.77851633129192188"/>
          <c:w val="0.85236711154267952"/>
          <c:h val="0.1937058909303003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accent5">
                  <a:lumMod val="50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000" b="0" i="0" u="none" strike="noStrike" kern="1200" spc="0" baseline="0">
                <a:solidFill>
                  <a:sysClr val="windowText" lastClr="000000">
                    <a:lumMod val="65000"/>
                    <a:lumOff val="35000"/>
                  </a:sysClr>
                </a:solidFill>
                <a:latin typeface="+mn-lt"/>
                <a:ea typeface="+mn-ea"/>
                <a:cs typeface="+mn-cs"/>
              </a:defRPr>
            </a:pPr>
            <a:endParaRPr lang="en-US" sz="1000">
              <a:effectLst/>
            </a:endParaRPr>
          </a:p>
        </c:rich>
      </c:tx>
      <c:overlay val="0"/>
      <c:spPr>
        <a:noFill/>
        <a:ln w="25400">
          <a:noFill/>
        </a:ln>
      </c:spPr>
    </c:title>
    <c:autoTitleDeleted val="0"/>
    <c:plotArea>
      <c:layout/>
      <c:lineChart>
        <c:grouping val="stacked"/>
        <c:varyColors val="0"/>
        <c:ser>
          <c:idx val="0"/>
          <c:order val="0"/>
          <c:spPr>
            <a:ln w="28575" cap="rnd">
              <a:solidFill>
                <a:srgbClr val="C00000"/>
              </a:solidFill>
              <a:round/>
            </a:ln>
            <a:effectLst/>
          </c:spPr>
          <c:marker>
            <c:symbol val="none"/>
          </c:marker>
          <c:cat>
            <c:strRef>
              <c:f>'Ukupan broj predmeta - DP'!$A$5:$A$11</c:f>
              <c:strCache>
                <c:ptCount val="7"/>
                <c:pt idx="0">
                  <c:v>2017</c:v>
                </c:pt>
                <c:pt idx="1">
                  <c:v>2018</c:v>
                </c:pt>
                <c:pt idx="2">
                  <c:v>2019</c:v>
                </c:pt>
                <c:pt idx="3">
                  <c:v>2020</c:v>
                </c:pt>
                <c:pt idx="4">
                  <c:v>2021</c:v>
                </c:pt>
                <c:pt idx="5">
                  <c:v>2022</c:v>
                </c:pt>
                <c:pt idx="6">
                  <c:v>VI 2023</c:v>
                </c:pt>
              </c:strCache>
            </c:strRef>
          </c:cat>
          <c:val>
            <c:numRef>
              <c:f>'Ukupan broj predmeta - DP'!$F$5:$F$11</c:f>
              <c:numCache>
                <c:formatCode>#.##0</c:formatCode>
                <c:ptCount val="7"/>
                <c:pt idx="0">
                  <c:v>262773</c:v>
                </c:pt>
                <c:pt idx="1">
                  <c:v>297359</c:v>
                </c:pt>
                <c:pt idx="2">
                  <c:v>296980</c:v>
                </c:pt>
                <c:pt idx="3">
                  <c:v>324253</c:v>
                </c:pt>
                <c:pt idx="4">
                  <c:v>267502</c:v>
                </c:pt>
                <c:pt idx="5">
                  <c:v>306727</c:v>
                </c:pt>
                <c:pt idx="6">
                  <c:v>310247</c:v>
                </c:pt>
              </c:numCache>
            </c:numRef>
          </c:val>
          <c:smooth val="0"/>
          <c:extLst>
            <c:ext xmlns:c16="http://schemas.microsoft.com/office/drawing/2014/chart" uri="{C3380CC4-5D6E-409C-BE32-E72D297353CC}">
              <c16:uniqueId val="{00000000-21D2-424E-94BA-A60B1348BBFC}"/>
            </c:ext>
          </c:extLst>
        </c:ser>
        <c:dLbls>
          <c:showLegendKey val="0"/>
          <c:showVal val="0"/>
          <c:showCatName val="0"/>
          <c:showSerName val="0"/>
          <c:showPercent val="0"/>
          <c:showBubbleSize val="0"/>
        </c:dLbls>
        <c:smooth val="0"/>
        <c:axId val="170767776"/>
        <c:axId val="1"/>
      </c:lineChart>
      <c:catAx>
        <c:axId val="170767776"/>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rgbClr val="0070C0"/>
                </a:solidFill>
                <a:latin typeface="+mn-lt"/>
                <a:ea typeface="+mn-ea"/>
                <a:cs typeface="+mn-cs"/>
              </a:defRPr>
            </a:pPr>
            <a:endParaRPr lang="sr-Latn-RS"/>
          </a:p>
        </c:txPr>
        <c:crossAx val="1"/>
        <c:crosses val="autoZero"/>
        <c:auto val="1"/>
        <c:lblAlgn val="ctr"/>
        <c:lblOffset val="100"/>
        <c:noMultiLvlLbl val="0"/>
      </c:catAx>
      <c:valAx>
        <c:axId val="1"/>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ln w="9525">
            <a:noFill/>
          </a:ln>
        </c:spPr>
        <c:txPr>
          <a:bodyPr rot="-60000000" spcFirstLastPara="1" vertOverflow="ellipsis" vert="horz" wrap="square" anchor="ctr" anchorCtr="1"/>
          <a:lstStyle/>
          <a:p>
            <a:pPr>
              <a:defRPr sz="800" b="0" i="0" u="none" strike="noStrike" kern="1200" baseline="0">
                <a:solidFill>
                  <a:srgbClr val="0070C0"/>
                </a:solidFill>
                <a:latin typeface="+mn-lt"/>
                <a:ea typeface="+mn-ea"/>
                <a:cs typeface="+mn-cs"/>
              </a:defRPr>
            </a:pPr>
            <a:endParaRPr lang="sr-Latn-RS"/>
          </a:p>
        </c:txPr>
        <c:crossAx val="170767776"/>
        <c:crosses val="autoZero"/>
        <c:crossBetween val="between"/>
      </c:valAx>
      <c:spPr>
        <a:noFill/>
        <a:ln w="25400">
          <a:noFill/>
        </a:ln>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959114265646373"/>
          <c:y val="0.18568706149085448"/>
          <c:w val="0.78406491442090864"/>
          <c:h val="0.59810002348928182"/>
        </c:manualLayout>
      </c:layout>
      <c:barChart>
        <c:barDir val="col"/>
        <c:grouping val="clustered"/>
        <c:varyColors val="0"/>
        <c:ser>
          <c:idx val="0"/>
          <c:order val="0"/>
          <c:tx>
            <c:strRef>
              <c:f>'sudski postupci'!$B$4</c:f>
              <c:strCache>
                <c:ptCount val="1"/>
                <c:pt idx="0">
                  <c:v>План</c:v>
                </c:pt>
              </c:strCache>
            </c:strRef>
          </c:tx>
          <c:spPr>
            <a:solidFill>
              <a:srgbClr val="002060"/>
            </a:solidFill>
            <a:ln>
              <a:noFill/>
            </a:ln>
            <a:effectLst/>
          </c:spPr>
          <c:invertIfNegative val="0"/>
          <c:cat>
            <c:strRef>
              <c:f>'sudski postupci'!$A$5:$A$10</c:f>
              <c:strCache>
                <c:ptCount val="6"/>
                <c:pt idx="0">
                  <c:v>2018</c:v>
                </c:pt>
                <c:pt idx="1">
                  <c:v>2019</c:v>
                </c:pt>
                <c:pt idx="2">
                  <c:v>2020</c:v>
                </c:pt>
                <c:pt idx="3">
                  <c:v>2021</c:v>
                </c:pt>
                <c:pt idx="4">
                  <c:v>2022</c:v>
                </c:pt>
                <c:pt idx="5">
                  <c:v>VI 2023</c:v>
                </c:pt>
              </c:strCache>
            </c:strRef>
          </c:cat>
          <c:val>
            <c:numRef>
              <c:f>'sudski postupci'!$B$5:$B$10</c:f>
              <c:numCache>
                <c:formatCode>#.##0</c:formatCode>
                <c:ptCount val="6"/>
                <c:pt idx="0">
                  <c:v>16346.619000000001</c:v>
                </c:pt>
                <c:pt idx="1">
                  <c:v>18470.272168</c:v>
                </c:pt>
                <c:pt idx="2">
                  <c:v>23456.366436</c:v>
                </c:pt>
                <c:pt idx="3">
                  <c:v>13148.306</c:v>
                </c:pt>
                <c:pt idx="4">
                  <c:v>34112.857990999997</c:v>
                </c:pt>
                <c:pt idx="5">
                  <c:v>28884.977999999999</c:v>
                </c:pt>
              </c:numCache>
            </c:numRef>
          </c:val>
          <c:extLst xmlns:c15="http://schemas.microsoft.com/office/drawing/2012/chart">
            <c:ext xmlns:c16="http://schemas.microsoft.com/office/drawing/2014/chart" uri="{C3380CC4-5D6E-409C-BE32-E72D297353CC}">
              <c16:uniqueId val="{00000000-6E1D-4593-A278-E48FAF19E3C3}"/>
            </c:ext>
          </c:extLst>
        </c:ser>
        <c:ser>
          <c:idx val="1"/>
          <c:order val="1"/>
          <c:tx>
            <c:strRef>
              <c:f>'sudski postupci'!$C$4</c:f>
              <c:strCache>
                <c:ptCount val="1"/>
                <c:pt idx="0">
                  <c:v>Апропријација </c:v>
                </c:pt>
              </c:strCache>
            </c:strRef>
          </c:tx>
          <c:spPr>
            <a:solidFill>
              <a:srgbClr val="0070C0"/>
            </a:solidFill>
            <a:ln>
              <a:noFill/>
            </a:ln>
            <a:effectLst/>
          </c:spPr>
          <c:invertIfNegative val="0"/>
          <c:cat>
            <c:strRef>
              <c:f>'sudski postupci'!$A$5:$A$10</c:f>
              <c:strCache>
                <c:ptCount val="6"/>
                <c:pt idx="0">
                  <c:v>2018</c:v>
                </c:pt>
                <c:pt idx="1">
                  <c:v>2019</c:v>
                </c:pt>
                <c:pt idx="2">
                  <c:v>2020</c:v>
                </c:pt>
                <c:pt idx="3">
                  <c:v>2021</c:v>
                </c:pt>
                <c:pt idx="4">
                  <c:v>2022</c:v>
                </c:pt>
                <c:pt idx="5">
                  <c:v>VI 2023</c:v>
                </c:pt>
              </c:strCache>
            </c:strRef>
          </c:cat>
          <c:val>
            <c:numRef>
              <c:f>'sudski postupci'!$C$5:$C$10</c:f>
              <c:numCache>
                <c:formatCode>#.##0</c:formatCode>
                <c:ptCount val="6"/>
                <c:pt idx="0">
                  <c:v>19160.276827999998</c:v>
                </c:pt>
                <c:pt idx="1">
                  <c:v>18470.272168</c:v>
                </c:pt>
                <c:pt idx="2">
                  <c:v>23797.616865659998</c:v>
                </c:pt>
                <c:pt idx="3">
                  <c:v>17230.289154080001</c:v>
                </c:pt>
                <c:pt idx="4">
                  <c:v>31169.75947945</c:v>
                </c:pt>
                <c:pt idx="5">
                  <c:v>28708.35132944</c:v>
                </c:pt>
              </c:numCache>
            </c:numRef>
          </c:val>
          <c:extLst>
            <c:ext xmlns:c16="http://schemas.microsoft.com/office/drawing/2014/chart" uri="{C3380CC4-5D6E-409C-BE32-E72D297353CC}">
              <c16:uniqueId val="{00000001-6E1D-4593-A278-E48FAF19E3C3}"/>
            </c:ext>
          </c:extLst>
        </c:ser>
        <c:ser>
          <c:idx val="2"/>
          <c:order val="2"/>
          <c:tx>
            <c:strRef>
              <c:f>'sudski postupci'!$D$4</c:f>
              <c:strCache>
                <c:ptCount val="1"/>
                <c:pt idx="0">
                  <c:v>Извршење</c:v>
                </c:pt>
              </c:strCache>
            </c:strRef>
          </c:tx>
          <c:spPr>
            <a:solidFill>
              <a:srgbClr val="FF0000"/>
            </a:solidFill>
            <a:ln>
              <a:noFill/>
            </a:ln>
            <a:effectLst/>
          </c:spPr>
          <c:invertIfNegative val="0"/>
          <c:cat>
            <c:strRef>
              <c:f>'sudski postupci'!$A$5:$A$10</c:f>
              <c:strCache>
                <c:ptCount val="6"/>
                <c:pt idx="0">
                  <c:v>2018</c:v>
                </c:pt>
                <c:pt idx="1">
                  <c:v>2019</c:v>
                </c:pt>
                <c:pt idx="2">
                  <c:v>2020</c:v>
                </c:pt>
                <c:pt idx="3">
                  <c:v>2021</c:v>
                </c:pt>
                <c:pt idx="4">
                  <c:v>2022</c:v>
                </c:pt>
                <c:pt idx="5">
                  <c:v>VI 2023</c:v>
                </c:pt>
              </c:strCache>
            </c:strRef>
          </c:cat>
          <c:val>
            <c:numRef>
              <c:f>'sudski postupci'!$D$5:$D$10</c:f>
              <c:numCache>
                <c:formatCode>#.##0</c:formatCode>
                <c:ptCount val="6"/>
                <c:pt idx="0">
                  <c:v>15761.609167000001</c:v>
                </c:pt>
                <c:pt idx="1">
                  <c:v>17575.117548999999</c:v>
                </c:pt>
                <c:pt idx="2">
                  <c:v>22920.598788900003</c:v>
                </c:pt>
                <c:pt idx="3">
                  <c:v>16942.710179879999</c:v>
                </c:pt>
                <c:pt idx="4">
                  <c:v>26824.152226400001</c:v>
                </c:pt>
                <c:pt idx="5">
                  <c:v>15611.150942049999</c:v>
                </c:pt>
              </c:numCache>
            </c:numRef>
          </c:val>
          <c:extLst>
            <c:ext xmlns:c16="http://schemas.microsoft.com/office/drawing/2014/chart" uri="{C3380CC4-5D6E-409C-BE32-E72D297353CC}">
              <c16:uniqueId val="{00000002-6E1D-4593-A278-E48FAF19E3C3}"/>
            </c:ext>
          </c:extLst>
        </c:ser>
        <c:dLbls>
          <c:showLegendKey val="0"/>
          <c:showVal val="0"/>
          <c:showCatName val="0"/>
          <c:showSerName val="0"/>
          <c:showPercent val="0"/>
          <c:showBubbleSize val="0"/>
        </c:dLbls>
        <c:gapWidth val="219"/>
        <c:overlap val="-27"/>
        <c:axId val="2134917552"/>
        <c:axId val="2134912144"/>
        <c:extLst/>
      </c:barChart>
      <c:catAx>
        <c:axId val="2134917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crossAx val="2134912144"/>
        <c:crosses val="autoZero"/>
        <c:auto val="1"/>
        <c:lblAlgn val="ctr"/>
        <c:lblOffset val="100"/>
        <c:noMultiLvlLbl val="0"/>
      </c:catAx>
      <c:valAx>
        <c:axId val="21349121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crossAx val="2134917552"/>
        <c:crosses val="autoZero"/>
        <c:crossBetween val="between"/>
      </c:valAx>
      <c:spPr>
        <a:noFill/>
        <a:ln>
          <a:noFill/>
        </a:ln>
        <a:effectLst/>
      </c:spPr>
    </c:plotArea>
    <c:legend>
      <c:legendPos val="b"/>
      <c:layout>
        <c:manualLayout>
          <c:xMode val="edge"/>
          <c:yMode val="edge"/>
          <c:x val="8.3742748716919946E-2"/>
          <c:y val="0.89071796773325773"/>
          <c:w val="0.85184635360070438"/>
          <c:h val="9.9388175500067386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3">
    <c:autoUpdate val="0"/>
  </c:externalData>
  <c:userShapes r:id="rId4"/>
</c:chartSpace>
</file>

<file path=word/charts/chart6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295895304753572"/>
          <c:y val="0.14121510673234811"/>
          <c:w val="0.78147382618839312"/>
          <c:h val="0.65017685516583168"/>
        </c:manualLayout>
      </c:layout>
      <c:barChart>
        <c:barDir val="col"/>
        <c:grouping val="clustered"/>
        <c:varyColors val="0"/>
        <c:ser>
          <c:idx val="0"/>
          <c:order val="0"/>
          <c:tx>
            <c:strRef>
              <c:f>'elementarne nepogode'!$B$4</c:f>
              <c:strCache>
                <c:ptCount val="1"/>
                <c:pt idx="0">
                  <c:v>План</c:v>
                </c:pt>
              </c:strCache>
            </c:strRef>
          </c:tx>
          <c:spPr>
            <a:solidFill>
              <a:srgbClr val="002060"/>
            </a:solidFill>
            <a:ln>
              <a:noFill/>
            </a:ln>
            <a:effectLst/>
          </c:spPr>
          <c:invertIfNegative val="0"/>
          <c:cat>
            <c:strRef>
              <c:f>'elementarne nepogode'!$A$5:$A$10</c:f>
              <c:strCache>
                <c:ptCount val="6"/>
                <c:pt idx="0">
                  <c:v>2018</c:v>
                </c:pt>
                <c:pt idx="1">
                  <c:v>2019</c:v>
                </c:pt>
                <c:pt idx="2">
                  <c:v>2020</c:v>
                </c:pt>
                <c:pt idx="3">
                  <c:v>2021</c:v>
                </c:pt>
                <c:pt idx="4">
                  <c:v>2022</c:v>
                </c:pt>
                <c:pt idx="5">
                  <c:v> VI 2023</c:v>
                </c:pt>
              </c:strCache>
            </c:strRef>
          </c:cat>
          <c:val>
            <c:numRef>
              <c:f>'elementarne nepogode'!$B$5:$B$10</c:f>
              <c:numCache>
                <c:formatCode>#.##000</c:formatCode>
                <c:ptCount val="6"/>
                <c:pt idx="0">
                  <c:v>814.64300000000003</c:v>
                </c:pt>
                <c:pt idx="1">
                  <c:v>4104.5959999999995</c:v>
                </c:pt>
                <c:pt idx="2">
                  <c:v>2326.0419999999999</c:v>
                </c:pt>
                <c:pt idx="3">
                  <c:v>458.32499999999999</c:v>
                </c:pt>
                <c:pt idx="4">
                  <c:v>190.21780000000001</c:v>
                </c:pt>
                <c:pt idx="5">
                  <c:v>35.155000000000001</c:v>
                </c:pt>
              </c:numCache>
            </c:numRef>
          </c:val>
          <c:extLst>
            <c:ext xmlns:c16="http://schemas.microsoft.com/office/drawing/2014/chart" uri="{C3380CC4-5D6E-409C-BE32-E72D297353CC}">
              <c16:uniqueId val="{00000000-013D-43D1-8036-F63659EF4189}"/>
            </c:ext>
          </c:extLst>
        </c:ser>
        <c:ser>
          <c:idx val="1"/>
          <c:order val="1"/>
          <c:tx>
            <c:strRef>
              <c:f>'elementarne nepogode'!$C$4</c:f>
              <c:strCache>
                <c:ptCount val="1"/>
                <c:pt idx="0">
                  <c:v>Апропријација </c:v>
                </c:pt>
              </c:strCache>
            </c:strRef>
          </c:tx>
          <c:spPr>
            <a:solidFill>
              <a:srgbClr val="0070C0"/>
            </a:solidFill>
            <a:ln>
              <a:noFill/>
            </a:ln>
            <a:effectLst/>
          </c:spPr>
          <c:invertIfNegative val="0"/>
          <c:cat>
            <c:strRef>
              <c:f>'elementarne nepogode'!$A$5:$A$10</c:f>
              <c:strCache>
                <c:ptCount val="6"/>
                <c:pt idx="0">
                  <c:v>2018</c:v>
                </c:pt>
                <c:pt idx="1">
                  <c:v>2019</c:v>
                </c:pt>
                <c:pt idx="2">
                  <c:v>2020</c:v>
                </c:pt>
                <c:pt idx="3">
                  <c:v>2021</c:v>
                </c:pt>
                <c:pt idx="4">
                  <c:v>2022</c:v>
                </c:pt>
                <c:pt idx="5">
                  <c:v> VI 2023</c:v>
                </c:pt>
              </c:strCache>
            </c:strRef>
          </c:cat>
          <c:val>
            <c:numRef>
              <c:f>'elementarne nepogode'!$C$5:$C$10</c:f>
              <c:numCache>
                <c:formatCode>#.##000</c:formatCode>
                <c:ptCount val="6"/>
                <c:pt idx="0">
                  <c:v>3110.63</c:v>
                </c:pt>
                <c:pt idx="1">
                  <c:v>4456.2374</c:v>
                </c:pt>
                <c:pt idx="2">
                  <c:v>3498.1120000000001</c:v>
                </c:pt>
                <c:pt idx="3">
                  <c:v>558.22500000000002</c:v>
                </c:pt>
                <c:pt idx="4">
                  <c:v>290.21780000000001</c:v>
                </c:pt>
                <c:pt idx="5">
                  <c:v>84.101152589999998</c:v>
                </c:pt>
              </c:numCache>
            </c:numRef>
          </c:val>
          <c:extLst>
            <c:ext xmlns:c16="http://schemas.microsoft.com/office/drawing/2014/chart" uri="{C3380CC4-5D6E-409C-BE32-E72D297353CC}">
              <c16:uniqueId val="{00000001-013D-43D1-8036-F63659EF4189}"/>
            </c:ext>
          </c:extLst>
        </c:ser>
        <c:ser>
          <c:idx val="2"/>
          <c:order val="2"/>
          <c:tx>
            <c:strRef>
              <c:f>'elementarne nepogode'!$D$4</c:f>
              <c:strCache>
                <c:ptCount val="1"/>
                <c:pt idx="0">
                  <c:v>Извршење</c:v>
                </c:pt>
              </c:strCache>
            </c:strRef>
          </c:tx>
          <c:spPr>
            <a:solidFill>
              <a:srgbClr val="FF0000"/>
            </a:solidFill>
            <a:ln>
              <a:noFill/>
            </a:ln>
            <a:effectLst/>
          </c:spPr>
          <c:invertIfNegative val="0"/>
          <c:cat>
            <c:strRef>
              <c:f>'elementarne nepogode'!$A$5:$A$10</c:f>
              <c:strCache>
                <c:ptCount val="6"/>
                <c:pt idx="0">
                  <c:v>2018</c:v>
                </c:pt>
                <c:pt idx="1">
                  <c:v>2019</c:v>
                </c:pt>
                <c:pt idx="2">
                  <c:v>2020</c:v>
                </c:pt>
                <c:pt idx="3">
                  <c:v>2021</c:v>
                </c:pt>
                <c:pt idx="4">
                  <c:v>2022</c:v>
                </c:pt>
                <c:pt idx="5">
                  <c:v> VI 2023</c:v>
                </c:pt>
              </c:strCache>
            </c:strRef>
          </c:cat>
          <c:val>
            <c:numRef>
              <c:f>'elementarne nepogode'!$D$5:$D$10</c:f>
              <c:numCache>
                <c:formatCode>#.##000</c:formatCode>
                <c:ptCount val="6"/>
                <c:pt idx="0">
                  <c:v>2041.5377926900001</c:v>
                </c:pt>
                <c:pt idx="1">
                  <c:v>4220.9592285099998</c:v>
                </c:pt>
                <c:pt idx="2">
                  <c:v>2873.332101849991</c:v>
                </c:pt>
                <c:pt idx="3">
                  <c:v>520.34543778001</c:v>
                </c:pt>
                <c:pt idx="4">
                  <c:v>263.87826456999971</c:v>
                </c:pt>
                <c:pt idx="5">
                  <c:v>53.72039985</c:v>
                </c:pt>
              </c:numCache>
            </c:numRef>
          </c:val>
          <c:extLst>
            <c:ext xmlns:c16="http://schemas.microsoft.com/office/drawing/2014/chart" uri="{C3380CC4-5D6E-409C-BE32-E72D297353CC}">
              <c16:uniqueId val="{00000002-013D-43D1-8036-F63659EF4189}"/>
            </c:ext>
          </c:extLst>
        </c:ser>
        <c:dLbls>
          <c:showLegendKey val="0"/>
          <c:showVal val="0"/>
          <c:showCatName val="0"/>
          <c:showSerName val="0"/>
          <c:showPercent val="0"/>
          <c:showBubbleSize val="0"/>
        </c:dLbls>
        <c:gapWidth val="219"/>
        <c:overlap val="-27"/>
        <c:axId val="2134917552"/>
        <c:axId val="2134912144"/>
      </c:barChart>
      <c:catAx>
        <c:axId val="2134917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crossAx val="2134912144"/>
        <c:crosses val="autoZero"/>
        <c:auto val="1"/>
        <c:lblAlgn val="ctr"/>
        <c:lblOffset val="100"/>
        <c:noMultiLvlLbl val="0"/>
      </c:catAx>
      <c:valAx>
        <c:axId val="21349121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crossAx val="2134917552"/>
        <c:crosses val="autoZero"/>
        <c:crossBetween val="between"/>
      </c:valAx>
      <c:spPr>
        <a:noFill/>
        <a:ln>
          <a:noFill/>
        </a:ln>
        <a:effectLst/>
      </c:spPr>
    </c:plotArea>
    <c:legend>
      <c:legendPos val="b"/>
      <c:layout>
        <c:manualLayout>
          <c:xMode val="edge"/>
          <c:yMode val="edge"/>
          <c:x val="0"/>
          <c:y val="0.9141251309103603"/>
          <c:w val="0.97590833403889032"/>
          <c:h val="6.185097552461114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3">
    <c:autoUpdate val="0"/>
  </c:externalData>
  <c:userShapes r:id="rId4"/>
</c:chartSpace>
</file>

<file path=word/charts/chart6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8.5694913857576771E-2"/>
          <c:y val="0.12195169524878018"/>
          <c:w val="0.89742630688838176"/>
          <c:h val="0.72252618511373012"/>
        </c:manualLayout>
      </c:layout>
      <c:areaChart>
        <c:grouping val="stacked"/>
        <c:varyColors val="0"/>
        <c:ser>
          <c:idx val="2"/>
          <c:order val="2"/>
          <c:tx>
            <c:strRef>
              <c:f>'Grafikoni, CAB, Karakter'!$G$10</c:f>
              <c:strCache>
                <c:ptCount val="1"/>
                <c:pt idx="0">
                  <c:v>Производни јаз </c:v>
                </c:pt>
              </c:strCache>
            </c:strRef>
          </c:tx>
          <c:spPr>
            <a:solidFill>
              <a:srgbClr val="29489A"/>
            </a:solidFill>
            <a:ln w="9525" cap="rnd" cmpd="sng" algn="ctr">
              <a:solidFill>
                <a:srgbClr val="29489A"/>
              </a:solidFill>
              <a:prstDash val="solid"/>
              <a:round/>
            </a:ln>
            <a:effectLst/>
          </c:spPr>
          <c:cat>
            <c:numRef>
              <c:f>'Grafikoni, CAB, Karakter'!$F$11:$F$23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Karakter'!$G$11:$G$29,'Grafikoni, CAB, Karakter'!$G$30,'Grafikoni, CAB, Karakter'!$G$31,'Grafikoni, CAB, Karakter'!$G$32)</c:f>
              <c:numCache>
                <c:formatCode>#,##0.0</c:formatCode>
                <c:ptCount val="22"/>
                <c:pt idx="0">
                  <c:v>3.4939700056136114E-2</c:v>
                </c:pt>
                <c:pt idx="1">
                  <c:v>-2.6619053793972429</c:v>
                </c:pt>
                <c:pt idx="2">
                  <c:v>0.76812862294504969</c:v>
                </c:pt>
                <c:pt idx="3">
                  <c:v>4.0526986593397076</c:v>
                </c:pt>
                <c:pt idx="4">
                  <c:v>-0.38424097524819123</c:v>
                </c:pt>
                <c:pt idx="5">
                  <c:v>-0.71564661276400632</c:v>
                </c:pt>
                <c:pt idx="6">
                  <c:v>0.51942012705998486</c:v>
                </c:pt>
                <c:pt idx="7">
                  <c:v>-0.84768853901090824</c:v>
                </c:pt>
                <c:pt idx="8">
                  <c:v>1.218732135422478</c:v>
                </c:pt>
                <c:pt idx="9">
                  <c:v>-1.4453968611448935</c:v>
                </c:pt>
                <c:pt idx="10">
                  <c:v>-1.2148203099030777</c:v>
                </c:pt>
                <c:pt idx="11">
                  <c:v>-7.5925919408159126E-2</c:v>
                </c:pt>
                <c:pt idx="12">
                  <c:v>-0.63438597309396705</c:v>
                </c:pt>
                <c:pt idx="13">
                  <c:v>0.77314207033720339</c:v>
                </c:pt>
                <c:pt idx="14">
                  <c:v>1.8693712852330144</c:v>
                </c:pt>
                <c:pt idx="15">
                  <c:v>-2.2641513799372359</c:v>
                </c:pt>
                <c:pt idx="16">
                  <c:v>1.6664405616076201</c:v>
                </c:pt>
                <c:pt idx="17">
                  <c:v>0.53149033122091038</c:v>
                </c:pt>
                <c:pt idx="18">
                  <c:v>-0.38258667446345612</c:v>
                </c:pt>
                <c:pt idx="19">
                  <c:v>-0.52513086112005314</c:v>
                </c:pt>
                <c:pt idx="20">
                  <c:v>-0.27063652537719057</c:v>
                </c:pt>
                <c:pt idx="21">
                  <c:v>0.10926246852034414</c:v>
                </c:pt>
              </c:numCache>
            </c:numRef>
          </c:val>
          <c:extLst>
            <c:ext xmlns:c16="http://schemas.microsoft.com/office/drawing/2014/chart" uri="{C3380CC4-5D6E-409C-BE32-E72D297353CC}">
              <c16:uniqueId val="{00000000-D29E-4B55-B76D-9BA74EC3D6D7}"/>
            </c:ext>
          </c:extLst>
        </c:ser>
        <c:dLbls>
          <c:showLegendKey val="0"/>
          <c:showVal val="0"/>
          <c:showCatName val="0"/>
          <c:showSerName val="0"/>
          <c:showPercent val="0"/>
          <c:showBubbleSize val="0"/>
        </c:dLbls>
        <c:axId val="342946768"/>
        <c:axId val="410610880"/>
      </c:areaChart>
      <c:lineChart>
        <c:grouping val="standard"/>
        <c:varyColors val="0"/>
        <c:ser>
          <c:idx val="0"/>
          <c:order val="0"/>
          <c:tx>
            <c:strRef>
              <c:f>'Grafikoni, CAB, Karakter'!$H$10</c:f>
              <c:strCache>
                <c:ptCount val="1"/>
                <c:pt idx="0">
                  <c:v>Фискални 
биланс</c:v>
                </c:pt>
              </c:strCache>
            </c:strRef>
          </c:tx>
          <c:spPr>
            <a:ln w="22225" cap="rnd" cmpd="sng" algn="ctr">
              <a:solidFill>
                <a:schemeClr val="accent3">
                  <a:shade val="53000"/>
                  <a:shade val="95000"/>
                  <a:satMod val="105000"/>
                </a:schemeClr>
              </a:solidFill>
              <a:prstDash val="solid"/>
              <a:round/>
            </a:ln>
            <a:effectLst/>
          </c:spPr>
          <c:marker>
            <c:symbol val="none"/>
          </c:marker>
          <c:cat>
            <c:numRef>
              <c:f>('Grafikoni, CAB, Karakter'!$F$11:$F$29,'Grafikoni, CAB, Karakter'!$F$30,'Grafikoni, CAB, Karakter'!$F$31,'Grafikoni, CAB, Karakter'!$F$32)</c:f>
              <c:numCache>
                <c:formatCode>General</c:formatCode>
                <c:ptCount val="22"/>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numCache>
            </c:numRef>
          </c:cat>
          <c:val>
            <c:numRef>
              <c:f>('Grafikoni, CAB, Karakter'!$H$11:$H$29,'Grafikoni, CAB, Karakter'!$H$30,'Grafikoni, CAB, Karakter'!$H$31,'Grafikoni, CAB, Karakter'!$H$32)</c:f>
              <c:numCache>
                <c:formatCode>#,##0.0</c:formatCode>
                <c:ptCount val="22"/>
                <c:pt idx="0">
                  <c:v>1.1229513642911615</c:v>
                </c:pt>
                <c:pt idx="1">
                  <c:v>-1.3968057642647593</c:v>
                </c:pt>
                <c:pt idx="2">
                  <c:v>-1.7846058996685674</c:v>
                </c:pt>
                <c:pt idx="3">
                  <c:v>-2.4768975856092812</c:v>
                </c:pt>
                <c:pt idx="4">
                  <c:v>-4.1655024905891214</c:v>
                </c:pt>
                <c:pt idx="5">
                  <c:v>-4.3381740101726747</c:v>
                </c:pt>
                <c:pt idx="6">
                  <c:v>-4.5257988775356361</c:v>
                </c:pt>
                <c:pt idx="7">
                  <c:v>-6.4352841344073424</c:v>
                </c:pt>
                <c:pt idx="8">
                  <c:v>-5.1464767188637195</c:v>
                </c:pt>
                <c:pt idx="9">
                  <c:v>-6.2041437165115507</c:v>
                </c:pt>
                <c:pt idx="10">
                  <c:v>-3.4561672728767112</c:v>
                </c:pt>
                <c:pt idx="11">
                  <c:v>-1.1926941660681765</c:v>
                </c:pt>
                <c:pt idx="12">
                  <c:v>1.0986349345465762</c:v>
                </c:pt>
                <c:pt idx="13">
                  <c:v>0.63523655395945411</c:v>
                </c:pt>
                <c:pt idx="14">
                  <c:v>-0.20497664525511922</c:v>
                </c:pt>
                <c:pt idx="15">
                  <c:v>-8.0441635730355401</c:v>
                </c:pt>
                <c:pt idx="16">
                  <c:v>-4.1369458955187222</c:v>
                </c:pt>
                <c:pt idx="17">
                  <c:v>-3.1709662073615501</c:v>
                </c:pt>
                <c:pt idx="18">
                  <c:v>-2.8</c:v>
                </c:pt>
                <c:pt idx="19">
                  <c:v>-2.2000000000000002</c:v>
                </c:pt>
                <c:pt idx="20">
                  <c:v>-1.5</c:v>
                </c:pt>
                <c:pt idx="21">
                  <c:v>-1.5</c:v>
                </c:pt>
              </c:numCache>
            </c:numRef>
          </c:val>
          <c:smooth val="0"/>
          <c:extLst>
            <c:ext xmlns:c16="http://schemas.microsoft.com/office/drawing/2014/chart" uri="{C3380CC4-5D6E-409C-BE32-E72D297353CC}">
              <c16:uniqueId val="{00000001-D29E-4B55-B76D-9BA74EC3D6D7}"/>
            </c:ext>
          </c:extLst>
        </c:ser>
        <c:ser>
          <c:idx val="1"/>
          <c:order val="1"/>
          <c:tx>
            <c:strRef>
              <c:f>'Grafikoni, CAB, Karakter'!$K$10</c:f>
              <c:strCache>
                <c:ptCount val="1"/>
                <c:pt idx="0">
                  <c:v>Циклично 
прилагођени  фискални биланс</c:v>
                </c:pt>
              </c:strCache>
            </c:strRef>
          </c:tx>
          <c:spPr>
            <a:ln w="22225" cap="rnd" cmpd="sng" algn="ctr">
              <a:solidFill>
                <a:schemeClr val="tx1"/>
              </a:solidFill>
              <a:prstDash val="solid"/>
              <a:round/>
            </a:ln>
            <a:effectLst/>
          </c:spPr>
          <c:marker>
            <c:symbol val="none"/>
          </c:marker>
          <c:cat>
            <c:numRef>
              <c:f>('Grafikoni, CAB, Karakter'!$F$11:$F$29,'Grafikoni, CAB, Karakter'!$F$30,'Grafikoni, CAB, Karakter'!$F$31,'Grafikoni, CAB, Karakter'!$F$32)</c:f>
              <c:numCache>
                <c:formatCode>General</c:formatCode>
                <c:ptCount val="22"/>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numCache>
            </c:numRef>
          </c:cat>
          <c:val>
            <c:numRef>
              <c:f>('Grafikoni, CAB, Karakter'!$K$11:$K$29,'Grafikoni, CAB, Karakter'!$K$30,'Grafikoni, CAB, Karakter'!$K$31,'Grafikoni, CAB, Karakter'!$K$32)</c:f>
              <c:numCache>
                <c:formatCode>#,##0.0</c:formatCode>
                <c:ptCount val="22"/>
                <c:pt idx="0">
                  <c:v>1.110553570451444</c:v>
                </c:pt>
                <c:pt idx="1">
                  <c:v>-0.45227120725425807</c:v>
                </c:pt>
                <c:pt idx="2">
                  <c:v>-2.0571640582777873</c:v>
                </c:pt>
                <c:pt idx="3">
                  <c:v>-3.9149328976545457</c:v>
                </c:pt>
                <c:pt idx="4">
                  <c:v>-4.0291607249687695</c:v>
                </c:pt>
                <c:pt idx="5">
                  <c:v>-4.0842382536296764</c:v>
                </c:pt>
                <c:pt idx="6">
                  <c:v>-4.7101068035093361</c:v>
                </c:pt>
                <c:pt idx="7">
                  <c:v>-6.1344954118349229</c:v>
                </c:pt>
                <c:pt idx="8">
                  <c:v>-5.5789243282172842</c:v>
                </c:pt>
                <c:pt idx="9">
                  <c:v>-5.6912677538599405</c:v>
                </c:pt>
                <c:pt idx="10">
                  <c:v>-3.0251077122542043</c:v>
                </c:pt>
                <c:pt idx="11">
                  <c:v>-1.1657530677072574</c:v>
                </c:pt>
                <c:pt idx="12">
                  <c:v>1.3237366525519201</c:v>
                </c:pt>
                <c:pt idx="13">
                  <c:v>0.36089945371380572</c:v>
                </c:pt>
                <c:pt idx="14">
                  <c:v>-0.86829315246527994</c:v>
                </c:pt>
                <c:pt idx="15">
                  <c:v>-7.2407656621984593</c:v>
                </c:pt>
                <c:pt idx="16">
                  <c:v>-4.7282556805415092</c:v>
                </c:pt>
                <c:pt idx="17">
                  <c:v>-3.3595570522655795</c:v>
                </c:pt>
                <c:pt idx="18">
                  <c:v>-2.6642452365589762</c:v>
                </c:pt>
                <c:pt idx="19">
                  <c:v>-2.013665711366162</c:v>
                </c:pt>
                <c:pt idx="20">
                  <c:v>-1.4039689567531175</c:v>
                </c:pt>
                <c:pt idx="21">
                  <c:v>-1.5387700397243669</c:v>
                </c:pt>
              </c:numCache>
            </c:numRef>
          </c:val>
          <c:smooth val="1"/>
          <c:extLst>
            <c:ext xmlns:c16="http://schemas.microsoft.com/office/drawing/2014/chart" uri="{C3380CC4-5D6E-409C-BE32-E72D297353CC}">
              <c16:uniqueId val="{00000002-D29E-4B55-B76D-9BA74EC3D6D7}"/>
            </c:ext>
          </c:extLst>
        </c:ser>
        <c:ser>
          <c:idx val="4"/>
          <c:order val="3"/>
          <c:tx>
            <c:strRef>
              <c:f>'Grafikoni, CAB, Karakter'!$N$10</c:f>
              <c:strCache>
                <c:ptCount val="1"/>
                <c:pt idx="0">
                  <c:v>Структурни примарни фискални биланс</c:v>
                </c:pt>
              </c:strCache>
            </c:strRef>
          </c:tx>
          <c:spPr>
            <a:ln w="22225" cap="rnd" cmpd="sng" algn="ctr">
              <a:solidFill>
                <a:srgbClr val="FF0000"/>
              </a:solidFill>
              <a:prstDash val="solid"/>
              <a:round/>
            </a:ln>
            <a:effectLst/>
          </c:spPr>
          <c:marker>
            <c:symbol val="none"/>
          </c:marker>
          <c:cat>
            <c:numRef>
              <c:f>('Grafikoni, CAB, Karakter'!$F$11:$F$29,'Grafikoni, CAB, Karakter'!$F$30,'Grafikoni, CAB, Karakter'!$F$31,'Grafikoni, CAB, Karakter'!$F$32)</c:f>
              <c:numCache>
                <c:formatCode>General</c:formatCode>
                <c:ptCount val="22"/>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numCache>
            </c:numRef>
          </c:cat>
          <c:val>
            <c:numRef>
              <c:f>('Grafikoni, CAB, Karakter'!$N$11:$N$29,'Grafikoni, CAB, Karakter'!$N$30,'Grafikoni, CAB, Karakter'!$N$31,'Grafikoni, CAB, Karakter'!$N$32)</c:f>
              <c:numCache>
                <c:formatCode>#,##0.0</c:formatCode>
                <c:ptCount val="22"/>
                <c:pt idx="0">
                  <c:v>2.2311622467225694</c:v>
                </c:pt>
                <c:pt idx="1">
                  <c:v>1.4694068955005553</c:v>
                </c:pt>
                <c:pt idx="2">
                  <c:v>-1.1748812200450847</c:v>
                </c:pt>
                <c:pt idx="3">
                  <c:v>-3.4340199675768921</c:v>
                </c:pt>
                <c:pt idx="4">
                  <c:v>-3.4936797085000446</c:v>
                </c:pt>
                <c:pt idx="5">
                  <c:v>-3.2446168101610033</c:v>
                </c:pt>
                <c:pt idx="6">
                  <c:v>-3.766595222794451</c:v>
                </c:pt>
                <c:pt idx="7">
                  <c:v>-4.3798196385082298</c:v>
                </c:pt>
                <c:pt idx="8">
                  <c:v>-3.1158697628013345</c:v>
                </c:pt>
                <c:pt idx="9">
                  <c:v>-2.1569170415080627</c:v>
                </c:pt>
                <c:pt idx="10">
                  <c:v>0.79474141079577243</c:v>
                </c:pt>
                <c:pt idx="11">
                  <c:v>1.8087997159473004</c:v>
                </c:pt>
                <c:pt idx="12">
                  <c:v>3.714935702009988</c:v>
                </c:pt>
                <c:pt idx="13">
                  <c:v>2.3253727362409213</c:v>
                </c:pt>
                <c:pt idx="14">
                  <c:v>0.94570968984632187</c:v>
                </c:pt>
                <c:pt idx="15">
                  <c:v>1.8073097678111099</c:v>
                </c:pt>
                <c:pt idx="16">
                  <c:v>1.0825639249791079</c:v>
                </c:pt>
                <c:pt idx="17">
                  <c:v>1.530824022357884</c:v>
                </c:pt>
                <c:pt idx="18">
                  <c:v>-0.34426004497509255</c:v>
                </c:pt>
                <c:pt idx="19">
                  <c:v>0.1017473982683135</c:v>
                </c:pt>
                <c:pt idx="20">
                  <c:v>0.76385508062097218</c:v>
                </c:pt>
                <c:pt idx="21">
                  <c:v>0.79755883970490293</c:v>
                </c:pt>
              </c:numCache>
            </c:numRef>
          </c:val>
          <c:smooth val="0"/>
          <c:extLst>
            <c:ext xmlns:c16="http://schemas.microsoft.com/office/drawing/2014/chart" uri="{C3380CC4-5D6E-409C-BE32-E72D297353CC}">
              <c16:uniqueId val="{00000003-D29E-4B55-B76D-9BA74EC3D6D7}"/>
            </c:ext>
          </c:extLst>
        </c:ser>
        <c:ser>
          <c:idx val="3"/>
          <c:order val="4"/>
          <c:tx>
            <c:strRef>
              <c:f>'Grafikoni, CAB, Karakter'!$M$10</c:f>
              <c:strCache>
                <c:ptCount val="1"/>
                <c:pt idx="0">
                  <c:v>Структурни  фискални биланс</c:v>
                </c:pt>
              </c:strCache>
            </c:strRef>
          </c:tx>
          <c:spPr>
            <a:ln w="22225" cap="rnd" cmpd="sng" algn="ctr">
              <a:solidFill>
                <a:schemeClr val="accent6"/>
              </a:solidFill>
              <a:prstDash val="solid"/>
              <a:round/>
            </a:ln>
            <a:effectLst/>
          </c:spPr>
          <c:marker>
            <c:symbol val="none"/>
          </c:marker>
          <c:cat>
            <c:numRef>
              <c:f>('Grafikoni, CAB, Karakter'!$F$11:$F$29,'Grafikoni, CAB, Karakter'!$F$30,'Grafikoni, CAB, Karakter'!$F$31,'Grafikoni, CAB, Karakter'!$F$32)</c:f>
              <c:numCache>
                <c:formatCode>General</c:formatCode>
                <c:ptCount val="22"/>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numCache>
            </c:numRef>
          </c:cat>
          <c:val>
            <c:numRef>
              <c:f>('Grafikoni, CAB, Karakter'!$M$11:$M$29,'Grafikoni, CAB, Karakter'!$M$30,'Grafikoni, CAB, Karakter'!$M$31,'Grafikoni, CAB, Karakter'!$M$32)</c:f>
              <c:numCache>
                <c:formatCode>#,##0.0</c:formatCode>
                <c:ptCount val="22"/>
                <c:pt idx="0">
                  <c:v>1.3271381895220509</c:v>
                </c:pt>
                <c:pt idx="1">
                  <c:v>0.22172084264080061</c:v>
                </c:pt>
                <c:pt idx="2">
                  <c:v>-1.7203296978870299</c:v>
                </c:pt>
                <c:pt idx="3">
                  <c:v>-3.9733833818097399</c:v>
                </c:pt>
                <c:pt idx="4">
                  <c:v>-4.1012414048990058</c:v>
                </c:pt>
                <c:pt idx="5">
                  <c:v>-4.2011404200956957</c:v>
                </c:pt>
                <c:pt idx="6">
                  <c:v>-4.9205010201521855</c:v>
                </c:pt>
                <c:pt idx="7">
                  <c:v>-6.0872520356187279</c:v>
                </c:pt>
                <c:pt idx="8">
                  <c:v>-5.3095853107074955</c:v>
                </c:pt>
                <c:pt idx="9">
                  <c:v>-4.8211901590842325</c:v>
                </c:pt>
                <c:pt idx="10">
                  <c:v>-2.1908127000456386</c:v>
                </c:pt>
                <c:pt idx="11">
                  <c:v>-1.0884595234054266</c:v>
                </c:pt>
                <c:pt idx="12">
                  <c:v>1.1787995680073775</c:v>
                </c:pt>
                <c:pt idx="13">
                  <c:v>0.21305596512904482</c:v>
                </c:pt>
                <c:pt idx="14">
                  <c:v>-1.0508876206644246</c:v>
                </c:pt>
                <c:pt idx="15">
                  <c:v>-0.19371574913750766</c:v>
                </c:pt>
                <c:pt idx="16">
                  <c:v>-0.65016885030586824</c:v>
                </c:pt>
                <c:pt idx="17">
                  <c:v>2.3747840058168102E-2</c:v>
                </c:pt>
                <c:pt idx="18">
                  <c:v>-2.1249720829833607</c:v>
                </c:pt>
                <c:pt idx="19">
                  <c:v>-2.013665711366162</c:v>
                </c:pt>
                <c:pt idx="20">
                  <c:v>-1.4039689567531175</c:v>
                </c:pt>
                <c:pt idx="21">
                  <c:v>-1.5387700397243669</c:v>
                </c:pt>
              </c:numCache>
            </c:numRef>
          </c:val>
          <c:smooth val="0"/>
          <c:extLst>
            <c:ext xmlns:c16="http://schemas.microsoft.com/office/drawing/2014/chart" uri="{C3380CC4-5D6E-409C-BE32-E72D297353CC}">
              <c16:uniqueId val="{00000004-D29E-4B55-B76D-9BA74EC3D6D7}"/>
            </c:ext>
          </c:extLst>
        </c:ser>
        <c:dLbls>
          <c:showLegendKey val="0"/>
          <c:showVal val="0"/>
          <c:showCatName val="0"/>
          <c:showSerName val="0"/>
          <c:showPercent val="0"/>
          <c:showBubbleSize val="0"/>
        </c:dLbls>
        <c:marker val="1"/>
        <c:smooth val="0"/>
        <c:axId val="342946768"/>
        <c:axId val="410610880"/>
      </c:lineChart>
      <c:catAx>
        <c:axId val="342946768"/>
        <c:scaling>
          <c:orientation val="minMax"/>
        </c:scaling>
        <c:delete val="0"/>
        <c:axPos val="b"/>
        <c:majorGridlines>
          <c:spPr>
            <a:ln w="9525" cap="flat" cmpd="sng" algn="ctr">
              <a:noFill/>
              <a:prstDash val="sysDot"/>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crossAx val="410610880"/>
        <c:crosses val="autoZero"/>
        <c:auto val="1"/>
        <c:lblAlgn val="ctr"/>
        <c:lblOffset val="100"/>
        <c:noMultiLvlLbl val="0"/>
      </c:catAx>
      <c:valAx>
        <c:axId val="410610880"/>
        <c:scaling>
          <c:orientation val="minMax"/>
          <c:max val="5"/>
          <c:min val="-9"/>
        </c:scaling>
        <c:delete val="0"/>
        <c:axPos val="l"/>
        <c:majorGridlines>
          <c:spPr>
            <a:ln w="9525" cap="flat" cmpd="sng" algn="ctr">
              <a:noFill/>
              <a:prstDash val="sysDot"/>
              <a:round/>
            </a:ln>
            <a:effectLst/>
          </c:spPr>
        </c:majorGridlines>
        <c:title>
          <c:tx>
            <c:rich>
              <a:bodyPr rot="-5400000" spcFirstLastPara="1" vertOverflow="ellipsis" vert="horz" wrap="square" anchor="ctr" anchorCtr="1"/>
              <a:lstStyle/>
              <a:p>
                <a:pPr>
                  <a:defRPr sz="800" b="0" i="0" u="none" strike="noStrike" kern="1200" baseline="0">
                    <a:solidFill>
                      <a:srgbClr val="44546A"/>
                    </a:solidFill>
                    <a:latin typeface="+mn-lt"/>
                    <a:ea typeface="+mn-ea"/>
                    <a:cs typeface="+mn-cs"/>
                  </a:defRPr>
                </a:pPr>
                <a:r>
                  <a:rPr lang="sr-Cyrl-CS" sz="800" b="0">
                    <a:solidFill>
                      <a:srgbClr val="44546A"/>
                    </a:solidFill>
                    <a:latin typeface="+mn-lt"/>
                  </a:rPr>
                  <a:t>% БДП</a:t>
                </a:r>
              </a:p>
            </c:rich>
          </c:tx>
          <c:layout>
            <c:manualLayout>
              <c:xMode val="edge"/>
              <c:yMode val="edge"/>
              <c:x val="7.2104082775975825E-2"/>
              <c:y val="0.4978952630921134"/>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rgbClr val="44546A"/>
                  </a:solidFill>
                  <a:latin typeface="+mn-lt"/>
                  <a:ea typeface="+mn-ea"/>
                  <a:cs typeface="+mn-cs"/>
                </a:defRPr>
              </a:pPr>
              <a:endParaRPr lang="sr-Latn-RS"/>
            </a:p>
          </c:txPr>
        </c:title>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800" b="0" i="0" u="none" strike="noStrike" kern="1200" baseline="0">
                <a:solidFill>
                  <a:srgbClr val="44546A"/>
                </a:solidFill>
                <a:latin typeface="+mj-lt"/>
                <a:ea typeface="+mn-ea"/>
                <a:cs typeface="+mn-cs"/>
              </a:defRPr>
            </a:pPr>
            <a:endParaRPr lang="sr-Latn-RS"/>
          </a:p>
        </c:txPr>
        <c:crossAx val="342946768"/>
        <c:crosses val="autoZero"/>
        <c:crossBetween val="between"/>
      </c:valAx>
      <c:spPr>
        <a:noFill/>
        <a:ln>
          <a:noFill/>
        </a:ln>
        <a:effectLst/>
      </c:spPr>
    </c:plotArea>
    <c:legend>
      <c:legendPos val="r"/>
      <c:layout>
        <c:manualLayout>
          <c:xMode val="edge"/>
          <c:yMode val="edge"/>
          <c:x val="9.1033630006472535E-2"/>
          <c:y val="0.6538857642794651"/>
          <c:w val="0.6234494462081257"/>
          <c:h val="0.34611423572053496"/>
        </c:manualLayout>
      </c:layout>
      <c:overlay val="0"/>
      <c:spPr>
        <a:noFill/>
        <a:ln>
          <a:noFill/>
        </a:ln>
        <a:effectLst/>
      </c:spPr>
      <c:txPr>
        <a:bodyPr rot="0" spcFirstLastPara="1" vertOverflow="ellipsis" vert="horz" wrap="square" anchor="ctr" anchorCtr="1"/>
        <a:lstStyle/>
        <a:p>
          <a:pPr>
            <a:defRPr sz="600" b="1" i="0" u="none" strike="noStrike" kern="1200" baseline="0">
              <a:solidFill>
                <a:srgbClr val="44546A"/>
              </a:solidFill>
              <a:latin typeface="+mn-lt"/>
              <a:ea typeface="+mn-ea"/>
              <a:cs typeface="+mn-cs"/>
            </a:defRPr>
          </a:pPr>
          <a:endParaRPr lang="sr-Latn-RS"/>
        </a:p>
      </c:txPr>
    </c:legend>
    <c:plotVisOnly val="1"/>
    <c:dispBlanksAs val="gap"/>
    <c:showDLblsOverMax val="0"/>
  </c:chart>
  <c:spPr>
    <a:solidFill>
      <a:schemeClr val="lt1"/>
    </a:solidFill>
    <a:ln w="9525" cap="flat" cmpd="sng" algn="ctr">
      <a:noFill/>
      <a:prstDash val="solid"/>
      <a:round/>
    </a:ln>
    <a:effectLst/>
  </c:spPr>
  <c:txPr>
    <a:bodyPr/>
    <a:lstStyle/>
    <a:p>
      <a:pPr>
        <a:defRPr/>
      </a:pPr>
      <a:endParaRPr lang="sr-Latn-RS"/>
    </a:p>
  </c:txPr>
  <c:externalData r:id="rId3">
    <c:autoUpdate val="0"/>
  </c:externalData>
  <c:userShapes r:id="rId4"/>
</c:chartSpace>
</file>

<file path=word/charts/chart7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7.3618440989179343E-2"/>
          <c:y val="5.7086964129483823E-2"/>
          <c:w val="0.91635877205946437"/>
          <c:h val="0.82967423338395085"/>
        </c:manualLayout>
      </c:layout>
      <c:barChart>
        <c:barDir val="col"/>
        <c:grouping val="clustered"/>
        <c:varyColors val="0"/>
        <c:ser>
          <c:idx val="0"/>
          <c:order val="0"/>
          <c:tx>
            <c:strRef>
              <c:f>'Grafikoni, CAB, Karakter'!$O$10</c:f>
              <c:strCache>
                <c:ptCount val="1"/>
                <c:pt idx="0">
                  <c:v>Фискални импулс</c:v>
                </c:pt>
              </c:strCache>
            </c:strRef>
          </c:tx>
          <c:spPr>
            <a:solidFill>
              <a:srgbClr val="29489A"/>
            </a:solidFill>
            <a:ln w="9525" cap="flat" cmpd="sng" algn="ctr">
              <a:solidFill>
                <a:schemeClr val="accent3">
                  <a:shade val="50000"/>
                  <a:shade val="95000"/>
                  <a:satMod val="105000"/>
                </a:schemeClr>
              </a:solidFill>
              <a:prstDash val="solid"/>
              <a:round/>
            </a:ln>
            <a:effectLst/>
          </c:spPr>
          <c:invertIfNegative val="0"/>
          <c:cat>
            <c:numRef>
              <c:f>'Grafikoni, CAB, Karakter'!$F$12:$F$32</c:f>
              <c:numCache>
                <c:formatCode>General</c:formatCode>
                <c:ptCount val="21"/>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pt idx="17">
                  <c:v>2023</c:v>
                </c:pt>
                <c:pt idx="18">
                  <c:v>2024</c:v>
                </c:pt>
                <c:pt idx="19">
                  <c:v>2025</c:v>
                </c:pt>
                <c:pt idx="20">
                  <c:v>2026</c:v>
                </c:pt>
              </c:numCache>
            </c:numRef>
          </c:cat>
          <c:val>
            <c:numRef>
              <c:f>('Grafikoni, CAB, Karakter'!$O$12:$O$29,'Grafikoni, CAB, Karakter'!$O$30,'Grafikoni, CAB, Karakter'!$O$31,'Grafikoni, CAB, Karakter'!$O$32)</c:f>
              <c:numCache>
                <c:formatCode>#,##0.0</c:formatCode>
                <c:ptCount val="21"/>
                <c:pt idx="0">
                  <c:v>1.2191627820464659</c:v>
                </c:pt>
                <c:pt idx="1">
                  <c:v>2.3071304260413386</c:v>
                </c:pt>
                <c:pt idx="2">
                  <c:v>1.8638539029858558</c:v>
                </c:pt>
                <c:pt idx="3">
                  <c:v>4.6029545148110529E-2</c:v>
                </c:pt>
                <c:pt idx="4">
                  <c:v>-0.29388438487482471</c:v>
                </c:pt>
                <c:pt idx="5">
                  <c:v>0.42848636245661798</c:v>
                </c:pt>
                <c:pt idx="6">
                  <c:v>0.87086200857282314</c:v>
                </c:pt>
                <c:pt idx="7">
                  <c:v>-1.0418542344133011</c:v>
                </c:pt>
                <c:pt idx="8">
                  <c:v>-0.35821414402735252</c:v>
                </c:pt>
                <c:pt idx="9">
                  <c:v>-2.9874410348709777</c:v>
                </c:pt>
                <c:pt idx="10">
                  <c:v>-1.7710597730582631</c:v>
                </c:pt>
                <c:pt idx="11">
                  <c:v>-2.1283666149090612</c:v>
                </c:pt>
                <c:pt idx="12">
                  <c:v>1.3866565617288482</c:v>
                </c:pt>
                <c:pt idx="13">
                  <c:v>1.3449120667802159</c:v>
                </c:pt>
                <c:pt idx="14">
                  <c:v>6.3680443032953082</c:v>
                </c:pt>
                <c:pt idx="15">
                  <c:v>-2.2442172399933087</c:v>
                </c:pt>
                <c:pt idx="16">
                  <c:v>-1.1430420352906694</c:v>
                </c:pt>
                <c:pt idx="17">
                  <c:v>-0.96894767141515559</c:v>
                </c:pt>
                <c:pt idx="18">
                  <c:v>-0.98528059681902158</c:v>
                </c:pt>
                <c:pt idx="19">
                  <c:v>-0.66210768235265871</c:v>
                </c:pt>
                <c:pt idx="20">
                  <c:v>-3.3703759083930751E-2</c:v>
                </c:pt>
              </c:numCache>
            </c:numRef>
          </c:val>
          <c:extLst>
            <c:ext xmlns:c16="http://schemas.microsoft.com/office/drawing/2014/chart" uri="{C3380CC4-5D6E-409C-BE32-E72D297353CC}">
              <c16:uniqueId val="{00000000-2459-4204-82E8-7CE021E190F9}"/>
            </c:ext>
          </c:extLst>
        </c:ser>
        <c:dLbls>
          <c:showLegendKey val="0"/>
          <c:showVal val="0"/>
          <c:showCatName val="0"/>
          <c:showSerName val="0"/>
          <c:showPercent val="0"/>
          <c:showBubbleSize val="0"/>
        </c:dLbls>
        <c:gapWidth val="41"/>
        <c:overlap val="-12"/>
        <c:axId val="467546320"/>
        <c:axId val="467537360"/>
      </c:barChart>
      <c:lineChart>
        <c:grouping val="standard"/>
        <c:varyColors val="0"/>
        <c:ser>
          <c:idx val="1"/>
          <c:order val="1"/>
          <c:tx>
            <c:strRef>
              <c:f>'Grafikoni, CAB, Karakter'!$G$10</c:f>
              <c:strCache>
                <c:ptCount val="1"/>
                <c:pt idx="0">
                  <c:v>Производни јаз </c:v>
                </c:pt>
              </c:strCache>
            </c:strRef>
          </c:tx>
          <c:spPr>
            <a:ln w="22225" cap="rnd" cmpd="sng" algn="ctr">
              <a:solidFill>
                <a:srgbClr val="FF0000"/>
              </a:solidFill>
              <a:prstDash val="solid"/>
              <a:round/>
            </a:ln>
            <a:effectLst/>
          </c:spPr>
          <c:marker>
            <c:symbol val="none"/>
          </c:marker>
          <c:cat>
            <c:numRef>
              <c:f>('Grafikoni, CAB, Karakter'!$F$12:$F$29,'Grafikoni, CAB, Karakter'!$F$30,'Grafikoni, CAB, Karakter'!$F$31,'Grafikoni, CAB, Karakter'!$F$32)</c:f>
              <c:numCache>
                <c:formatCode>General</c:formatCode>
                <c:ptCount val="21"/>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pt idx="17">
                  <c:v>2023</c:v>
                </c:pt>
                <c:pt idx="18">
                  <c:v>2024</c:v>
                </c:pt>
                <c:pt idx="19">
                  <c:v>2025</c:v>
                </c:pt>
                <c:pt idx="20">
                  <c:v>2026</c:v>
                </c:pt>
              </c:numCache>
            </c:numRef>
          </c:cat>
          <c:val>
            <c:numRef>
              <c:f>('Grafikoni, CAB, Karakter'!$G$12:$G$29,'Grafikoni, CAB, Karakter'!$G$30,'Grafikoni, CAB, Karakter'!$G$31,'Grafikoni, CAB, Karakter'!$G$32)</c:f>
              <c:numCache>
                <c:formatCode>#,##0.0</c:formatCode>
                <c:ptCount val="21"/>
                <c:pt idx="0">
                  <c:v>-2.6619053793972429</c:v>
                </c:pt>
                <c:pt idx="1">
                  <c:v>0.76812862294504969</c:v>
                </c:pt>
                <c:pt idx="2">
                  <c:v>4.0526986593397076</c:v>
                </c:pt>
                <c:pt idx="3">
                  <c:v>-0.38424097524819123</c:v>
                </c:pt>
                <c:pt idx="4">
                  <c:v>-0.71564661276400632</c:v>
                </c:pt>
                <c:pt idx="5">
                  <c:v>0.51942012705998486</c:v>
                </c:pt>
                <c:pt idx="6">
                  <c:v>-0.84768853901090824</c:v>
                </c:pt>
                <c:pt idx="7">
                  <c:v>1.218732135422478</c:v>
                </c:pt>
                <c:pt idx="8">
                  <c:v>-1.4453968611448935</c:v>
                </c:pt>
                <c:pt idx="9">
                  <c:v>-1.2148203099030777</c:v>
                </c:pt>
                <c:pt idx="10">
                  <c:v>-7.5925919408159126E-2</c:v>
                </c:pt>
                <c:pt idx="11">
                  <c:v>-0.63438597309396705</c:v>
                </c:pt>
                <c:pt idx="12">
                  <c:v>0.77314207033720339</c:v>
                </c:pt>
                <c:pt idx="13">
                  <c:v>1.8693712852330144</c:v>
                </c:pt>
                <c:pt idx="14">
                  <c:v>-2.2641513799372359</c:v>
                </c:pt>
                <c:pt idx="15">
                  <c:v>1.6664405616076201</c:v>
                </c:pt>
                <c:pt idx="16">
                  <c:v>0.53149033122091038</c:v>
                </c:pt>
                <c:pt idx="17">
                  <c:v>-0.38258667446345612</c:v>
                </c:pt>
                <c:pt idx="18">
                  <c:v>-0.52513086112005314</c:v>
                </c:pt>
                <c:pt idx="19">
                  <c:v>-0.27063652537719057</c:v>
                </c:pt>
                <c:pt idx="20">
                  <c:v>0.10926246852034414</c:v>
                </c:pt>
              </c:numCache>
            </c:numRef>
          </c:val>
          <c:smooth val="1"/>
          <c:extLst>
            <c:ext xmlns:c16="http://schemas.microsoft.com/office/drawing/2014/chart" uri="{C3380CC4-5D6E-409C-BE32-E72D297353CC}">
              <c16:uniqueId val="{00000001-2459-4204-82E8-7CE021E190F9}"/>
            </c:ext>
          </c:extLst>
        </c:ser>
        <c:dLbls>
          <c:showLegendKey val="0"/>
          <c:showVal val="0"/>
          <c:showCatName val="0"/>
          <c:showSerName val="0"/>
          <c:showPercent val="0"/>
          <c:showBubbleSize val="0"/>
        </c:dLbls>
        <c:marker val="1"/>
        <c:smooth val="0"/>
        <c:axId val="467546320"/>
        <c:axId val="467537360"/>
      </c:lineChart>
      <c:catAx>
        <c:axId val="467546320"/>
        <c:scaling>
          <c:orientation val="minMax"/>
        </c:scaling>
        <c:delete val="0"/>
        <c:axPos val="b"/>
        <c:majorGridlines>
          <c:spPr>
            <a:ln w="9525" cap="flat" cmpd="sng" algn="ctr">
              <a:noFill/>
              <a:prstDash val="solid"/>
              <a:round/>
            </a:ln>
            <a:effectLst/>
          </c:spPr>
        </c:majorGridlines>
        <c:numFmt formatCode="General" sourceLinked="1"/>
        <c:majorTickMark val="out"/>
        <c:minorTickMark val="none"/>
        <c:tickLblPos val="low"/>
        <c:spPr>
          <a:noFill/>
          <a:ln w="6350" cap="flat" cmpd="sng" algn="ctr">
            <a:solidFill>
              <a:srgbClr val="898989"/>
            </a:solidFill>
            <a:prstDash val="solid"/>
            <a:round/>
          </a:ln>
          <a:effectLst/>
        </c:spPr>
        <c:txPr>
          <a:bodyPr rot="-6000000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crossAx val="467537360"/>
        <c:crosses val="autoZero"/>
        <c:auto val="1"/>
        <c:lblAlgn val="ctr"/>
        <c:lblOffset val="100"/>
        <c:noMultiLvlLbl val="0"/>
      </c:catAx>
      <c:valAx>
        <c:axId val="467537360"/>
        <c:scaling>
          <c:orientation val="minMax"/>
          <c:min val="-9"/>
        </c:scaling>
        <c:delete val="0"/>
        <c:axPos val="l"/>
        <c:majorGridlines>
          <c:spPr>
            <a:ln w="9525" cap="flat" cmpd="sng" algn="ctr">
              <a:noFill/>
              <a:prstDash val="solid"/>
              <a:round/>
            </a:ln>
            <a:effectLst/>
          </c:spPr>
        </c:majorGridlines>
        <c:title>
          <c:tx>
            <c:rich>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r>
                  <a:rPr lang="sr-Cyrl-CS" sz="750" b="0">
                    <a:solidFill>
                      <a:srgbClr val="44546A"/>
                    </a:solidFill>
                    <a:latin typeface="+mn-lt"/>
                  </a:rPr>
                  <a:t>% БДП</a:t>
                </a:r>
                <a:endParaRPr lang="en-US" sz="750" b="0">
                  <a:solidFill>
                    <a:srgbClr val="44546A"/>
                  </a:solidFill>
                  <a:latin typeface="+mn-lt"/>
                </a:endParaRPr>
              </a:p>
            </c:rich>
          </c:tx>
          <c:layout>
            <c:manualLayout>
              <c:xMode val="edge"/>
              <c:yMode val="edge"/>
              <c:x val="4.4278330048716286E-2"/>
              <c:y val="0.60380744073657455"/>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sr-Latn-RS"/>
            </a:p>
          </c:txPr>
        </c:title>
        <c:numFmt formatCode="0" sourceLinked="0"/>
        <c:majorTickMark val="out"/>
        <c:minorTickMark val="none"/>
        <c:tickLblPos val="nextTo"/>
        <c:spPr>
          <a:noFill/>
          <a:ln w="3175" cap="flat" cmpd="sng" algn="ctr">
            <a:noFill/>
            <a:prstDash val="solid"/>
            <a:round/>
          </a:ln>
          <a:effectLst/>
        </c:spPr>
        <c:txPr>
          <a:bodyPr rot="-60000000" spcFirstLastPara="1" vertOverflow="ellipsis" vert="horz" wrap="square" anchor="ctr" anchorCtr="1"/>
          <a:lstStyle/>
          <a:p>
            <a:pPr>
              <a:defRPr sz="750" b="0" i="0" u="none" strike="noStrike" kern="1200" baseline="0">
                <a:solidFill>
                  <a:srgbClr val="44546A"/>
                </a:solidFill>
                <a:latin typeface="Cambria" pitchFamily="18" charset="0"/>
                <a:ea typeface="+mn-ea"/>
                <a:cs typeface="+mn-cs"/>
              </a:defRPr>
            </a:pPr>
            <a:endParaRPr lang="sr-Latn-RS"/>
          </a:p>
        </c:txPr>
        <c:crossAx val="467546320"/>
        <c:crosses val="autoZero"/>
        <c:crossBetween val="between"/>
      </c:valAx>
      <c:spPr>
        <a:noFill/>
        <a:ln>
          <a:noFill/>
        </a:ln>
        <a:effectLst/>
      </c:spPr>
    </c:plotArea>
    <c:legend>
      <c:legendPos val="r"/>
      <c:layout>
        <c:manualLayout>
          <c:xMode val="edge"/>
          <c:yMode val="edge"/>
          <c:x val="0.10575947175380421"/>
          <c:y val="0.80853643294588173"/>
          <c:w val="0.795961068391148"/>
          <c:h val="4.9573656234147202E-2"/>
        </c:manualLayout>
      </c:layout>
      <c:overlay val="0"/>
      <c:spPr>
        <a:noFill/>
        <a:ln>
          <a:noFill/>
        </a:ln>
        <a:effectLst/>
      </c:spPr>
      <c:txPr>
        <a:bodyPr rot="0" spcFirstLastPara="1" vertOverflow="ellipsis" vert="horz" wrap="square" anchor="ctr" anchorCtr="1"/>
        <a:lstStyle/>
        <a:p>
          <a:pPr>
            <a:defRPr sz="600" b="1" i="0" u="none" strike="noStrike" kern="1200" baseline="0">
              <a:solidFill>
                <a:srgbClr val="44546A"/>
              </a:solidFill>
              <a:latin typeface="+mn-lt"/>
              <a:ea typeface="+mn-ea"/>
              <a:cs typeface="+mn-cs"/>
            </a:defRPr>
          </a:pPr>
          <a:endParaRPr lang="sr-Latn-RS"/>
        </a:p>
      </c:txPr>
    </c:legend>
    <c:plotVisOnly val="1"/>
    <c:dispBlanksAs val="gap"/>
    <c:showDLblsOverMax val="0"/>
  </c:chart>
  <c:spPr>
    <a:solidFill>
      <a:schemeClr val="lt1"/>
    </a:solidFill>
    <a:ln w="9525" cap="flat" cmpd="sng" algn="ctr">
      <a:noFill/>
      <a:prstDash val="solid"/>
      <a:round/>
    </a:ln>
    <a:effectLst/>
  </c:spPr>
  <c:txPr>
    <a:bodyPr/>
    <a:lstStyle/>
    <a:p>
      <a:pPr>
        <a:defRPr sz="900" baseline="0">
          <a:latin typeface="Cambria" pitchFamily="18" charset="0"/>
        </a:defRPr>
      </a:pPr>
      <a:endParaRPr lang="sr-Latn-RS"/>
    </a:p>
  </c:txPr>
  <c:externalData r:id="rId3">
    <c:autoUpdate val="0"/>
  </c:externalData>
  <c:userShapes r:id="rId4"/>
</c:chartSpace>
</file>

<file path=word/charts/chart7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0616161716296222E-2"/>
          <c:y val="4.9007480657224968E-2"/>
          <c:w val="0.93476377952755907"/>
          <c:h val="0.9174795514193721"/>
        </c:manualLayout>
      </c:layout>
      <c:scatterChart>
        <c:scatterStyle val="smoothMarker"/>
        <c:varyColors val="0"/>
        <c:ser>
          <c:idx val="1"/>
          <c:order val="0"/>
          <c:spPr>
            <a:ln w="19050" cap="rnd">
              <a:solidFill>
                <a:srgbClr val="FF0000"/>
              </a:solidFill>
              <a:round/>
            </a:ln>
            <a:effectLst/>
          </c:spPr>
          <c:marker>
            <c:symbol val="circle"/>
            <c:size val="6"/>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cap="rnd">
                <a:solidFill>
                  <a:schemeClr val="accent4"/>
                </a:solidFill>
                <a:round/>
              </a:ln>
              <a:effectLst/>
              <a:scene3d>
                <a:camera prst="orthographicFront">
                  <a:rot lat="0" lon="0" rev="0"/>
                </a:camera>
                <a:lightRig rig="threePt" dir="t">
                  <a:rot lat="0" lon="0" rev="1200000"/>
                </a:lightRig>
              </a:scene3d>
              <a:sp3d>
                <a:bevelT w="63500" h="25400"/>
              </a:sp3d>
            </c:spPr>
          </c:marker>
          <c:dLbls>
            <c:dLbl>
              <c:idx val="0"/>
              <c:layout>
                <c:manualLayout>
                  <c:x val="-6.9381423218486976E-2"/>
                  <c:y val="-4.1527671341031656E-2"/>
                </c:manualLayout>
              </c:layout>
              <c:tx>
                <c:rich>
                  <a:bodyPr/>
                  <a:lstStyle/>
                  <a:p>
                    <a:r>
                      <a:rPr lang="en-US"/>
                      <a:t>2006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930B-4CB5-A2F3-BBE14EE69FA3}"/>
                </c:ext>
              </c:extLst>
            </c:dLbl>
            <c:dLbl>
              <c:idx val="1"/>
              <c:layout>
                <c:manualLayout>
                  <c:x val="-2.4016646498707127E-2"/>
                  <c:y val="-3.3977185642662298E-2"/>
                </c:manualLayout>
              </c:layout>
              <c:tx>
                <c:rich>
                  <a:bodyPr/>
                  <a:lstStyle/>
                  <a:p>
                    <a:r>
                      <a:rPr lang="en-US"/>
                      <a:t>2007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930B-4CB5-A2F3-BBE14EE69FA3}"/>
                </c:ext>
              </c:extLst>
            </c:dLbl>
            <c:dLbl>
              <c:idx val="2"/>
              <c:layout>
                <c:manualLayout>
                  <c:x val="-5.0701809275048172E-2"/>
                  <c:y val="-6.3495592658862496E-2"/>
                </c:manualLayout>
              </c:layout>
              <c:tx>
                <c:rich>
                  <a:bodyPr/>
                  <a:lstStyle/>
                  <a:p>
                    <a:r>
                      <a:rPr lang="en-US"/>
                      <a:t>2008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930B-4CB5-A2F3-BBE14EE69FA3}"/>
                </c:ext>
              </c:extLst>
            </c:dLbl>
            <c:dLbl>
              <c:idx val="3"/>
              <c:layout>
                <c:manualLayout>
                  <c:x val="-0.13454854074369876"/>
                  <c:y val="-3.2646747537246598E-2"/>
                </c:manualLayout>
              </c:layout>
              <c:tx>
                <c:rich>
                  <a:bodyPr/>
                  <a:lstStyle/>
                  <a:p>
                    <a:r>
                      <a:rPr lang="en-US"/>
                      <a:t>2009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930B-4CB5-A2F3-BBE14EE69FA3}"/>
                </c:ext>
              </c:extLst>
            </c:dLbl>
            <c:dLbl>
              <c:idx val="4"/>
              <c:layout>
                <c:manualLayout>
                  <c:x val="-0.11474619993826693"/>
                  <c:y val="4.8635741754395737E-2"/>
                </c:manualLayout>
              </c:layout>
              <c:tx>
                <c:rich>
                  <a:bodyPr/>
                  <a:lstStyle/>
                  <a:p>
                    <a:r>
                      <a:rPr lang="en-US"/>
                      <a:t>2010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930B-4CB5-A2F3-BBE14EE69FA3}"/>
                </c:ext>
              </c:extLst>
            </c:dLbl>
            <c:dLbl>
              <c:idx val="5"/>
              <c:layout>
                <c:manualLayout>
                  <c:x val="8.0055488329023438E-3"/>
                  <c:y val="-3.0523469547407887E-2"/>
                </c:manualLayout>
              </c:layout>
              <c:tx>
                <c:rich>
                  <a:bodyPr/>
                  <a:lstStyle/>
                  <a:p>
                    <a:r>
                      <a:rPr lang="en-US"/>
                      <a:t>2011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930B-4CB5-A2F3-BBE14EE69FA3}"/>
                </c:ext>
              </c:extLst>
            </c:dLbl>
            <c:dLbl>
              <c:idx val="6"/>
              <c:layout>
                <c:manualLayout>
                  <c:x val="-6.6712906940852856E-2"/>
                  <c:y val="-4.9078157039401084E-2"/>
                </c:manualLayout>
              </c:layout>
              <c:tx>
                <c:rich>
                  <a:bodyPr/>
                  <a:lstStyle/>
                  <a:p>
                    <a:r>
                      <a:rPr lang="en-US"/>
                      <a:t>2012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930B-4CB5-A2F3-BBE14EE69FA3}"/>
                </c:ext>
              </c:extLst>
            </c:dLbl>
            <c:dLbl>
              <c:idx val="7"/>
              <c:layout>
                <c:manualLayout>
                  <c:x val="1.3486231330586023E-2"/>
                  <c:y val="-1.6118747633412688E-3"/>
                </c:manualLayout>
              </c:layout>
              <c:tx>
                <c:rich>
                  <a:bodyPr/>
                  <a:lstStyle/>
                  <a:p>
                    <a:r>
                      <a:rPr lang="en-US"/>
                      <a:t>2013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930B-4CB5-A2F3-BBE14EE69FA3}"/>
                </c:ext>
              </c:extLst>
            </c:dLbl>
            <c:dLbl>
              <c:idx val="8"/>
              <c:layout>
                <c:manualLayout>
                  <c:x val="-0.15666481132639906"/>
                  <c:y val="7.1367851745804498E-2"/>
                </c:manualLayout>
              </c:layout>
              <c:tx>
                <c:rich>
                  <a:bodyPr/>
                  <a:lstStyle/>
                  <a:p>
                    <a:r>
                      <a:rPr lang="en-US"/>
                      <a:t>2014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930B-4CB5-A2F3-BBE14EE69FA3}"/>
                </c:ext>
              </c:extLst>
            </c:dLbl>
            <c:dLbl>
              <c:idx val="9"/>
              <c:layout>
                <c:manualLayout>
                  <c:x val="-5.4327355684405977E-2"/>
                  <c:y val="3.8165916006571952E-2"/>
                </c:manualLayout>
              </c:layout>
              <c:tx>
                <c:rich>
                  <a:bodyPr/>
                  <a:lstStyle/>
                  <a:p>
                    <a:r>
                      <a:rPr lang="en-US"/>
                      <a:t>2015</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930B-4CB5-A2F3-BBE14EE69FA3}"/>
                </c:ext>
              </c:extLst>
            </c:dLbl>
            <c:dLbl>
              <c:idx val="10"/>
              <c:layout>
                <c:manualLayout>
                  <c:x val="-2.1348125735417816E-2"/>
                  <c:y val="7.0193690025747005E-2"/>
                </c:manualLayout>
              </c:layout>
              <c:tx>
                <c:rich>
                  <a:bodyPr/>
                  <a:lstStyle/>
                  <a:p>
                    <a:r>
                      <a:rPr lang="en-US"/>
                      <a:t>2016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A-930B-4CB5-A2F3-BBE14EE69FA3}"/>
                </c:ext>
              </c:extLst>
            </c:dLbl>
            <c:dLbl>
              <c:idx val="11"/>
              <c:layout>
                <c:manualLayout>
                  <c:x val="-0.12741292440908625"/>
                  <c:y val="-2.2462419470293486E-2"/>
                </c:manualLayout>
              </c:layout>
              <c:tx>
                <c:rich>
                  <a:bodyPr/>
                  <a:lstStyle/>
                  <a:p>
                    <a:r>
                      <a:rPr lang="en-US"/>
                      <a:t>2017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930B-4CB5-A2F3-BBE14EE69FA3}"/>
                </c:ext>
              </c:extLst>
            </c:dLbl>
            <c:dLbl>
              <c:idx val="12"/>
              <c:layout>
                <c:manualLayout>
                  <c:x val="-8.5392520884291667E-2"/>
                  <c:y val="-2.2410209173716247E-2"/>
                </c:manualLayout>
              </c:layout>
              <c:tx>
                <c:rich>
                  <a:bodyPr/>
                  <a:lstStyle/>
                  <a:p>
                    <a:r>
                      <a:rPr lang="en-US"/>
                      <a:t>2018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C-930B-4CB5-A2F3-BBE14EE69FA3}"/>
                </c:ext>
              </c:extLst>
            </c:dLbl>
            <c:dLbl>
              <c:idx val="13"/>
              <c:layout>
                <c:manualLayout>
                  <c:x val="-2.4275828058909252E-2"/>
                  <c:y val="-3.4602083830430286E-2"/>
                </c:manualLayout>
              </c:layout>
              <c:tx>
                <c:rich>
                  <a:bodyPr/>
                  <a:lstStyle/>
                  <a:p>
                    <a:r>
                      <a:rPr lang="en-US"/>
                      <a:t>2019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930B-4CB5-A2F3-BBE14EE69FA3}"/>
                </c:ext>
              </c:extLst>
            </c:dLbl>
            <c:dLbl>
              <c:idx val="14"/>
              <c:layout>
                <c:manualLayout>
                  <c:x val="-0.14950658222753241"/>
                  <c:y val="7.0226358068877753E-2"/>
                </c:manualLayout>
              </c:layout>
              <c:tx>
                <c:rich>
                  <a:bodyPr rot="0" spcFirstLastPara="1" vertOverflow="ellipsis" vert="horz" wrap="square" lIns="38100" tIns="19050" rIns="38100" bIns="19050" anchor="ctr" anchorCtr="1">
                    <a:noAutofit/>
                  </a:bodyPr>
                  <a:lstStyle/>
                  <a:p>
                    <a:pPr>
                      <a:defRPr sz="600" b="0" i="0" u="none" strike="noStrike" kern="1200" baseline="0">
                        <a:solidFill>
                          <a:srgbClr val="44546A"/>
                        </a:solidFill>
                        <a:latin typeface="+mn-lt"/>
                        <a:ea typeface="+mn-ea"/>
                        <a:cs typeface="+mn-cs"/>
                      </a:defRPr>
                    </a:pPr>
                    <a:r>
                      <a:rPr lang="en-US" sz="600"/>
                      <a:t>2020</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18060486510104956"/>
                      <c:h val="4.6352660462896683E-2"/>
                    </c:manualLayout>
                  </c15:layout>
                  <c15:showDataLabelsRange val="0"/>
                </c:ext>
                <c:ext xmlns:c16="http://schemas.microsoft.com/office/drawing/2014/chart" uri="{C3380CC4-5D6E-409C-BE32-E72D297353CC}">
                  <c16:uniqueId val="{0000000E-930B-4CB5-A2F3-BBE14EE69FA3}"/>
                </c:ext>
              </c:extLst>
            </c:dLbl>
            <c:dLbl>
              <c:idx val="15"/>
              <c:layout>
                <c:manualLayout>
                  <c:x val="1.0674062867708761E-2"/>
                  <c:y val="-3.2622739847777804E-2"/>
                </c:manualLayout>
              </c:layout>
              <c:tx>
                <c:rich>
                  <a:bodyPr/>
                  <a:lstStyle/>
                  <a:p>
                    <a:r>
                      <a:rPr lang="en-US"/>
                      <a:t>2021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F-930B-4CB5-A2F3-BBE14EE69FA3}"/>
                </c:ext>
              </c:extLst>
            </c:dLbl>
            <c:dLbl>
              <c:idx val="16"/>
              <c:layout>
                <c:manualLayout>
                  <c:x val="-5.1434317050597804E-2"/>
                  <c:y val="3.1226658550831701E-2"/>
                </c:manualLayout>
              </c:layout>
              <c:tx>
                <c:rich>
                  <a:bodyPr rot="0" spcFirstLastPara="1" vertOverflow="ellipsis" vert="horz" wrap="square" lIns="38100" tIns="19050" rIns="38100" bIns="19050" anchor="ctr" anchorCtr="1">
                    <a:noAutofit/>
                  </a:bodyPr>
                  <a:lstStyle/>
                  <a:p>
                    <a:pPr>
                      <a:defRPr sz="600" b="0" i="0" u="none" strike="noStrike" kern="1200" baseline="0">
                        <a:solidFill>
                          <a:srgbClr val="44546A"/>
                        </a:solidFill>
                        <a:latin typeface="+mn-lt"/>
                        <a:ea typeface="+mn-ea"/>
                        <a:cs typeface="+mn-cs"/>
                      </a:defRPr>
                    </a:pPr>
                    <a:r>
                      <a:rPr lang="en-US" sz="600" b="0"/>
                      <a:t>2022</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showDataLabelsRange val="0"/>
                </c:ext>
                <c:ext xmlns:c16="http://schemas.microsoft.com/office/drawing/2014/chart" uri="{C3380CC4-5D6E-409C-BE32-E72D297353CC}">
                  <c16:uniqueId val="{00000010-930B-4CB5-A2F3-BBE14EE69FA3}"/>
                </c:ext>
              </c:extLst>
            </c:dLbl>
            <c:dLbl>
              <c:idx val="17"/>
              <c:layout>
                <c:manualLayout>
                  <c:x val="-0.11350548715373281"/>
                  <c:y val="2.7141334605901388E-2"/>
                </c:manualLayout>
              </c:layout>
              <c:tx>
                <c:rich>
                  <a:bodyPr/>
                  <a:lstStyle/>
                  <a:p>
                    <a:r>
                      <a:rPr lang="en-US"/>
                      <a:t>2023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1-930B-4CB5-A2F3-BBE14EE69FA3}"/>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rgbClr val="44546A"/>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'Grafikoni, CAB, Karakter'!$Z$12:$Z$29</c:f>
              <c:numCache>
                <c:formatCode>#,##0.0</c:formatCode>
                <c:ptCount val="18"/>
                <c:pt idx="0">
                  <c:v>-2.6619053793972429</c:v>
                </c:pt>
                <c:pt idx="1">
                  <c:v>0.76812862294504969</c:v>
                </c:pt>
                <c:pt idx="2">
                  <c:v>4.0526986593397076</c:v>
                </c:pt>
                <c:pt idx="3">
                  <c:v>-0.38424097524819123</c:v>
                </c:pt>
                <c:pt idx="4">
                  <c:v>-0.71564661276400632</c:v>
                </c:pt>
                <c:pt idx="5">
                  <c:v>0.51942012705998486</c:v>
                </c:pt>
                <c:pt idx="6">
                  <c:v>-0.84768853901090824</c:v>
                </c:pt>
                <c:pt idx="7">
                  <c:v>1.218732135422478</c:v>
                </c:pt>
                <c:pt idx="8">
                  <c:v>-1.4453968611448935</c:v>
                </c:pt>
                <c:pt idx="9">
                  <c:v>-1.2148203099030777</c:v>
                </c:pt>
                <c:pt idx="10">
                  <c:v>-7.5925919408159126E-2</c:v>
                </c:pt>
                <c:pt idx="11">
                  <c:v>-0.63438597309396705</c:v>
                </c:pt>
                <c:pt idx="12">
                  <c:v>0.77314207033720339</c:v>
                </c:pt>
                <c:pt idx="13">
                  <c:v>1.8693712852330144</c:v>
                </c:pt>
                <c:pt idx="14">
                  <c:v>-2.2641513799372359</c:v>
                </c:pt>
                <c:pt idx="15">
                  <c:v>1.6664405616076201</c:v>
                </c:pt>
                <c:pt idx="16">
                  <c:v>0.53149033122091038</c:v>
                </c:pt>
                <c:pt idx="17">
                  <c:v>-0.38258667446345612</c:v>
                </c:pt>
              </c:numCache>
            </c:numRef>
          </c:xVal>
          <c:yVal>
            <c:numRef>
              <c:f>'Grafikoni, CAB, Karakter'!$AA$12:$AA$29</c:f>
              <c:numCache>
                <c:formatCode>#,##0.0</c:formatCode>
                <c:ptCount val="18"/>
                <c:pt idx="0">
                  <c:v>1.2191627820464659</c:v>
                </c:pt>
                <c:pt idx="1">
                  <c:v>2.3071304260413386</c:v>
                </c:pt>
                <c:pt idx="2">
                  <c:v>1.8638539029858558</c:v>
                </c:pt>
                <c:pt idx="3">
                  <c:v>4.6029545148110529E-2</c:v>
                </c:pt>
                <c:pt idx="4">
                  <c:v>-0.29388438487482471</c:v>
                </c:pt>
                <c:pt idx="5">
                  <c:v>0.42848636245661798</c:v>
                </c:pt>
                <c:pt idx="6">
                  <c:v>0.87086200857282314</c:v>
                </c:pt>
                <c:pt idx="7">
                  <c:v>-1.0418542344133011</c:v>
                </c:pt>
                <c:pt idx="8">
                  <c:v>-0.35821414402735252</c:v>
                </c:pt>
                <c:pt idx="9">
                  <c:v>-2.9874410348709777</c:v>
                </c:pt>
                <c:pt idx="10">
                  <c:v>-1.7710597730582631</c:v>
                </c:pt>
                <c:pt idx="11">
                  <c:v>-2.1283666149090612</c:v>
                </c:pt>
                <c:pt idx="12">
                  <c:v>1.3866565617288482</c:v>
                </c:pt>
                <c:pt idx="13">
                  <c:v>1.3449120667802159</c:v>
                </c:pt>
                <c:pt idx="14">
                  <c:v>6.3680443032953082</c:v>
                </c:pt>
                <c:pt idx="15">
                  <c:v>-2.2442172399933087</c:v>
                </c:pt>
                <c:pt idx="16">
                  <c:v>-1.1430420352906694</c:v>
                </c:pt>
                <c:pt idx="17">
                  <c:v>-0.96894767141515559</c:v>
                </c:pt>
              </c:numCache>
            </c:numRef>
          </c:yVal>
          <c:smooth val="1"/>
          <c:extLst>
            <c:ext xmlns:c16="http://schemas.microsoft.com/office/drawing/2014/chart" uri="{C3380CC4-5D6E-409C-BE32-E72D297353CC}">
              <c16:uniqueId val="{00000012-930B-4CB5-A2F3-BBE14EE69FA3}"/>
            </c:ext>
          </c:extLst>
        </c:ser>
        <c:dLbls>
          <c:showLegendKey val="0"/>
          <c:showVal val="0"/>
          <c:showCatName val="0"/>
          <c:showSerName val="0"/>
          <c:showPercent val="0"/>
          <c:showBubbleSize val="0"/>
        </c:dLbls>
        <c:axId val="220401872"/>
        <c:axId val="343751600"/>
      </c:scatterChart>
      <c:valAx>
        <c:axId val="220401872"/>
        <c:scaling>
          <c:orientation val="minMax"/>
          <c:min val="-3"/>
        </c:scaling>
        <c:delete val="0"/>
        <c:axPos val="b"/>
        <c:majorGridlines>
          <c:spPr>
            <a:ln w="12700" cap="flat" cmpd="sng" algn="ctr">
              <a:noFill/>
              <a:round/>
            </a:ln>
            <a:effectLst/>
          </c:spPr>
        </c:majorGridlines>
        <c:title>
          <c:tx>
            <c:rich>
              <a:bodyPr rot="0" spcFirstLastPara="1" vertOverflow="ellipsis" vert="horz" wrap="square" anchor="ctr" anchorCtr="1"/>
              <a:lstStyle/>
              <a:p>
                <a:pPr>
                  <a:defRPr sz="700" b="0" i="0" u="none" strike="noStrike" kern="1200" baseline="0">
                    <a:solidFill>
                      <a:srgbClr val="44546A"/>
                    </a:solidFill>
                    <a:latin typeface="+mn-lt"/>
                    <a:ea typeface="+mn-ea"/>
                    <a:cs typeface="+mn-cs"/>
                  </a:defRPr>
                </a:pPr>
                <a:r>
                  <a:rPr lang="sr-Cyrl-CS" sz="700" b="0">
                    <a:solidFill>
                      <a:srgbClr val="44546A"/>
                    </a:solidFill>
                    <a:latin typeface="+mn-lt"/>
                  </a:rPr>
                  <a:t>Производни јаз</a:t>
                </a:r>
              </a:p>
            </c:rich>
          </c:tx>
          <c:layout>
            <c:manualLayout>
              <c:xMode val="edge"/>
              <c:yMode val="edge"/>
              <c:x val="0.82932193475815519"/>
              <c:y val="0.56597321446622073"/>
            </c:manualLayout>
          </c:layout>
          <c:overlay val="0"/>
          <c:spPr>
            <a:noFill/>
            <a:ln>
              <a:noFill/>
            </a:ln>
            <a:effectLst/>
          </c:spPr>
        </c:title>
        <c:numFmt formatCode="#,##0" sourceLinked="0"/>
        <c:majorTickMark val="none"/>
        <c:minorTickMark val="none"/>
        <c:tickLblPos val="nextTo"/>
        <c:spPr>
          <a:noFill/>
          <a:ln w="9525" cap="flat" cmpd="sng" algn="ctr">
            <a:solidFill>
              <a:srgbClr val="D9D9D9"/>
            </a:solidFill>
            <a:round/>
          </a:ln>
          <a:effectLst/>
        </c:spPr>
        <c:txPr>
          <a:bodyPr rot="-6000000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crossAx val="343751600"/>
        <c:crosses val="autoZero"/>
        <c:crossBetween val="midCat"/>
      </c:valAx>
      <c:valAx>
        <c:axId val="343751600"/>
        <c:scaling>
          <c:orientation val="minMax"/>
          <c:max val="6.5"/>
          <c:min val="-4"/>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700" b="0" i="0" u="none" strike="noStrike" kern="1200" baseline="0">
                    <a:solidFill>
                      <a:srgbClr val="44546A"/>
                    </a:solidFill>
                    <a:latin typeface="+mn-lt"/>
                    <a:ea typeface="+mn-ea"/>
                    <a:cs typeface="+mn-cs"/>
                  </a:defRPr>
                </a:pPr>
                <a:r>
                  <a:rPr lang="sr-Cyrl-CS" sz="700" b="0">
                    <a:solidFill>
                      <a:srgbClr val="44546A"/>
                    </a:solidFill>
                    <a:latin typeface="+mn-lt"/>
                  </a:rPr>
                  <a:t>Фискални импулс</a:t>
                </a:r>
                <a:endParaRPr lang="en-GB" sz="700" b="0">
                  <a:solidFill>
                    <a:srgbClr val="44546A"/>
                  </a:solidFill>
                  <a:latin typeface="+mn-lt"/>
                </a:endParaRPr>
              </a:p>
            </c:rich>
          </c:tx>
          <c:layout>
            <c:manualLayout>
              <c:xMode val="edge"/>
              <c:yMode val="edge"/>
              <c:x val="2.416097987751531E-3"/>
              <c:y val="0.49974210003786534"/>
            </c:manualLayout>
          </c:layout>
          <c:overlay val="0"/>
          <c:spPr>
            <a:noFill/>
            <a:ln>
              <a:noFill/>
            </a:ln>
            <a:effectLst/>
          </c:spPr>
        </c:title>
        <c:numFmt formatCode="#,##0" sourceLinked="0"/>
        <c:majorTickMark val="none"/>
        <c:minorTickMark val="none"/>
        <c:tickLblPos val="nextTo"/>
        <c:spPr>
          <a:noFill/>
          <a:ln w="9525">
            <a:solidFill>
              <a:srgbClr val="D9D9D9"/>
            </a:solidFill>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crossAx val="220401872"/>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latin typeface="Cambria" panose="02040503050406030204" pitchFamily="18" charset="0"/>
        </a:defRPr>
      </a:pPr>
      <a:endParaRPr lang="sr-Latn-RS"/>
    </a:p>
  </c:txPr>
  <c:externalData r:id="rId2">
    <c:autoUpdate val="0"/>
  </c:externalData>
  <c:userShapes r:id="rId3"/>
</c:chartSpace>
</file>

<file path=word/charts/chart7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109214420450111"/>
          <c:y val="4.2508416483893662E-2"/>
          <c:w val="0.86835241316508394"/>
          <c:h val="0.77118929282775828"/>
        </c:manualLayout>
      </c:layout>
      <c:barChart>
        <c:barDir val="col"/>
        <c:grouping val="clustered"/>
        <c:varyColors val="0"/>
        <c:ser>
          <c:idx val="0"/>
          <c:order val="0"/>
          <c:spPr>
            <a:solidFill>
              <a:schemeClr val="accent1"/>
            </a:solidFill>
            <a:ln w="25400">
              <a:solidFill>
                <a:schemeClr val="accent1"/>
              </a:solidFill>
            </a:ln>
            <a:effectLst/>
          </c:spPr>
          <c:invertIfNegative val="0"/>
          <c:dLbls>
            <c:dLbl>
              <c:idx val="12"/>
              <c:layout>
                <c:manualLayout>
                  <c:x val="-1.381533502187428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3FA-40E5-90AA-856C4BB0D6E1}"/>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'Сценарио 1'!$C$79:$C$94</c:f>
              <c:strCache>
                <c:ptCount val="16"/>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strCache>
            </c:strRef>
          </c:cat>
          <c:val>
            <c:numRef>
              <c:f>'Сценарио 1'!$D$79:$D$94</c:f>
              <c:numCache>
                <c:formatCode>0.0</c:formatCode>
                <c:ptCount val="16"/>
                <c:pt idx="0">
                  <c:v>28.7</c:v>
                </c:pt>
                <c:pt idx="1">
                  <c:v>32.799999999999997</c:v>
                </c:pt>
                <c:pt idx="2">
                  <c:v>41.4</c:v>
                </c:pt>
                <c:pt idx="3">
                  <c:v>44.687403264025434</c:v>
                </c:pt>
                <c:pt idx="4">
                  <c:v>54.584451229535397</c:v>
                </c:pt>
                <c:pt idx="5">
                  <c:v>57.483723765998221</c:v>
                </c:pt>
                <c:pt idx="6">
                  <c:v>67.495119111541086</c:v>
                </c:pt>
                <c:pt idx="7">
                  <c:v>71.199826072534094</c:v>
                </c:pt>
                <c:pt idx="8">
                  <c:v>68.7</c:v>
                </c:pt>
                <c:pt idx="9">
                  <c:v>58.6</c:v>
                </c:pt>
                <c:pt idx="10">
                  <c:v>54.4</c:v>
                </c:pt>
                <c:pt idx="11">
                  <c:v>52.8</c:v>
                </c:pt>
                <c:pt idx="12" formatCode="General">
                  <c:v>57.8</c:v>
                </c:pt>
                <c:pt idx="13">
                  <c:v>57.124554851384275</c:v>
                </c:pt>
                <c:pt idx="14">
                  <c:v>55.6</c:v>
                </c:pt>
                <c:pt idx="15">
                  <c:v>53.3</c:v>
                </c:pt>
              </c:numCache>
            </c:numRef>
          </c:val>
          <c:extLst>
            <c:ext xmlns:c16="http://schemas.microsoft.com/office/drawing/2014/chart" uri="{C3380CC4-5D6E-409C-BE32-E72D297353CC}">
              <c16:uniqueId val="{00000000-13FA-40E5-90AA-856C4BB0D6E1}"/>
            </c:ext>
          </c:extLst>
        </c:ser>
        <c:dLbls>
          <c:showLegendKey val="0"/>
          <c:showVal val="0"/>
          <c:showCatName val="0"/>
          <c:showSerName val="0"/>
          <c:showPercent val="0"/>
          <c:showBubbleSize val="0"/>
        </c:dLbls>
        <c:gapWidth val="57"/>
        <c:axId val="582077168"/>
        <c:axId val="582077584"/>
      </c:barChart>
      <c:catAx>
        <c:axId val="582077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82077584"/>
        <c:crosses val="autoZero"/>
        <c:auto val="1"/>
        <c:lblAlgn val="ctr"/>
        <c:lblOffset val="100"/>
        <c:noMultiLvlLbl val="0"/>
      </c:catAx>
      <c:valAx>
        <c:axId val="582077584"/>
        <c:scaling>
          <c:orientation val="minMax"/>
          <c:min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sr-Cyrl-RS" sz="800"/>
                  <a:t>% БДП</a:t>
                </a:r>
              </a:p>
            </c:rich>
          </c:tx>
          <c:layout>
            <c:manualLayout>
              <c:xMode val="edge"/>
              <c:yMode val="edge"/>
              <c:x val="9.6242482699103085E-2"/>
              <c:y val="0.4175608778069409"/>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8207716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3">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247473029496585E-2"/>
          <c:y val="5.0621986652026364E-2"/>
          <c:w val="0.90182166347717574"/>
          <c:h val="0.90664979271278157"/>
        </c:manualLayout>
      </c:layout>
      <c:lineChart>
        <c:grouping val="standard"/>
        <c:varyColors val="0"/>
        <c:ser>
          <c:idx val="0"/>
          <c:order val="0"/>
          <c:tx>
            <c:strRef>
              <c:f>'Quaterly, Yearly'!$CT$5</c:f>
              <c:strCache>
                <c:ptCount val="1"/>
                <c:pt idx="0">
                  <c:v>Примарни резултат који стабилизује учешће дуга у БДП</c:v>
                </c:pt>
              </c:strCache>
            </c:strRef>
          </c:tx>
          <c:spPr>
            <a:ln w="22225" cap="rnd">
              <a:solidFill>
                <a:schemeClr val="accent1"/>
              </a:solidFill>
              <a:round/>
            </a:ln>
            <a:effectLst/>
          </c:spPr>
          <c:marker>
            <c:symbol val="none"/>
          </c:marker>
          <c:cat>
            <c:strRef>
              <c:f>'Quaterly, Yearly'!$DG$7:$DR$8</c:f>
              <c:strCache>
                <c:ptCount val="12"/>
                <c:pt idx="0">
                  <c:v>2015</c:v>
                </c:pt>
                <c:pt idx="1">
                  <c:v>2016</c:v>
                </c:pt>
                <c:pt idx="2">
                  <c:v>2017</c:v>
                </c:pt>
                <c:pt idx="3">
                  <c:v>2018</c:v>
                </c:pt>
                <c:pt idx="4">
                  <c:v>2019</c:v>
                </c:pt>
                <c:pt idx="5">
                  <c:v>2020</c:v>
                </c:pt>
                <c:pt idx="6">
                  <c:v>2021</c:v>
                </c:pt>
                <c:pt idx="7">
                  <c:v>2022</c:v>
                </c:pt>
                <c:pt idx="8">
                  <c:v>2023</c:v>
                </c:pt>
                <c:pt idx="9">
                  <c:v>2024</c:v>
                </c:pt>
                <c:pt idx="10">
                  <c:v>2025</c:v>
                </c:pt>
                <c:pt idx="11">
                  <c:v>2026</c:v>
                </c:pt>
              </c:strCache>
            </c:strRef>
          </c:cat>
          <c:val>
            <c:numRef>
              <c:f>'Quaterly, Yearly'!$DG$5:$DR$5</c:f>
              <c:numCache>
                <c:formatCode>#,##0.00</c:formatCode>
                <c:ptCount val="12"/>
                <c:pt idx="0">
                  <c:v>0.33469487792738534</c:v>
                </c:pt>
                <c:pt idx="1">
                  <c:v>-0.48152612519681304</c:v>
                </c:pt>
                <c:pt idx="2">
                  <c:v>-0.51643690674312936</c:v>
                </c:pt>
                <c:pt idx="3">
                  <c:v>-1.440661646189574</c:v>
                </c:pt>
                <c:pt idx="4">
                  <c:v>-1.563465039272079</c:v>
                </c:pt>
                <c:pt idx="5">
                  <c:v>1.0106948845758121</c:v>
                </c:pt>
                <c:pt idx="6">
                  <c:v>-5.5169811799035955</c:v>
                </c:pt>
                <c:pt idx="7">
                  <c:v>-5.237504752889107</c:v>
                </c:pt>
                <c:pt idx="8">
                  <c:v>-5.246759219818065</c:v>
                </c:pt>
                <c:pt idx="9">
                  <c:v>-2.05715893581529</c:v>
                </c:pt>
                <c:pt idx="10">
                  <c:v>-1.7063129566711854</c:v>
                </c:pt>
                <c:pt idx="11">
                  <c:v>-1.2250610404177349</c:v>
                </c:pt>
              </c:numCache>
            </c:numRef>
          </c:val>
          <c:smooth val="0"/>
          <c:extLst>
            <c:ext xmlns:c16="http://schemas.microsoft.com/office/drawing/2014/chart" uri="{C3380CC4-5D6E-409C-BE32-E72D297353CC}">
              <c16:uniqueId val="{00000000-20E8-467B-9F44-A7C9EE13B529}"/>
            </c:ext>
          </c:extLst>
        </c:ser>
        <c:ser>
          <c:idx val="1"/>
          <c:order val="1"/>
          <c:tx>
            <c:v>Остварени (пројектовани) примарни фискални резултат</c:v>
          </c:tx>
          <c:spPr>
            <a:ln w="22225" cap="rnd">
              <a:solidFill>
                <a:schemeClr val="accent2"/>
              </a:solidFill>
              <a:round/>
            </a:ln>
            <a:effectLst/>
          </c:spPr>
          <c:marker>
            <c:symbol val="none"/>
          </c:marker>
          <c:cat>
            <c:strRef>
              <c:f>'Quaterly, Yearly'!$DG$7:$DR$8</c:f>
              <c:strCache>
                <c:ptCount val="12"/>
                <c:pt idx="0">
                  <c:v>2015</c:v>
                </c:pt>
                <c:pt idx="1">
                  <c:v>2016</c:v>
                </c:pt>
                <c:pt idx="2">
                  <c:v>2017</c:v>
                </c:pt>
                <c:pt idx="3">
                  <c:v>2018</c:v>
                </c:pt>
                <c:pt idx="4">
                  <c:v>2019</c:v>
                </c:pt>
                <c:pt idx="5">
                  <c:v>2020</c:v>
                </c:pt>
                <c:pt idx="6">
                  <c:v>2021</c:v>
                </c:pt>
                <c:pt idx="7">
                  <c:v>2022</c:v>
                </c:pt>
                <c:pt idx="8">
                  <c:v>2023</c:v>
                </c:pt>
                <c:pt idx="9">
                  <c:v>2024</c:v>
                </c:pt>
                <c:pt idx="10">
                  <c:v>2025</c:v>
                </c:pt>
                <c:pt idx="11">
                  <c:v>2026</c:v>
                </c:pt>
              </c:strCache>
            </c:strRef>
          </c:cat>
          <c:val>
            <c:numRef>
              <c:f>'Quaterly, Yearly'!$DG$61:$DR$61</c:f>
              <c:numCache>
                <c:formatCode>#,##0.0</c:formatCode>
                <c:ptCount val="12"/>
                <c:pt idx="0">
                  <c:v>-0.47061316203530046</c:v>
                </c:pt>
                <c:pt idx="1">
                  <c:v>1.7045650732845505</c:v>
                </c:pt>
                <c:pt idx="2">
                  <c:v>3.634771068549187</c:v>
                </c:pt>
                <c:pt idx="3">
                  <c:v>2.7475533250713307</c:v>
                </c:pt>
                <c:pt idx="4">
                  <c:v>1.7916206652556272</c:v>
                </c:pt>
                <c:pt idx="5">
                  <c:v>-6.0431380560869226</c:v>
                </c:pt>
                <c:pt idx="6">
                  <c:v>-2.404213120233746</c:v>
                </c:pt>
                <c:pt idx="7">
                  <c:v>-1.6638900250618343</c:v>
                </c:pt>
                <c:pt idx="8" formatCode="0.00">
                  <c:v>-1.0192879619917319</c:v>
                </c:pt>
                <c:pt idx="9" formatCode="0.00">
                  <c:v>-8.4586890365524692E-2</c:v>
                </c:pt>
                <c:pt idx="10" formatCode="0.00">
                  <c:v>0.66782403737408957</c:v>
                </c:pt>
                <c:pt idx="11" formatCode="0.00">
                  <c:v>0.83632887942926981</c:v>
                </c:pt>
              </c:numCache>
            </c:numRef>
          </c:val>
          <c:smooth val="0"/>
          <c:extLst>
            <c:ext xmlns:c16="http://schemas.microsoft.com/office/drawing/2014/chart" uri="{C3380CC4-5D6E-409C-BE32-E72D297353CC}">
              <c16:uniqueId val="{00000001-20E8-467B-9F44-A7C9EE13B529}"/>
            </c:ext>
          </c:extLst>
        </c:ser>
        <c:dLbls>
          <c:showLegendKey val="0"/>
          <c:showVal val="0"/>
          <c:showCatName val="0"/>
          <c:showSerName val="0"/>
          <c:showPercent val="0"/>
          <c:showBubbleSize val="0"/>
        </c:dLbls>
        <c:smooth val="0"/>
        <c:axId val="519226144"/>
        <c:axId val="519226704"/>
      </c:lineChart>
      <c:catAx>
        <c:axId val="51922614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crossAx val="519226704"/>
        <c:crosses val="autoZero"/>
        <c:auto val="1"/>
        <c:lblAlgn val="ctr"/>
        <c:lblOffset val="100"/>
        <c:noMultiLvlLbl val="0"/>
      </c:catAx>
      <c:valAx>
        <c:axId val="519226704"/>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sr-Cyrl-RS" sz="900">
                    <a:latin typeface="+mn-lt"/>
                  </a:rPr>
                  <a:t>% БДП</a:t>
                </a:r>
                <a:endParaRPr lang="en-US" sz="900">
                  <a:latin typeface="+mn-lt"/>
                </a:endParaRPr>
              </a:p>
            </c:rich>
          </c:tx>
          <c:layout>
            <c:manualLayout>
              <c:xMode val="edge"/>
              <c:yMode val="edge"/>
              <c:x val="6.5368291086570676E-2"/>
              <c:y val="0.52083489563804519"/>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19226144"/>
        <c:crosses val="autoZero"/>
        <c:crossBetween val="between"/>
      </c:valAx>
      <c:spPr>
        <a:noFill/>
        <a:ln>
          <a:noFill/>
        </a:ln>
        <a:effectLst/>
      </c:spPr>
    </c:plotArea>
    <c:legend>
      <c:legendPos val="r"/>
      <c:layout>
        <c:manualLayout>
          <c:xMode val="edge"/>
          <c:yMode val="edge"/>
          <c:x val="0.43440888677770906"/>
          <c:y val="4.4762640649801927E-2"/>
          <c:w val="0.5619947748299825"/>
          <c:h val="0.22263360322624778"/>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a:pPr>
      <a:endParaRPr lang="sr-Latn-RS"/>
    </a:p>
  </c:txPr>
  <c:externalData r:id="rId3">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4587713337863218E-2"/>
          <c:y val="2.9912556166267597E-2"/>
          <c:w val="0.86739038330868545"/>
          <c:h val="0.75838633222079932"/>
        </c:manualLayout>
      </c:layout>
      <c:barChart>
        <c:barDir val="col"/>
        <c:grouping val="clustered"/>
        <c:varyColors val="0"/>
        <c:dLbls>
          <c:showLegendKey val="0"/>
          <c:showVal val="0"/>
          <c:showCatName val="0"/>
          <c:showSerName val="0"/>
          <c:showPercent val="0"/>
          <c:showBubbleSize val="0"/>
        </c:dLbls>
        <c:gapWidth val="200"/>
        <c:axId val="1433716128"/>
        <c:axId val="1433710720"/>
        <c:extLst>
          <c:ext xmlns:c15="http://schemas.microsoft.com/office/drawing/2012/chart" uri="{02D57815-91ED-43cb-92C2-25804820EDAC}">
            <c15:filteredBarSeries>
              <c15:ser>
                <c:idx val="4"/>
                <c:order val="4"/>
                <c:tx>
                  <c:strRef>
                    <c:extLst>
                      <c:ext uri="{02D57815-91ED-43cb-92C2-25804820EDAC}">
                        <c15:formulaRef>
                          <c15:sqref>'Сценарио 1'!$B$48</c15:sqref>
                        </c15:formulaRef>
                      </c:ext>
                    </c:extLst>
                    <c:strCache>
                      <c:ptCount val="1"/>
                      <c:pt idx="0">
                        <c:v>Основни сценарио (дефицит)</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c:ext uri="{02D57815-91ED-43cb-92C2-25804820EDAC}">
                        <c15:formulaRef>
                          <c15:sqref>'Сценарио 1'!$C$33:$L$33</c15:sqref>
                        </c15:formulaRef>
                      </c:ext>
                    </c:extLst>
                    <c:numCache>
                      <c:formatCode>General</c:formatCode>
                      <c:ptCount val="10"/>
                      <c:pt idx="0">
                        <c:v>2022</c:v>
                      </c:pt>
                      <c:pt idx="1">
                        <c:v>2023</c:v>
                      </c:pt>
                      <c:pt idx="2">
                        <c:v>2024</c:v>
                      </c:pt>
                      <c:pt idx="3">
                        <c:v>2025</c:v>
                      </c:pt>
                      <c:pt idx="4">
                        <c:v>2026</c:v>
                      </c:pt>
                      <c:pt idx="5">
                        <c:v>2027</c:v>
                      </c:pt>
                      <c:pt idx="6">
                        <c:v>2028</c:v>
                      </c:pt>
                      <c:pt idx="7">
                        <c:v>2029</c:v>
                      </c:pt>
                      <c:pt idx="8">
                        <c:v>2030</c:v>
                      </c:pt>
                      <c:pt idx="9">
                        <c:v>2031</c:v>
                      </c:pt>
                    </c:numCache>
                  </c:numRef>
                </c:cat>
                <c:val>
                  <c:numRef>
                    <c:extLst>
                      <c:ext uri="{02D57815-91ED-43cb-92C2-25804820EDAC}">
                        <c15:formulaRef>
                          <c15:sqref>'Сценарио 1'!$C$48:$L$48</c15:sqref>
                        </c15:formulaRef>
                      </c:ext>
                    </c:extLst>
                    <c:numCache>
                      <c:formatCode>General</c:formatCode>
                      <c:ptCount val="10"/>
                      <c:pt idx="0">
                        <c:v>3.1709662073615501</c:v>
                      </c:pt>
                      <c:pt idx="1">
                        <c:v>2.8</c:v>
                      </c:pt>
                      <c:pt idx="2">
                        <c:v>2.2000000000000002</c:v>
                      </c:pt>
                      <c:pt idx="3">
                        <c:v>1.5</c:v>
                      </c:pt>
                      <c:pt idx="4">
                        <c:v>1.5</c:v>
                      </c:pt>
                      <c:pt idx="5">
                        <c:v>1.5</c:v>
                      </c:pt>
                      <c:pt idx="6">
                        <c:v>1.5</c:v>
                      </c:pt>
                      <c:pt idx="7">
                        <c:v>1.5</c:v>
                      </c:pt>
                      <c:pt idx="8">
                        <c:v>1.5</c:v>
                      </c:pt>
                      <c:pt idx="9">
                        <c:v>1.5</c:v>
                      </c:pt>
                    </c:numCache>
                  </c:numRef>
                </c:val>
                <c:extLst>
                  <c:ext xmlns:c16="http://schemas.microsoft.com/office/drawing/2014/chart" uri="{C3380CC4-5D6E-409C-BE32-E72D297353CC}">
                    <c16:uniqueId val="{00000038-BB87-4F72-871F-35881B1A8326}"/>
                  </c:ext>
                </c:extLst>
              </c15:ser>
            </c15:filteredBarSeries>
            <c15:filteredBarSeries>
              <c15:ser>
                <c:idx val="5"/>
                <c:order val="5"/>
                <c:tx>
                  <c:strRef>
                    <c:extLst xmlns:c15="http://schemas.microsoft.com/office/drawing/2012/chart">
                      <c:ext xmlns:c15="http://schemas.microsoft.com/office/drawing/2012/chart" uri="{02D57815-91ED-43cb-92C2-25804820EDAC}">
                        <c15:formulaRef>
                          <c15:sqref>'Сценарио 1'!$B$49</c15:sqref>
                        </c15:formulaRef>
                      </c:ext>
                    </c:extLst>
                    <c:strCache>
                      <c:ptCount val="1"/>
                      <c:pt idx="0">
                        <c:v>Успорен раст након 2026. (дефицит)</c:v>
                      </c:pt>
                    </c:strCache>
                  </c:strRef>
                </c:tx>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xmlns:c15="http://schemas.microsoft.com/office/drawing/2012/chart">
                      <c:ext xmlns:c15="http://schemas.microsoft.com/office/drawing/2012/chart" uri="{02D57815-91ED-43cb-92C2-25804820EDAC}">
                        <c15:formulaRef>
                          <c15:sqref>'Сценарио 1'!$C$33:$L$33</c15:sqref>
                        </c15:formulaRef>
                      </c:ext>
                    </c:extLst>
                    <c:numCache>
                      <c:formatCode>General</c:formatCode>
                      <c:ptCount val="10"/>
                      <c:pt idx="0">
                        <c:v>2022</c:v>
                      </c:pt>
                      <c:pt idx="1">
                        <c:v>2023</c:v>
                      </c:pt>
                      <c:pt idx="2">
                        <c:v>2024</c:v>
                      </c:pt>
                      <c:pt idx="3">
                        <c:v>2025</c:v>
                      </c:pt>
                      <c:pt idx="4">
                        <c:v>2026</c:v>
                      </c:pt>
                      <c:pt idx="5">
                        <c:v>2027</c:v>
                      </c:pt>
                      <c:pt idx="6">
                        <c:v>2028</c:v>
                      </c:pt>
                      <c:pt idx="7">
                        <c:v>2029</c:v>
                      </c:pt>
                      <c:pt idx="8">
                        <c:v>2030</c:v>
                      </c:pt>
                      <c:pt idx="9">
                        <c:v>2031</c:v>
                      </c:pt>
                    </c:numCache>
                  </c:numRef>
                </c:cat>
                <c:val>
                  <c:numRef>
                    <c:extLst xmlns:c15="http://schemas.microsoft.com/office/drawing/2012/chart">
                      <c:ext xmlns:c15="http://schemas.microsoft.com/office/drawing/2012/chart" uri="{02D57815-91ED-43cb-92C2-25804820EDAC}">
                        <c15:formulaRef>
                          <c15:sqref>'Сценарио 1'!$C$49:$L$49</c15:sqref>
                        </c15:formulaRef>
                      </c:ext>
                    </c:extLst>
                    <c:numCache>
                      <c:formatCode>General</c:formatCode>
                      <c:ptCount val="10"/>
                      <c:pt idx="0">
                        <c:v>3.1709662073615501</c:v>
                      </c:pt>
                      <c:pt idx="1">
                        <c:v>2.8</c:v>
                      </c:pt>
                      <c:pt idx="2">
                        <c:v>2.2000000000000002</c:v>
                      </c:pt>
                      <c:pt idx="3">
                        <c:v>1.5</c:v>
                      </c:pt>
                      <c:pt idx="4">
                        <c:v>1.5</c:v>
                      </c:pt>
                      <c:pt idx="5">
                        <c:v>1.5</c:v>
                      </c:pt>
                      <c:pt idx="6">
                        <c:v>1.5</c:v>
                      </c:pt>
                      <c:pt idx="7">
                        <c:v>1.5</c:v>
                      </c:pt>
                      <c:pt idx="8">
                        <c:v>1.5</c:v>
                      </c:pt>
                      <c:pt idx="9">
                        <c:v>1.5</c:v>
                      </c:pt>
                    </c:numCache>
                  </c:numRef>
                </c:val>
                <c:extLst xmlns:c15="http://schemas.microsoft.com/office/drawing/2012/chart">
                  <c:ext xmlns:c16="http://schemas.microsoft.com/office/drawing/2014/chart" uri="{C3380CC4-5D6E-409C-BE32-E72D297353CC}">
                    <c16:uniqueId val="{00000039-BB87-4F72-871F-35881B1A8326}"/>
                  </c:ext>
                </c:extLst>
              </c15:ser>
            </c15:filteredBarSeries>
            <c15:filteredBarSeries>
              <c15:ser>
                <c:idx val="6"/>
                <c:order val="6"/>
                <c:tx>
                  <c:strRef>
                    <c:extLst xmlns:c15="http://schemas.microsoft.com/office/drawing/2012/chart">
                      <c:ext xmlns:c15="http://schemas.microsoft.com/office/drawing/2012/chart" uri="{02D57815-91ED-43cb-92C2-25804820EDAC}">
                        <c15:formulaRef>
                          <c15:sqref>'Сценарио 1'!$B$50</c15:sqref>
                        </c15:formulaRef>
                      </c:ext>
                    </c:extLst>
                    <c:strCache>
                      <c:ptCount val="1"/>
                      <c:pt idx="0">
                        <c:v>Фискални шок након 2026. године (дефицит)</c:v>
                      </c:pt>
                    </c:strCache>
                  </c:strRef>
                </c:tx>
                <c:spPr>
                  <a:gradFill rotWithShape="1">
                    <a:gsLst>
                      <a:gs pos="0">
                        <a:schemeClr val="accent1">
                          <a:lumMod val="60000"/>
                          <a:shade val="51000"/>
                          <a:satMod val="130000"/>
                        </a:schemeClr>
                      </a:gs>
                      <a:gs pos="80000">
                        <a:schemeClr val="accent1">
                          <a:lumMod val="60000"/>
                          <a:shade val="93000"/>
                          <a:satMod val="130000"/>
                        </a:schemeClr>
                      </a:gs>
                      <a:gs pos="100000">
                        <a:schemeClr val="accent1">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xmlns:c15="http://schemas.microsoft.com/office/drawing/2012/chart">
                      <c:ext xmlns:c15="http://schemas.microsoft.com/office/drawing/2012/chart" uri="{02D57815-91ED-43cb-92C2-25804820EDAC}">
                        <c15:formulaRef>
                          <c15:sqref>'Сценарио 1'!$C$33:$L$33</c15:sqref>
                        </c15:formulaRef>
                      </c:ext>
                    </c:extLst>
                    <c:numCache>
                      <c:formatCode>General</c:formatCode>
                      <c:ptCount val="10"/>
                      <c:pt idx="0">
                        <c:v>2022</c:v>
                      </c:pt>
                      <c:pt idx="1">
                        <c:v>2023</c:v>
                      </c:pt>
                      <c:pt idx="2">
                        <c:v>2024</c:v>
                      </c:pt>
                      <c:pt idx="3">
                        <c:v>2025</c:v>
                      </c:pt>
                      <c:pt idx="4">
                        <c:v>2026</c:v>
                      </c:pt>
                      <c:pt idx="5">
                        <c:v>2027</c:v>
                      </c:pt>
                      <c:pt idx="6">
                        <c:v>2028</c:v>
                      </c:pt>
                      <c:pt idx="7">
                        <c:v>2029</c:v>
                      </c:pt>
                      <c:pt idx="8">
                        <c:v>2030</c:v>
                      </c:pt>
                      <c:pt idx="9">
                        <c:v>2031</c:v>
                      </c:pt>
                    </c:numCache>
                  </c:numRef>
                </c:cat>
                <c:val>
                  <c:numRef>
                    <c:extLst xmlns:c15="http://schemas.microsoft.com/office/drawing/2012/chart">
                      <c:ext xmlns:c15="http://schemas.microsoft.com/office/drawing/2012/chart" uri="{02D57815-91ED-43cb-92C2-25804820EDAC}">
                        <c15:formulaRef>
                          <c15:sqref>'Сценарио 1'!$C$50:$L$50</c15:sqref>
                        </c15:formulaRef>
                      </c:ext>
                    </c:extLst>
                    <c:numCache>
                      <c:formatCode>General</c:formatCode>
                      <c:ptCount val="10"/>
                      <c:pt idx="0">
                        <c:v>3.1709662073615501</c:v>
                      </c:pt>
                      <c:pt idx="1">
                        <c:v>2.8</c:v>
                      </c:pt>
                      <c:pt idx="2">
                        <c:v>2.2000000000000002</c:v>
                      </c:pt>
                      <c:pt idx="3">
                        <c:v>1.5</c:v>
                      </c:pt>
                      <c:pt idx="4">
                        <c:v>1.5</c:v>
                      </c:pt>
                      <c:pt idx="5">
                        <c:v>9</c:v>
                      </c:pt>
                      <c:pt idx="6">
                        <c:v>2</c:v>
                      </c:pt>
                      <c:pt idx="7">
                        <c:v>0</c:v>
                      </c:pt>
                      <c:pt idx="8">
                        <c:v>0.5</c:v>
                      </c:pt>
                      <c:pt idx="9">
                        <c:v>0.5</c:v>
                      </c:pt>
                    </c:numCache>
                  </c:numRef>
                </c:val>
                <c:extLst xmlns:c15="http://schemas.microsoft.com/office/drawing/2012/chart">
                  <c:ext xmlns:c16="http://schemas.microsoft.com/office/drawing/2014/chart" uri="{C3380CC4-5D6E-409C-BE32-E72D297353CC}">
                    <c16:uniqueId val="{0000003A-BB87-4F72-871F-35881B1A8326}"/>
                  </c:ext>
                </c:extLst>
              </c15:ser>
            </c15:filteredBarSeries>
          </c:ext>
        </c:extLst>
      </c:barChart>
      <c:lineChart>
        <c:grouping val="standard"/>
        <c:varyColors val="0"/>
        <c:ser>
          <c:idx val="2"/>
          <c:order val="1"/>
          <c:tx>
            <c:strRef>
              <c:f>'manji rast'!$B$33</c:f>
              <c:strCache>
                <c:ptCount val="1"/>
                <c:pt idx="0">
                  <c:v>Успорен раст након 2026</c:v>
                </c:pt>
              </c:strCache>
            </c:strRef>
          </c:tx>
          <c:spPr>
            <a:ln w="22225" cap="rnd">
              <a:solidFill>
                <a:schemeClr val="accent3"/>
              </a:solidFill>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0-BB87-4F72-871F-35881B1A8326}"/>
                </c:ext>
              </c:extLst>
            </c:dLbl>
            <c:dLbl>
              <c:idx val="1"/>
              <c:delete val="1"/>
              <c:extLst>
                <c:ext xmlns:c15="http://schemas.microsoft.com/office/drawing/2012/chart" uri="{CE6537A1-D6FC-4f65-9D91-7224C49458BB}"/>
                <c:ext xmlns:c16="http://schemas.microsoft.com/office/drawing/2014/chart" uri="{C3380CC4-5D6E-409C-BE32-E72D297353CC}">
                  <c16:uniqueId val="{00000001-BB87-4F72-871F-35881B1A8326}"/>
                </c:ext>
              </c:extLst>
            </c:dLbl>
            <c:dLbl>
              <c:idx val="2"/>
              <c:delete val="1"/>
              <c:extLst>
                <c:ext xmlns:c15="http://schemas.microsoft.com/office/drawing/2012/chart" uri="{CE6537A1-D6FC-4f65-9D91-7224C49458BB}"/>
                <c:ext xmlns:c16="http://schemas.microsoft.com/office/drawing/2014/chart" uri="{C3380CC4-5D6E-409C-BE32-E72D297353CC}">
                  <c16:uniqueId val="{00000002-BB87-4F72-871F-35881B1A8326}"/>
                </c:ext>
              </c:extLst>
            </c:dLbl>
            <c:dLbl>
              <c:idx val="3"/>
              <c:delete val="1"/>
              <c:extLst>
                <c:ext xmlns:c15="http://schemas.microsoft.com/office/drawing/2012/chart" uri="{CE6537A1-D6FC-4f65-9D91-7224C49458BB}"/>
                <c:ext xmlns:c16="http://schemas.microsoft.com/office/drawing/2014/chart" uri="{C3380CC4-5D6E-409C-BE32-E72D297353CC}">
                  <c16:uniqueId val="{00000003-BB87-4F72-871F-35881B1A8326}"/>
                </c:ext>
              </c:extLst>
            </c:dLbl>
            <c:dLbl>
              <c:idx val="4"/>
              <c:delete val="1"/>
              <c:extLst>
                <c:ext xmlns:c15="http://schemas.microsoft.com/office/drawing/2012/chart" uri="{CE6537A1-D6FC-4f65-9D91-7224C49458BB}"/>
                <c:ext xmlns:c16="http://schemas.microsoft.com/office/drawing/2014/chart" uri="{C3380CC4-5D6E-409C-BE32-E72D297353CC}">
                  <c16:uniqueId val="{00000004-BB87-4F72-871F-35881B1A8326}"/>
                </c:ext>
              </c:extLst>
            </c:dLbl>
            <c:dLbl>
              <c:idx val="5"/>
              <c:delete val="1"/>
              <c:extLst>
                <c:ext xmlns:c15="http://schemas.microsoft.com/office/drawing/2012/chart" uri="{CE6537A1-D6FC-4f65-9D91-7224C49458BB}"/>
                <c:ext xmlns:c16="http://schemas.microsoft.com/office/drawing/2014/chart" uri="{C3380CC4-5D6E-409C-BE32-E72D297353CC}">
                  <c16:uniqueId val="{00000005-BB87-4F72-871F-35881B1A8326}"/>
                </c:ext>
              </c:extLst>
            </c:dLbl>
            <c:dLbl>
              <c:idx val="6"/>
              <c:delete val="1"/>
              <c:extLst>
                <c:ext xmlns:c15="http://schemas.microsoft.com/office/drawing/2012/chart" uri="{CE6537A1-D6FC-4f65-9D91-7224C49458BB}"/>
                <c:ext xmlns:c16="http://schemas.microsoft.com/office/drawing/2014/chart" uri="{C3380CC4-5D6E-409C-BE32-E72D297353CC}">
                  <c16:uniqueId val="{00000006-BB87-4F72-871F-35881B1A8326}"/>
                </c:ext>
              </c:extLst>
            </c:dLbl>
            <c:dLbl>
              <c:idx val="7"/>
              <c:delete val="1"/>
              <c:extLst>
                <c:ext xmlns:c15="http://schemas.microsoft.com/office/drawing/2012/chart" uri="{CE6537A1-D6FC-4f65-9D91-7224C49458BB}"/>
                <c:ext xmlns:c16="http://schemas.microsoft.com/office/drawing/2014/chart" uri="{C3380CC4-5D6E-409C-BE32-E72D297353CC}">
                  <c16:uniqueId val="{00000007-BB87-4F72-871F-35881B1A8326}"/>
                </c:ext>
              </c:extLst>
            </c:dLbl>
            <c:dLbl>
              <c:idx val="8"/>
              <c:delete val="1"/>
              <c:extLst>
                <c:ext xmlns:c15="http://schemas.microsoft.com/office/drawing/2012/chart" uri="{CE6537A1-D6FC-4f65-9D91-7224C49458BB}"/>
                <c:ext xmlns:c16="http://schemas.microsoft.com/office/drawing/2014/chart" uri="{C3380CC4-5D6E-409C-BE32-E72D297353CC}">
                  <c16:uniqueId val="{00000008-BB87-4F72-871F-35881B1A8326}"/>
                </c:ext>
              </c:extLst>
            </c:dLbl>
            <c:dLbl>
              <c:idx val="9"/>
              <c:layout>
                <c:manualLayout>
                  <c:x val="-4.6380139982502185E-3"/>
                  <c:y val="-3.252634465467935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BB87-4F72-871F-35881B1A8326}"/>
                </c:ext>
              </c:extLst>
            </c:dLbl>
            <c:dLbl>
              <c:idx val="11"/>
              <c:delete val="1"/>
              <c:extLst>
                <c:ext xmlns:c15="http://schemas.microsoft.com/office/drawing/2012/chart" uri="{CE6537A1-D6FC-4f65-9D91-7224C49458BB}"/>
                <c:ext xmlns:c16="http://schemas.microsoft.com/office/drawing/2014/chart" uri="{C3380CC4-5D6E-409C-BE32-E72D297353CC}">
                  <c16:uniqueId val="{0000000A-BB87-4F72-871F-35881B1A8326}"/>
                </c:ext>
              </c:extLst>
            </c:dLbl>
            <c:dLbl>
              <c:idx val="12"/>
              <c:delete val="1"/>
              <c:extLst>
                <c:ext xmlns:c15="http://schemas.microsoft.com/office/drawing/2012/chart" uri="{CE6537A1-D6FC-4f65-9D91-7224C49458BB}"/>
                <c:ext xmlns:c16="http://schemas.microsoft.com/office/drawing/2014/chart" uri="{C3380CC4-5D6E-409C-BE32-E72D297353CC}">
                  <c16:uniqueId val="{0000000B-BB87-4F72-871F-35881B1A8326}"/>
                </c:ext>
              </c:extLst>
            </c:dLbl>
            <c:dLbl>
              <c:idx val="13"/>
              <c:layout>
                <c:manualLayout>
                  <c:x val="-7.4257428637148227E-3"/>
                  <c:y val="-8.61243694667635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BB87-4F72-871F-35881B1A8326}"/>
                </c:ext>
              </c:extLst>
            </c:dLbl>
            <c:dLbl>
              <c:idx val="14"/>
              <c:layout>
                <c:manualLayout>
                  <c:x val="-1.7647064024988345E-2"/>
                  <c:y val="-4.81323602006020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BB87-4F72-871F-35881B1A8326}"/>
                </c:ext>
              </c:extLst>
            </c:dLbl>
            <c:dLbl>
              <c:idx val="15"/>
              <c:delete val="1"/>
              <c:extLst>
                <c:ext xmlns:c15="http://schemas.microsoft.com/office/drawing/2012/chart" uri="{CE6537A1-D6FC-4f65-9D91-7224C49458BB}"/>
                <c:ext xmlns:c16="http://schemas.microsoft.com/office/drawing/2014/chart" uri="{C3380CC4-5D6E-409C-BE32-E72D297353CC}">
                  <c16:uniqueId val="{0000000E-BB87-4F72-871F-35881B1A8326}"/>
                </c:ext>
              </c:extLst>
            </c:dLbl>
            <c:dLbl>
              <c:idx val="16"/>
              <c:delete val="1"/>
              <c:extLst>
                <c:ext xmlns:c15="http://schemas.microsoft.com/office/drawing/2012/chart" uri="{CE6537A1-D6FC-4f65-9D91-7224C49458BB}"/>
                <c:ext xmlns:c16="http://schemas.microsoft.com/office/drawing/2014/chart" uri="{C3380CC4-5D6E-409C-BE32-E72D297353CC}">
                  <c16:uniqueId val="{0000000F-BB87-4F72-871F-35881B1A8326}"/>
                </c:ext>
              </c:extLst>
            </c:dLbl>
            <c:dLbl>
              <c:idx val="17"/>
              <c:layout>
                <c:manualLayout>
                  <c:x val="-2.2748818561602949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BB87-4F72-871F-35881B1A8326}"/>
                </c:ext>
              </c:extLst>
            </c:dLbl>
            <c:spPr>
              <a:noFill/>
              <a:ln>
                <a:noFill/>
              </a:ln>
              <a:effectLst/>
            </c:spPr>
            <c:txPr>
              <a:bodyPr rot="0" spcFirstLastPara="1" vertOverflow="ellipsis" vert="horz" wrap="square" anchor="ctr" anchorCtr="1"/>
              <a:lstStyle/>
              <a:p>
                <a:pPr>
                  <a:defRPr sz="6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1'!$C$33:$L$33</c:f>
              <c:numCache>
                <c:formatCode>General</c:formatCode>
                <c:ptCount val="10"/>
                <c:pt idx="0">
                  <c:v>2022</c:v>
                </c:pt>
                <c:pt idx="1">
                  <c:v>2023</c:v>
                </c:pt>
                <c:pt idx="2">
                  <c:v>2024</c:v>
                </c:pt>
                <c:pt idx="3">
                  <c:v>2025</c:v>
                </c:pt>
                <c:pt idx="4">
                  <c:v>2026</c:v>
                </c:pt>
                <c:pt idx="5">
                  <c:v>2027</c:v>
                </c:pt>
                <c:pt idx="6">
                  <c:v>2028</c:v>
                </c:pt>
                <c:pt idx="7">
                  <c:v>2029</c:v>
                </c:pt>
                <c:pt idx="8">
                  <c:v>2030</c:v>
                </c:pt>
                <c:pt idx="9">
                  <c:v>2031</c:v>
                </c:pt>
              </c:numCache>
            </c:numRef>
          </c:cat>
          <c:val>
            <c:numRef>
              <c:f>'manji rast'!$C$39:$L$39</c:f>
              <c:numCache>
                <c:formatCode>#,##0.0</c:formatCode>
                <c:ptCount val="10"/>
                <c:pt idx="0">
                  <c:v>55.6</c:v>
                </c:pt>
                <c:pt idx="1">
                  <c:v>53.3</c:v>
                </c:pt>
                <c:pt idx="2">
                  <c:v>51.7</c:v>
                </c:pt>
                <c:pt idx="3">
                  <c:v>50.7</c:v>
                </c:pt>
                <c:pt idx="4">
                  <c:v>50</c:v>
                </c:pt>
                <c:pt idx="5">
                  <c:v>49.731486769465064</c:v>
                </c:pt>
                <c:pt idx="6">
                  <c:v>49.947445882578748</c:v>
                </c:pt>
                <c:pt idx="7">
                  <c:v>50.278568074625362</c:v>
                </c:pt>
                <c:pt idx="8">
                  <c:v>50.724085426796421</c:v>
                </c:pt>
                <c:pt idx="9">
                  <c:v>51.160259030027113</c:v>
                </c:pt>
              </c:numCache>
            </c:numRef>
          </c:val>
          <c:smooth val="0"/>
          <c:extLst>
            <c:ext xmlns:c16="http://schemas.microsoft.com/office/drawing/2014/chart" uri="{C3380CC4-5D6E-409C-BE32-E72D297353CC}">
              <c16:uniqueId val="{00000011-BB87-4F72-871F-35881B1A8326}"/>
            </c:ext>
          </c:extLst>
        </c:ser>
        <c:ser>
          <c:idx val="1"/>
          <c:order val="2"/>
          <c:tx>
            <c:strRef>
              <c:f>'ekstremni sok'!$B$33</c:f>
              <c:strCache>
                <c:ptCount val="1"/>
                <c:pt idx="0">
                  <c:v>Фискални шок након 2026. године</c:v>
                </c:pt>
              </c:strCache>
            </c:strRef>
          </c:tx>
          <c:spPr>
            <a:ln w="22225" cap="rnd">
              <a:solidFill>
                <a:schemeClr val="accent2"/>
              </a:solidFill>
              <a:round/>
            </a:ln>
            <a:effectLst/>
          </c:spPr>
          <c:marker>
            <c:symbol val="none"/>
          </c:marker>
          <c:dLbls>
            <c:dLbl>
              <c:idx val="9"/>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BB87-4F72-871F-35881B1A8326}"/>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mj-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1'!$C$33:$L$33</c:f>
              <c:numCache>
                <c:formatCode>General</c:formatCode>
                <c:ptCount val="10"/>
                <c:pt idx="0">
                  <c:v>2022</c:v>
                </c:pt>
                <c:pt idx="1">
                  <c:v>2023</c:v>
                </c:pt>
                <c:pt idx="2">
                  <c:v>2024</c:v>
                </c:pt>
                <c:pt idx="3">
                  <c:v>2025</c:v>
                </c:pt>
                <c:pt idx="4">
                  <c:v>2026</c:v>
                </c:pt>
                <c:pt idx="5">
                  <c:v>2027</c:v>
                </c:pt>
                <c:pt idx="6">
                  <c:v>2028</c:v>
                </c:pt>
                <c:pt idx="7">
                  <c:v>2029</c:v>
                </c:pt>
                <c:pt idx="8">
                  <c:v>2030</c:v>
                </c:pt>
                <c:pt idx="9">
                  <c:v>2031</c:v>
                </c:pt>
              </c:numCache>
            </c:numRef>
          </c:cat>
          <c:val>
            <c:numRef>
              <c:f>'ekstremni sok'!$C$39:$L$39</c:f>
              <c:numCache>
                <c:formatCode>#,##0.0</c:formatCode>
                <c:ptCount val="10"/>
                <c:pt idx="0">
                  <c:v>55.6</c:v>
                </c:pt>
                <c:pt idx="1">
                  <c:v>53.3</c:v>
                </c:pt>
                <c:pt idx="2">
                  <c:v>51.7</c:v>
                </c:pt>
                <c:pt idx="3">
                  <c:v>50.7</c:v>
                </c:pt>
                <c:pt idx="4">
                  <c:v>50</c:v>
                </c:pt>
                <c:pt idx="5">
                  <c:v>59.980431611248051</c:v>
                </c:pt>
                <c:pt idx="6">
                  <c:v>61.016086031168179</c:v>
                </c:pt>
                <c:pt idx="7">
                  <c:v>59.736407503672979</c:v>
                </c:pt>
                <c:pt idx="8">
                  <c:v>57.564063361789373</c:v>
                </c:pt>
                <c:pt idx="9">
                  <c:v>55.488900342512792</c:v>
                </c:pt>
              </c:numCache>
            </c:numRef>
          </c:val>
          <c:smooth val="0"/>
          <c:extLst>
            <c:ext xmlns:c16="http://schemas.microsoft.com/office/drawing/2014/chart" uri="{C3380CC4-5D6E-409C-BE32-E72D297353CC}">
              <c16:uniqueId val="{00000013-BB87-4F72-871F-35881B1A8326}"/>
            </c:ext>
          </c:extLst>
        </c:ser>
        <c:ser>
          <c:idx val="0"/>
          <c:order val="3"/>
          <c:tx>
            <c:strRef>
              <c:f>'Сценарио 1'!$B$33</c:f>
              <c:strCache>
                <c:ptCount val="1"/>
                <c:pt idx="0">
                  <c:v>Основни сценарио</c:v>
                </c:pt>
              </c:strCache>
            </c:strRef>
          </c:tx>
          <c:spPr>
            <a:ln w="25400" cap="rnd">
              <a:solidFill>
                <a:schemeClr val="accent1"/>
              </a:solidFill>
              <a:round/>
            </a:ln>
            <a:effectLst/>
          </c:spPr>
          <c:marker>
            <c:symbol val="none"/>
          </c:marker>
          <c:dLbls>
            <c:dLbl>
              <c:idx val="0"/>
              <c:layout>
                <c:manualLayout>
                  <c:x val="-6.4724409448818923E-2"/>
                  <c:y val="5.64351470991499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BB87-4F72-871F-35881B1A8326}"/>
                </c:ext>
              </c:extLst>
            </c:dLbl>
            <c:dLbl>
              <c:idx val="1"/>
              <c:layout>
                <c:manualLayout>
                  <c:x val="-7.6599227179935836E-2"/>
                  <c:y val="4.6823363497473264E-2"/>
                </c:manualLayout>
              </c:layout>
              <c:showLegendKey val="0"/>
              <c:showVal val="1"/>
              <c:showCatName val="0"/>
              <c:showSerName val="0"/>
              <c:showPercent val="0"/>
              <c:showBubbleSize val="0"/>
              <c:extLst>
                <c:ext xmlns:c15="http://schemas.microsoft.com/office/drawing/2012/chart" uri="{CE6537A1-D6FC-4f65-9D91-7224C49458BB}">
                  <c15:layout>
                    <c:manualLayout>
                      <c:w val="0.10688575386410032"/>
                      <c:h val="4.7193559760253849E-2"/>
                    </c:manualLayout>
                  </c15:layout>
                </c:ext>
                <c:ext xmlns:c16="http://schemas.microsoft.com/office/drawing/2014/chart" uri="{C3380CC4-5D6E-409C-BE32-E72D297353CC}">
                  <c16:uniqueId val="{00000015-BB87-4F72-871F-35881B1A8326}"/>
                </c:ext>
              </c:extLst>
            </c:dLbl>
            <c:dLbl>
              <c:idx val="2"/>
              <c:layout>
                <c:manualLayout>
                  <c:x val="-5.7139107611548556E-2"/>
                  <c:y val="3.804716574607278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BB87-4F72-871F-35881B1A8326}"/>
                </c:ext>
              </c:extLst>
            </c:dLbl>
            <c:dLbl>
              <c:idx val="3"/>
              <c:layout>
                <c:manualLayout>
                  <c:x val="-7.1893773694954838E-2"/>
                  <c:y val="3.43154307204136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BB87-4F72-871F-35881B1A8326}"/>
                </c:ext>
              </c:extLst>
            </c:dLbl>
            <c:dLbl>
              <c:idx val="4"/>
              <c:layout>
                <c:manualLayout>
                  <c:x val="-7.7164260717410324E-2"/>
                  <c:y val="4.52399420221725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BB87-4F72-871F-35881B1A8326}"/>
                </c:ext>
              </c:extLst>
            </c:dLbl>
            <c:dLbl>
              <c:idx val="5"/>
              <c:layout>
                <c:manualLayout>
                  <c:x val="-6.9768883056284633E-2"/>
                  <c:y val="3.751557174756131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BB87-4F72-871F-35881B1A8326}"/>
                </c:ext>
              </c:extLst>
            </c:dLbl>
            <c:dLbl>
              <c:idx val="6"/>
              <c:layout>
                <c:manualLayout>
                  <c:x val="-6.6600685331000373E-2"/>
                  <c:y val="3.80871234379284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BB87-4F72-871F-35881B1A8326}"/>
                </c:ext>
              </c:extLst>
            </c:dLbl>
            <c:dLbl>
              <c:idx val="7"/>
              <c:layout>
                <c:manualLayout>
                  <c:x val="-6.1726815398075244E-2"/>
                  <c:y val="7.788811846280409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B-BB87-4F72-871F-35881B1A8326}"/>
                </c:ext>
              </c:extLst>
            </c:dLbl>
            <c:dLbl>
              <c:idx val="8"/>
              <c:layout>
                <c:manualLayout>
                  <c:x val="-6.9797317002041406E-2"/>
                  <c:y val="4.7883417557879893E-2"/>
                </c:manualLayout>
              </c:layout>
              <c:numFmt formatCode="#,##0.0" sourceLinked="0"/>
              <c:spPr>
                <a:noFill/>
                <a:ln>
                  <a:noFill/>
                </a:ln>
                <a:effectLst/>
              </c:spPr>
              <c:txPr>
                <a:bodyPr rot="0" spcFirstLastPara="1" vertOverflow="ellipsis" vert="horz" wrap="square" anchor="ctr" anchorCtr="1"/>
                <a:lstStyle/>
                <a:p>
                  <a:pPr>
                    <a:defRPr sz="600" b="0" i="0" u="none" strike="noStrike" kern="1200" baseline="0">
                      <a:solidFill>
                        <a:sysClr val="windowText" lastClr="00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C-BB87-4F72-871F-35881B1A8326}"/>
                </c:ext>
              </c:extLst>
            </c:dLbl>
            <c:dLbl>
              <c:idx val="9"/>
              <c:layout>
                <c:manualLayout>
                  <c:x val="-5.3849518810148732E-2"/>
                  <c:y val="4.09578093783052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D-BB87-4F72-871F-35881B1A8326}"/>
                </c:ext>
              </c:extLst>
            </c:dLbl>
            <c:dLbl>
              <c:idx val="11"/>
              <c:delete val="1"/>
              <c:extLst>
                <c:ext xmlns:c15="http://schemas.microsoft.com/office/drawing/2012/chart" uri="{CE6537A1-D6FC-4f65-9D91-7224C49458BB}"/>
                <c:ext xmlns:c16="http://schemas.microsoft.com/office/drawing/2014/chart" uri="{C3380CC4-5D6E-409C-BE32-E72D297353CC}">
                  <c16:uniqueId val="{0000001E-BB87-4F72-871F-35881B1A8326}"/>
                </c:ext>
              </c:extLst>
            </c:dLbl>
            <c:dLbl>
              <c:idx val="12"/>
              <c:delete val="1"/>
              <c:extLst>
                <c:ext xmlns:c15="http://schemas.microsoft.com/office/drawing/2012/chart" uri="{CE6537A1-D6FC-4f65-9D91-7224C49458BB}"/>
                <c:ext xmlns:c16="http://schemas.microsoft.com/office/drawing/2014/chart" uri="{C3380CC4-5D6E-409C-BE32-E72D297353CC}">
                  <c16:uniqueId val="{0000001F-BB87-4F72-871F-35881B1A8326}"/>
                </c:ext>
              </c:extLst>
            </c:dLbl>
            <c:dLbl>
              <c:idx val="13"/>
              <c:layout>
                <c:manualLayout>
                  <c:x val="-1.1881188581944001E-2"/>
                  <c:y val="-2.29664985244702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0-BB87-4F72-871F-35881B1A8326}"/>
                </c:ext>
              </c:extLst>
            </c:dLbl>
            <c:dLbl>
              <c:idx val="14"/>
              <c:layout>
                <c:manualLayout>
                  <c:x val="-2.2459899668166864E-2"/>
                  <c:y val="3.91075426629890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1-BB87-4F72-871F-35881B1A8326}"/>
                </c:ext>
              </c:extLst>
            </c:dLbl>
            <c:dLbl>
              <c:idx val="15"/>
              <c:delete val="1"/>
              <c:extLst>
                <c:ext xmlns:c15="http://schemas.microsoft.com/office/drawing/2012/chart" uri="{CE6537A1-D6FC-4f65-9D91-7224C49458BB}"/>
                <c:ext xmlns:c16="http://schemas.microsoft.com/office/drawing/2014/chart" uri="{C3380CC4-5D6E-409C-BE32-E72D297353CC}">
                  <c16:uniqueId val="{00000022-BB87-4F72-871F-35881B1A8326}"/>
                </c:ext>
              </c:extLst>
            </c:dLbl>
            <c:dLbl>
              <c:idx val="16"/>
              <c:delete val="1"/>
              <c:extLst>
                <c:ext xmlns:c15="http://schemas.microsoft.com/office/drawing/2012/chart" uri="{CE6537A1-D6FC-4f65-9D91-7224C49458BB}"/>
                <c:ext xmlns:c16="http://schemas.microsoft.com/office/drawing/2014/chart" uri="{C3380CC4-5D6E-409C-BE32-E72D297353CC}">
                  <c16:uniqueId val="{00000023-BB87-4F72-871F-35881B1A8326}"/>
                </c:ext>
              </c:extLst>
            </c:dLbl>
            <c:dLbl>
              <c:idx val="17"/>
              <c:layout>
                <c:manualLayout>
                  <c:x val="-2.1327017401502765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4-BB87-4F72-871F-35881B1A8326}"/>
                </c:ext>
              </c:extLst>
            </c:dLbl>
            <c:numFmt formatCode="#,##0.0" sourceLinked="0"/>
            <c:spPr>
              <a:noFill/>
              <a:ln>
                <a:noFill/>
              </a:ln>
              <a:effectLst/>
            </c:spPr>
            <c:txPr>
              <a:bodyPr rot="0" spcFirstLastPara="1" vertOverflow="ellipsis" vert="horz" wrap="square" anchor="ctr" anchorCtr="1"/>
              <a:lstStyle/>
              <a:p>
                <a:pPr>
                  <a:defRPr sz="6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1'!$C$33:$L$33</c:f>
              <c:numCache>
                <c:formatCode>General</c:formatCode>
                <c:ptCount val="10"/>
                <c:pt idx="0">
                  <c:v>2022</c:v>
                </c:pt>
                <c:pt idx="1">
                  <c:v>2023</c:v>
                </c:pt>
                <c:pt idx="2">
                  <c:v>2024</c:v>
                </c:pt>
                <c:pt idx="3">
                  <c:v>2025</c:v>
                </c:pt>
                <c:pt idx="4">
                  <c:v>2026</c:v>
                </c:pt>
                <c:pt idx="5">
                  <c:v>2027</c:v>
                </c:pt>
                <c:pt idx="6">
                  <c:v>2028</c:v>
                </c:pt>
                <c:pt idx="7">
                  <c:v>2029</c:v>
                </c:pt>
                <c:pt idx="8">
                  <c:v>2030</c:v>
                </c:pt>
                <c:pt idx="9">
                  <c:v>2031</c:v>
                </c:pt>
              </c:numCache>
            </c:numRef>
          </c:cat>
          <c:val>
            <c:numRef>
              <c:f>'Сценарио 1'!$C$39:$L$39</c:f>
              <c:numCache>
                <c:formatCode>#,##0.0</c:formatCode>
                <c:ptCount val="10"/>
                <c:pt idx="0">
                  <c:v>55.6</c:v>
                </c:pt>
                <c:pt idx="1">
                  <c:v>53.3</c:v>
                </c:pt>
                <c:pt idx="2">
                  <c:v>51.7</c:v>
                </c:pt>
                <c:pt idx="3">
                  <c:v>50.7</c:v>
                </c:pt>
                <c:pt idx="4">
                  <c:v>50</c:v>
                </c:pt>
                <c:pt idx="5">
                  <c:v>48.759148618371917</c:v>
                </c:pt>
                <c:pt idx="6">
                  <c:v>47.586317021218441</c:v>
                </c:pt>
                <c:pt idx="7">
                  <c:v>46.477776566134473</c:v>
                </c:pt>
                <c:pt idx="8">
                  <c:v>45.43000300380865</c:v>
                </c:pt>
                <c:pt idx="9">
                  <c:v>44.439665273801509</c:v>
                </c:pt>
              </c:numCache>
            </c:numRef>
          </c:val>
          <c:smooth val="0"/>
          <c:extLst>
            <c:ext xmlns:c16="http://schemas.microsoft.com/office/drawing/2014/chart" uri="{C3380CC4-5D6E-409C-BE32-E72D297353CC}">
              <c16:uniqueId val="{00000025-BB87-4F72-871F-35881B1A8326}"/>
            </c:ext>
          </c:extLst>
        </c:ser>
        <c:dLbls>
          <c:showLegendKey val="0"/>
          <c:showVal val="0"/>
          <c:showCatName val="0"/>
          <c:showSerName val="0"/>
          <c:showPercent val="0"/>
          <c:showBubbleSize val="0"/>
        </c:dLbls>
        <c:marker val="1"/>
        <c:smooth val="0"/>
        <c:axId val="248069424"/>
        <c:axId val="248068304"/>
        <c:extLst>
          <c:ext xmlns:c15="http://schemas.microsoft.com/office/drawing/2012/chart" uri="{02D57815-91ED-43cb-92C2-25804820EDAC}">
            <c15:filteredLineSeries>
              <c15:ser>
                <c:idx val="3"/>
                <c:order val="0"/>
                <c:tx>
                  <c:strRef>
                    <c:extLst>
                      <c:ext uri="{02D57815-91ED-43cb-92C2-25804820EDAC}">
                        <c15:formulaRef>
                          <c15:sqref>'manje prilg + manji rast'!$B$33</c15:sqref>
                        </c15:formulaRef>
                      </c:ext>
                    </c:extLst>
                    <c:strCache>
                      <c:ptCount val="1"/>
                      <c:pt idx="0">
                        <c:v>Успорен раст након 2026, фискална експанзија</c:v>
                      </c:pt>
                    </c:strCache>
                  </c:strRef>
                </c:tx>
                <c:spPr>
                  <a:ln w="34925" cap="rnd">
                    <a:solidFill>
                      <a:srgbClr val="FF0000"/>
                    </a:solidFill>
                    <a:round/>
                  </a:ln>
                  <a:effectLst/>
                </c:spPr>
                <c:marker>
                  <c:symbol val="circle"/>
                  <c:size val="6"/>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a:solidFill>
                        <a:schemeClr val="accent4"/>
                      </a:solidFill>
                      <a:round/>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marker>
                <c:dLbls>
                  <c:dLbl>
                    <c:idx val="0"/>
                    <c:delete val="1"/>
                    <c:extLst>
                      <c:ext uri="{CE6537A1-D6FC-4f65-9D91-7224C49458BB}"/>
                      <c:ext xmlns:c16="http://schemas.microsoft.com/office/drawing/2014/chart" uri="{C3380CC4-5D6E-409C-BE32-E72D297353CC}">
                        <c16:uniqueId val="{00000026-BB87-4F72-871F-35881B1A8326}"/>
                      </c:ext>
                    </c:extLst>
                  </c:dLbl>
                  <c:dLbl>
                    <c:idx val="1"/>
                    <c:delete val="1"/>
                    <c:extLst>
                      <c:ext uri="{CE6537A1-D6FC-4f65-9D91-7224C49458BB}"/>
                      <c:ext xmlns:c16="http://schemas.microsoft.com/office/drawing/2014/chart" uri="{C3380CC4-5D6E-409C-BE32-E72D297353CC}">
                        <c16:uniqueId val="{00000027-BB87-4F72-871F-35881B1A8326}"/>
                      </c:ext>
                    </c:extLst>
                  </c:dLbl>
                  <c:dLbl>
                    <c:idx val="2"/>
                    <c:delete val="1"/>
                    <c:extLst>
                      <c:ext uri="{CE6537A1-D6FC-4f65-9D91-7224C49458BB}"/>
                      <c:ext xmlns:c16="http://schemas.microsoft.com/office/drawing/2014/chart" uri="{C3380CC4-5D6E-409C-BE32-E72D297353CC}">
                        <c16:uniqueId val="{00000028-BB87-4F72-871F-35881B1A8326}"/>
                      </c:ext>
                    </c:extLst>
                  </c:dLbl>
                  <c:dLbl>
                    <c:idx val="3"/>
                    <c:delete val="1"/>
                    <c:extLst>
                      <c:ext uri="{CE6537A1-D6FC-4f65-9D91-7224C49458BB}"/>
                      <c:ext xmlns:c16="http://schemas.microsoft.com/office/drawing/2014/chart" uri="{C3380CC4-5D6E-409C-BE32-E72D297353CC}">
                        <c16:uniqueId val="{00000029-BB87-4F72-871F-35881B1A8326}"/>
                      </c:ext>
                    </c:extLst>
                  </c:dLbl>
                  <c:dLbl>
                    <c:idx val="4"/>
                    <c:delete val="1"/>
                    <c:extLst>
                      <c:ext uri="{CE6537A1-D6FC-4f65-9D91-7224C49458BB}"/>
                      <c:ext xmlns:c16="http://schemas.microsoft.com/office/drawing/2014/chart" uri="{C3380CC4-5D6E-409C-BE32-E72D297353CC}">
                        <c16:uniqueId val="{0000002A-BB87-4F72-871F-35881B1A8326}"/>
                      </c:ext>
                    </c:extLst>
                  </c:dLbl>
                  <c:dLbl>
                    <c:idx val="5"/>
                    <c:delete val="1"/>
                    <c:extLst>
                      <c:ext uri="{CE6537A1-D6FC-4f65-9D91-7224C49458BB}"/>
                      <c:ext xmlns:c16="http://schemas.microsoft.com/office/drawing/2014/chart" uri="{C3380CC4-5D6E-409C-BE32-E72D297353CC}">
                        <c16:uniqueId val="{0000002B-BB87-4F72-871F-35881B1A8326}"/>
                      </c:ext>
                    </c:extLst>
                  </c:dLbl>
                  <c:dLbl>
                    <c:idx val="6"/>
                    <c:delete val="1"/>
                    <c:extLst>
                      <c:ext uri="{CE6537A1-D6FC-4f65-9D91-7224C49458BB}"/>
                      <c:ext xmlns:c16="http://schemas.microsoft.com/office/drawing/2014/chart" uri="{C3380CC4-5D6E-409C-BE32-E72D297353CC}">
                        <c16:uniqueId val="{0000002C-BB87-4F72-871F-35881B1A8326}"/>
                      </c:ext>
                    </c:extLst>
                  </c:dLbl>
                  <c:dLbl>
                    <c:idx val="7"/>
                    <c:delete val="1"/>
                    <c:extLst>
                      <c:ext uri="{CE6537A1-D6FC-4f65-9D91-7224C49458BB}"/>
                      <c:ext xmlns:c16="http://schemas.microsoft.com/office/drawing/2014/chart" uri="{C3380CC4-5D6E-409C-BE32-E72D297353CC}">
                        <c16:uniqueId val="{0000002D-BB87-4F72-871F-35881B1A8326}"/>
                      </c:ext>
                    </c:extLst>
                  </c:dLbl>
                  <c:dLbl>
                    <c:idx val="8"/>
                    <c:delete val="1"/>
                    <c:extLst>
                      <c:ext uri="{CE6537A1-D6FC-4f65-9D91-7224C49458BB}"/>
                      <c:ext xmlns:c16="http://schemas.microsoft.com/office/drawing/2014/chart" uri="{C3380CC4-5D6E-409C-BE32-E72D297353CC}">
                        <c16:uniqueId val="{0000002E-BB87-4F72-871F-35881B1A8326}"/>
                      </c:ext>
                    </c:extLst>
                  </c:dLbl>
                  <c:dLbl>
                    <c:idx val="9"/>
                    <c:layout>
                      <c:manualLayout>
                        <c:x val="-1.015228426395939E-2"/>
                        <c:y val="-4.3062184733381789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2F-BB87-4F72-871F-35881B1A8326}"/>
                      </c:ext>
                    </c:extLst>
                  </c:dLbl>
                  <c:dLbl>
                    <c:idx val="11"/>
                    <c:delete val="1"/>
                    <c:extLst>
                      <c:ext uri="{CE6537A1-D6FC-4f65-9D91-7224C49458BB}"/>
                      <c:ext xmlns:c16="http://schemas.microsoft.com/office/drawing/2014/chart" uri="{C3380CC4-5D6E-409C-BE32-E72D297353CC}">
                        <c16:uniqueId val="{00000030-BB87-4F72-871F-35881B1A8326}"/>
                      </c:ext>
                    </c:extLst>
                  </c:dLbl>
                  <c:dLbl>
                    <c:idx val="12"/>
                    <c:delete val="1"/>
                    <c:extLst>
                      <c:ext uri="{CE6537A1-D6FC-4f65-9D91-7224C49458BB}"/>
                      <c:ext xmlns:c16="http://schemas.microsoft.com/office/drawing/2014/chart" uri="{C3380CC4-5D6E-409C-BE32-E72D297353CC}">
                        <c16:uniqueId val="{00000031-BB87-4F72-871F-35881B1A8326}"/>
                      </c:ext>
                    </c:extLst>
                  </c:dLbl>
                  <c:dLbl>
                    <c:idx val="13"/>
                    <c:layout>
                      <c:manualLayout>
                        <c:x val="-7.4257428637148227E-3"/>
                        <c:y val="-5.7416246311176233E-3"/>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2-BB87-4F72-871F-35881B1A8326}"/>
                      </c:ext>
                    </c:extLst>
                  </c:dLbl>
                  <c:dLbl>
                    <c:idx val="14"/>
                    <c:layout>
                      <c:manualLayout>
                        <c:x val="-1.6042785477262247E-2"/>
                        <c:y val="-3.6099270150451522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3-BB87-4F72-871F-35881B1A8326}"/>
                      </c:ext>
                    </c:extLst>
                  </c:dLbl>
                  <c:dLbl>
                    <c:idx val="15"/>
                    <c:delete val="1"/>
                    <c:extLst>
                      <c:ext uri="{CE6537A1-D6FC-4f65-9D91-7224C49458BB}"/>
                      <c:ext xmlns:c16="http://schemas.microsoft.com/office/drawing/2014/chart" uri="{C3380CC4-5D6E-409C-BE32-E72D297353CC}">
                        <c16:uniqueId val="{00000034-BB87-4F72-871F-35881B1A8326}"/>
                      </c:ext>
                    </c:extLst>
                  </c:dLbl>
                  <c:dLbl>
                    <c:idx val="16"/>
                    <c:delete val="1"/>
                    <c:extLst>
                      <c:ext uri="{CE6537A1-D6FC-4f65-9D91-7224C49458BB}"/>
                      <c:ext xmlns:c16="http://schemas.microsoft.com/office/drawing/2014/chart" uri="{C3380CC4-5D6E-409C-BE32-E72D297353CC}">
                        <c16:uniqueId val="{00000035-BB87-4F72-871F-35881B1A8326}"/>
                      </c:ext>
                    </c:extLst>
                  </c:dLbl>
                  <c:dLbl>
                    <c:idx val="17"/>
                    <c:layout>
                      <c:manualLayout>
                        <c:x val="-2.4170619721703136E-2"/>
                        <c:y val="-3.9107542662989152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6-BB87-4F72-871F-35881B1A8326}"/>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c:ext uri="{02D57815-91ED-43cb-92C2-25804820EDAC}">
                        <c15:formulaRef>
                          <c15:sqref>'Сценарио 1'!$C$33:$L$33</c15:sqref>
                        </c15:formulaRef>
                      </c:ext>
                    </c:extLst>
                    <c:numCache>
                      <c:formatCode>General</c:formatCode>
                      <c:ptCount val="10"/>
                      <c:pt idx="0">
                        <c:v>2022</c:v>
                      </c:pt>
                      <c:pt idx="1">
                        <c:v>2023</c:v>
                      </c:pt>
                      <c:pt idx="2">
                        <c:v>2024</c:v>
                      </c:pt>
                      <c:pt idx="3">
                        <c:v>2025</c:v>
                      </c:pt>
                      <c:pt idx="4">
                        <c:v>2026</c:v>
                      </c:pt>
                      <c:pt idx="5">
                        <c:v>2027</c:v>
                      </c:pt>
                      <c:pt idx="6">
                        <c:v>2028</c:v>
                      </c:pt>
                      <c:pt idx="7">
                        <c:v>2029</c:v>
                      </c:pt>
                      <c:pt idx="8">
                        <c:v>2030</c:v>
                      </c:pt>
                      <c:pt idx="9">
                        <c:v>2031</c:v>
                      </c:pt>
                    </c:numCache>
                  </c:numRef>
                </c:cat>
                <c:val>
                  <c:numRef>
                    <c:extLst>
                      <c:ext uri="{02D57815-91ED-43cb-92C2-25804820EDAC}">
                        <c15:formulaRef>
                          <c15:sqref>'manje prilg + manji rast'!$C$39:$L$39</c15:sqref>
                        </c15:formulaRef>
                      </c:ext>
                    </c:extLst>
                    <c:numCache>
                      <c:formatCode>#,##0.0</c:formatCode>
                      <c:ptCount val="10"/>
                      <c:pt idx="0">
                        <c:v>55.6</c:v>
                      </c:pt>
                      <c:pt idx="1">
                        <c:v>53.3</c:v>
                      </c:pt>
                      <c:pt idx="2">
                        <c:v>51.7</c:v>
                      </c:pt>
                      <c:pt idx="3">
                        <c:v>50.7</c:v>
                      </c:pt>
                      <c:pt idx="4">
                        <c:v>50</c:v>
                      </c:pt>
                      <c:pt idx="5">
                        <c:v>57.391395393108702</c:v>
                      </c:pt>
                      <c:pt idx="6">
                        <c:v>58.094944569559679</c:v>
                      </c:pt>
                      <c:pt idx="7">
                        <c:v>56.923500578986037</c:v>
                      </c:pt>
                      <c:pt idx="8">
                        <c:v>56.414423405992373</c:v>
                      </c:pt>
                      <c:pt idx="9">
                        <c:v>55.914370592873539</c:v>
                      </c:pt>
                    </c:numCache>
                  </c:numRef>
                </c:val>
                <c:smooth val="1"/>
                <c:extLst>
                  <c:ext xmlns:c16="http://schemas.microsoft.com/office/drawing/2014/chart" uri="{C3380CC4-5D6E-409C-BE32-E72D297353CC}">
                    <c16:uniqueId val="{00000037-BB87-4F72-871F-35881B1A8326}"/>
                  </c:ext>
                </c:extLst>
              </c15:ser>
            </c15:filteredLineSeries>
          </c:ext>
        </c:extLst>
      </c:lineChart>
      <c:catAx>
        <c:axId val="248069424"/>
        <c:scaling>
          <c:orientation val="minMax"/>
        </c:scaling>
        <c:delete val="0"/>
        <c:axPos val="b"/>
        <c:majorGridlines>
          <c:spPr>
            <a:ln w="9525" cap="flat" cmpd="sng" algn="ctr">
              <a:noFill/>
              <a:round/>
            </a:ln>
            <a:effectLst/>
          </c:spPr>
        </c:majorGridlines>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crossAx val="248068304"/>
        <c:crosses val="autoZero"/>
        <c:auto val="1"/>
        <c:lblAlgn val="ctr"/>
        <c:lblOffset val="100"/>
        <c:noMultiLvlLbl val="0"/>
      </c:catAx>
      <c:valAx>
        <c:axId val="248068304"/>
        <c:scaling>
          <c:orientation val="minMax"/>
          <c:max val="65"/>
          <c:min val="40"/>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sr-Cyrl-RS" sz="900">
                    <a:latin typeface="+mn-lt"/>
                  </a:rPr>
                  <a:t>% </a:t>
                </a:r>
                <a:r>
                  <a:rPr lang="en-US" sz="900">
                    <a:latin typeface="+mn-lt"/>
                  </a:rPr>
                  <a:t> </a:t>
                </a:r>
                <a:r>
                  <a:rPr lang="sr-Cyrl-RS" sz="900">
                    <a:latin typeface="+mn-lt"/>
                  </a:rPr>
                  <a:t>БДП </a:t>
                </a:r>
                <a:endParaRPr lang="en-US" sz="900">
                  <a:latin typeface="+mn-lt"/>
                </a:endParaRPr>
              </a:p>
            </c:rich>
          </c:tx>
          <c:layout>
            <c:manualLayout>
              <c:xMode val="edge"/>
              <c:yMode val="edge"/>
              <c:x val="5.2409230096237956E-2"/>
              <c:y val="0.41975555294394162"/>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248069424"/>
        <c:crosses val="autoZero"/>
        <c:crossBetween val="between"/>
        <c:majorUnit val="5"/>
      </c:valAx>
      <c:valAx>
        <c:axId val="1433710720"/>
        <c:scaling>
          <c:orientation val="minMax"/>
          <c:min val="0"/>
        </c:scaling>
        <c:delete val="1"/>
        <c:axPos val="r"/>
        <c:numFmt formatCode="#,##0.0" sourceLinked="1"/>
        <c:majorTickMark val="out"/>
        <c:minorTickMark val="none"/>
        <c:tickLblPos val="nextTo"/>
        <c:crossAx val="1433716128"/>
        <c:crosses val="max"/>
        <c:crossBetween val="between"/>
      </c:valAx>
      <c:catAx>
        <c:axId val="1433716128"/>
        <c:scaling>
          <c:orientation val="minMax"/>
        </c:scaling>
        <c:delete val="1"/>
        <c:axPos val="b"/>
        <c:numFmt formatCode="General" sourceLinked="1"/>
        <c:majorTickMark val="out"/>
        <c:minorTickMark val="none"/>
        <c:tickLblPos val="nextTo"/>
        <c:crossAx val="1433710720"/>
        <c:crosses val="autoZero"/>
        <c:auto val="1"/>
        <c:lblAlgn val="ctr"/>
        <c:lblOffset val="100"/>
        <c:noMultiLvlLbl val="0"/>
      </c:catAx>
      <c:spPr>
        <a:noFill/>
        <a:ln>
          <a:noFill/>
        </a:ln>
        <a:effectLst/>
      </c:spPr>
    </c:plotArea>
    <c:legend>
      <c:legendPos val="b"/>
      <c:layout>
        <c:manualLayout>
          <c:xMode val="edge"/>
          <c:yMode val="edge"/>
          <c:x val="9.2063781709342166E-2"/>
          <c:y val="0.84657216701303972"/>
          <c:w val="0.9"/>
          <c:h val="0.13313863752105615"/>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800">
          <a:latin typeface="+mj-lt"/>
        </a:defRPr>
      </a:pPr>
      <a:endParaRPr lang="sr-Latn-RS"/>
    </a:p>
  </c:txPr>
  <c:externalData r:id="rId3">
    <c:autoUpdate val="0"/>
  </c:externalData>
  <c:userShapes r:id="rId4"/>
</c:chartSpace>
</file>

<file path=word/charts/chart7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8252053796081997E-2"/>
          <c:y val="0"/>
          <c:w val="0.90916365972175073"/>
          <c:h val="0.66222099966761805"/>
        </c:manualLayout>
      </c:layout>
      <c:barChart>
        <c:barDir val="col"/>
        <c:grouping val="stacked"/>
        <c:varyColors val="0"/>
        <c:ser>
          <c:idx val="0"/>
          <c:order val="0"/>
          <c:tx>
            <c:strRef>
              <c:f>ucesce!$A$5</c:f>
              <c:strCache>
                <c:ptCount val="1"/>
                <c:pt idx="0">
                  <c:v>Директне обавезе</c:v>
                </c:pt>
              </c:strCache>
            </c:strRef>
          </c:tx>
          <c:spPr>
            <a:solidFill>
              <a:srgbClr val="10103C"/>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2020</c:v>
                </c:pt>
                <c:pt idx="1">
                  <c:v>2021</c:v>
                </c:pt>
                <c:pt idx="2">
                  <c:v>2022</c:v>
                </c:pt>
                <c:pt idx="3">
                  <c:v>2023/VII</c:v>
                </c:pt>
              </c:strCache>
            </c:strRef>
          </c:cat>
          <c:val>
            <c:numRef>
              <c:f>ucesce!$B$5:$E$5</c:f>
              <c:numCache>
                <c:formatCode>0.0%</c:formatCode>
                <c:ptCount val="4"/>
                <c:pt idx="0">
                  <c:v>0.53950089745388596</c:v>
                </c:pt>
                <c:pt idx="1">
                  <c:v>0.53930070758052395</c:v>
                </c:pt>
                <c:pt idx="2">
                  <c:v>0.5258289639</c:v>
                </c:pt>
                <c:pt idx="3">
                  <c:v>0.48054547079999999</c:v>
                </c:pt>
              </c:numCache>
            </c:numRef>
          </c:val>
          <c:extLst>
            <c:ext xmlns:c16="http://schemas.microsoft.com/office/drawing/2014/chart" uri="{C3380CC4-5D6E-409C-BE32-E72D297353CC}">
              <c16:uniqueId val="{00000000-F18C-4C8B-A003-5788A9FA361B}"/>
            </c:ext>
          </c:extLst>
        </c:ser>
        <c:ser>
          <c:idx val="1"/>
          <c:order val="1"/>
          <c:tx>
            <c:strRef>
              <c:f>ucesce!$A$6</c:f>
              <c:strCache>
                <c:ptCount val="1"/>
                <c:pt idx="0">
                  <c:v>Индиректне обавезе</c:v>
                </c:pt>
              </c:strCache>
            </c:strRef>
          </c:tx>
          <c:spPr>
            <a:solidFill>
              <a:srgbClr val="2F3E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2020</c:v>
                </c:pt>
                <c:pt idx="1">
                  <c:v>2021</c:v>
                </c:pt>
                <c:pt idx="2">
                  <c:v>2022</c:v>
                </c:pt>
                <c:pt idx="3">
                  <c:v>2023/VII</c:v>
                </c:pt>
              </c:strCache>
            </c:strRef>
          </c:cat>
          <c:val>
            <c:numRef>
              <c:f>ucesce!$B$6:$E$6</c:f>
              <c:numCache>
                <c:formatCode>0.0%</c:formatCode>
                <c:ptCount val="4"/>
                <c:pt idx="0">
                  <c:v>3.0412233763241901E-2</c:v>
                </c:pt>
                <c:pt idx="1">
                  <c:v>2.59253510761864E-2</c:v>
                </c:pt>
                <c:pt idx="2">
                  <c:v>2.5578944499999999E-2</c:v>
                </c:pt>
                <c:pt idx="3">
                  <c:v>2.6780363099999999E-2</c:v>
                </c:pt>
              </c:numCache>
            </c:numRef>
          </c:val>
          <c:extLst>
            <c:ext xmlns:c16="http://schemas.microsoft.com/office/drawing/2014/chart" uri="{C3380CC4-5D6E-409C-BE32-E72D297353CC}">
              <c16:uniqueId val="{00000001-F18C-4C8B-A003-5788A9FA361B}"/>
            </c:ext>
          </c:extLst>
        </c:ser>
        <c:ser>
          <c:idx val="2"/>
          <c:order val="2"/>
          <c:tx>
            <c:strRef>
              <c:f>ucesce!$A$7</c:f>
              <c:strCache>
                <c:ptCount val="1"/>
                <c:pt idx="0">
                  <c:v>Негарантовани дуг јединица локалне самоуправе, ЈП Путеви Србије и Коридори Србије д.о.о.</c:v>
                </c:pt>
              </c:strCache>
            </c:strRef>
          </c:tx>
          <c:spPr>
            <a:solidFill>
              <a:srgbClr val="51BBE7">
                <a:alpha val="50000"/>
              </a:srgbClr>
            </a:solidFill>
            <a:ln>
              <a:noFill/>
            </a:ln>
            <a:effectLst/>
          </c:spPr>
          <c:invertIfNegative val="0"/>
          <c:dLbls>
            <c:dLbl>
              <c:idx val="0"/>
              <c:layout>
                <c:manualLayout>
                  <c:x val="-2.8032302694319029E-17"/>
                  <c:y val="-2.830189380030056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18C-4C8B-A003-5788A9FA361B}"/>
                </c:ext>
              </c:extLst>
            </c:dLbl>
            <c:dLbl>
              <c:idx val="1"/>
              <c:layout>
                <c:manualLayout>
                  <c:x val="-3.0581047119132925E-3"/>
                  <c:y val="-3.773585840040073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18C-4C8B-A003-5788A9FA361B}"/>
                </c:ext>
              </c:extLst>
            </c:dLbl>
            <c:dLbl>
              <c:idx val="2"/>
              <c:layout>
                <c:manualLayout>
                  <c:x val="0"/>
                  <c:y val="-3.1446548667000612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18C-4C8B-A003-5788A9FA361B}"/>
                </c:ext>
              </c:extLst>
            </c:dLbl>
            <c:dLbl>
              <c:idx val="3"/>
              <c:layout>
                <c:manualLayout>
                  <c:x val="0"/>
                  <c:y val="-2.830189380030057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18C-4C8B-A003-5788A9FA361B}"/>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2"/>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2020</c:v>
                </c:pt>
                <c:pt idx="1">
                  <c:v>2021</c:v>
                </c:pt>
                <c:pt idx="2">
                  <c:v>2022</c:v>
                </c:pt>
                <c:pt idx="3">
                  <c:v>2023/VII</c:v>
                </c:pt>
              </c:strCache>
            </c:strRef>
          </c:cat>
          <c:val>
            <c:numRef>
              <c:f>ucesce!$B$7:$E$7</c:f>
              <c:numCache>
                <c:formatCode>0.0%</c:formatCode>
                <c:ptCount val="4"/>
                <c:pt idx="0">
                  <c:v>8.2586611523361702E-3</c:v>
                </c:pt>
                <c:pt idx="1">
                  <c:v>6.1455925661035903E-3</c:v>
                </c:pt>
                <c:pt idx="2">
                  <c:v>5.0800546243195245E-3</c:v>
                </c:pt>
                <c:pt idx="3">
                  <c:v>4.0000000000000001E-3</c:v>
                </c:pt>
              </c:numCache>
            </c:numRef>
          </c:val>
          <c:extLst>
            <c:ext xmlns:c16="http://schemas.microsoft.com/office/drawing/2014/chart" uri="{C3380CC4-5D6E-409C-BE32-E72D297353CC}">
              <c16:uniqueId val="{00000006-F18C-4C8B-A003-5788A9FA361B}"/>
            </c:ext>
          </c:extLst>
        </c:ser>
        <c:dLbls>
          <c:dLblPos val="ctr"/>
          <c:showLegendKey val="0"/>
          <c:showVal val="1"/>
          <c:showCatName val="0"/>
          <c:showSerName val="0"/>
          <c:showPercent val="0"/>
          <c:showBubbleSize val="0"/>
        </c:dLbls>
        <c:gapWidth val="79"/>
        <c:overlap val="100"/>
        <c:axId val="244077856"/>
        <c:axId val="244088736"/>
      </c:barChart>
      <c:catAx>
        <c:axId val="244077856"/>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cap="all" spc="120" normalizeH="0" baseline="0">
                <a:solidFill>
                  <a:srgbClr val="44546A"/>
                </a:solidFill>
                <a:latin typeface="+mn-lt"/>
                <a:ea typeface="+mn-ea"/>
                <a:cs typeface="+mn-cs"/>
              </a:defRPr>
            </a:pPr>
            <a:endParaRPr lang="sr-Latn-RS"/>
          </a:p>
        </c:txPr>
        <c:crossAx val="244088736"/>
        <c:crosses val="autoZero"/>
        <c:auto val="1"/>
        <c:lblAlgn val="ctr"/>
        <c:lblOffset val="100"/>
        <c:noMultiLvlLbl val="0"/>
      </c:catAx>
      <c:valAx>
        <c:axId val="244088736"/>
        <c:scaling>
          <c:orientation val="minMax"/>
          <c:max val="0.75000000000000011"/>
          <c:min val="0"/>
        </c:scaling>
        <c:delete val="1"/>
        <c:axPos val="l"/>
        <c:numFmt formatCode="0%" sourceLinked="0"/>
        <c:majorTickMark val="none"/>
        <c:minorTickMark val="none"/>
        <c:tickLblPos val="nextTo"/>
        <c:crossAx val="244077856"/>
        <c:crosses val="autoZero"/>
        <c:crossBetween val="between"/>
      </c:valAx>
      <c:spPr>
        <a:noFill/>
        <a:ln>
          <a:noFill/>
        </a:ln>
        <a:effectLst/>
      </c:spPr>
    </c:plotArea>
    <c:legend>
      <c:legendPos val="t"/>
      <c:layout>
        <c:manualLayout>
          <c:xMode val="edge"/>
          <c:yMode val="edge"/>
          <c:x val="0"/>
          <c:y val="0.76272897705968568"/>
          <c:w val="0.98266107645635203"/>
          <c:h val="0.20324201838114284"/>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7289336635108885E-2"/>
          <c:y val="7.4689633864290325E-2"/>
          <c:w val="0.91606508156755739"/>
          <c:h val="0.71178888783480376"/>
        </c:manualLayout>
      </c:layout>
      <c:barChart>
        <c:barDir val="col"/>
        <c:grouping val="stacked"/>
        <c:varyColors val="0"/>
        <c:ser>
          <c:idx val="0"/>
          <c:order val="0"/>
          <c:tx>
            <c:strRef>
              <c:f>valutna!$A$5</c:f>
              <c:strCache>
                <c:ptCount val="1"/>
                <c:pt idx="0">
                  <c:v>EUR</c:v>
                </c:pt>
              </c:strCache>
            </c:strRef>
          </c:tx>
          <c:spPr>
            <a:solidFill>
              <a:srgbClr val="10103C"/>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2020</c:v>
                </c:pt>
                <c:pt idx="1">
                  <c:v>2021</c:v>
                </c:pt>
                <c:pt idx="2">
                  <c:v>2022</c:v>
                </c:pt>
                <c:pt idx="3">
                  <c:v>2023/VII</c:v>
                </c:pt>
              </c:strCache>
            </c:strRef>
          </c:cat>
          <c:val>
            <c:numRef>
              <c:f>valutna!$B$5:$E$5</c:f>
              <c:numCache>
                <c:formatCode>0.0%</c:formatCode>
                <c:ptCount val="4"/>
                <c:pt idx="0">
                  <c:v>0.5</c:v>
                </c:pt>
                <c:pt idx="1">
                  <c:v>0.58070343168642191</c:v>
                </c:pt>
                <c:pt idx="2">
                  <c:v>0.56122306338579264</c:v>
                </c:pt>
                <c:pt idx="3">
                  <c:v>0.57999999999999996</c:v>
                </c:pt>
              </c:numCache>
            </c:numRef>
          </c:val>
          <c:extLst>
            <c:ext xmlns:c16="http://schemas.microsoft.com/office/drawing/2014/chart" uri="{C3380CC4-5D6E-409C-BE32-E72D297353CC}">
              <c16:uniqueId val="{00000000-3037-49A6-9DA7-80A528B1245B}"/>
            </c:ext>
          </c:extLst>
        </c:ser>
        <c:ser>
          <c:idx val="1"/>
          <c:order val="1"/>
          <c:tx>
            <c:strRef>
              <c:f>valutna!$A$6</c:f>
              <c:strCache>
                <c:ptCount val="1"/>
                <c:pt idx="0">
                  <c:v>USD</c:v>
                </c:pt>
              </c:strCache>
            </c:strRef>
          </c:tx>
          <c:spPr>
            <a:solidFill>
              <a:srgbClr val="002060"/>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2020</c:v>
                </c:pt>
                <c:pt idx="1">
                  <c:v>2021</c:v>
                </c:pt>
                <c:pt idx="2">
                  <c:v>2022</c:v>
                </c:pt>
                <c:pt idx="3">
                  <c:v>2023/VII</c:v>
                </c:pt>
              </c:strCache>
            </c:strRef>
          </c:cat>
          <c:val>
            <c:numRef>
              <c:f>valutna!$B$6:$E$6</c:f>
              <c:numCache>
                <c:formatCode>0.0%</c:formatCode>
                <c:ptCount val="4"/>
                <c:pt idx="0">
                  <c:v>0.13</c:v>
                </c:pt>
                <c:pt idx="1">
                  <c:v>0.10724614446641026</c:v>
                </c:pt>
                <c:pt idx="2">
                  <c:v>0.14174924728991847</c:v>
                </c:pt>
                <c:pt idx="3">
                  <c:v>0.1326</c:v>
                </c:pt>
              </c:numCache>
            </c:numRef>
          </c:val>
          <c:extLst>
            <c:ext xmlns:c16="http://schemas.microsoft.com/office/drawing/2014/chart" uri="{C3380CC4-5D6E-409C-BE32-E72D297353CC}">
              <c16:uniqueId val="{00000001-3037-49A6-9DA7-80A528B1245B}"/>
            </c:ext>
          </c:extLst>
        </c:ser>
        <c:ser>
          <c:idx val="2"/>
          <c:order val="2"/>
          <c:tx>
            <c:strRef>
              <c:f>valutna!$A$7</c:f>
              <c:strCache>
                <c:ptCount val="1"/>
                <c:pt idx="0">
                  <c:v>RSD</c:v>
                </c:pt>
              </c:strCache>
            </c:strRef>
          </c:tx>
          <c:spPr>
            <a:solidFill>
              <a:srgbClr val="2F3E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2020</c:v>
                </c:pt>
                <c:pt idx="1">
                  <c:v>2021</c:v>
                </c:pt>
                <c:pt idx="2">
                  <c:v>2022</c:v>
                </c:pt>
                <c:pt idx="3">
                  <c:v>2023/VII</c:v>
                </c:pt>
              </c:strCache>
            </c:strRef>
          </c:cat>
          <c:val>
            <c:numRef>
              <c:f>valutna!$B$7:$E$7</c:f>
              <c:numCache>
                <c:formatCode>0.0%</c:formatCode>
                <c:ptCount val="4"/>
                <c:pt idx="0">
                  <c:v>0.30399999999999999</c:v>
                </c:pt>
                <c:pt idx="1">
                  <c:v>0.28279889544694981</c:v>
                </c:pt>
                <c:pt idx="2">
                  <c:v>0.24970540543766942</c:v>
                </c:pt>
                <c:pt idx="3">
                  <c:v>0.21210000000000001</c:v>
                </c:pt>
              </c:numCache>
            </c:numRef>
          </c:val>
          <c:extLst>
            <c:ext xmlns:c16="http://schemas.microsoft.com/office/drawing/2014/chart" uri="{C3380CC4-5D6E-409C-BE32-E72D297353CC}">
              <c16:uniqueId val="{00000002-3037-49A6-9DA7-80A528B1245B}"/>
            </c:ext>
          </c:extLst>
        </c:ser>
        <c:ser>
          <c:idx val="3"/>
          <c:order val="3"/>
          <c:tx>
            <c:strRef>
              <c:f>valutna!$A$8</c:f>
              <c:strCache>
                <c:ptCount val="1"/>
                <c:pt idx="0">
                  <c:v>SDR</c:v>
                </c:pt>
              </c:strCache>
            </c:strRef>
          </c:tx>
          <c:spPr>
            <a:solidFill>
              <a:srgbClr val="51BBE7"/>
            </a:solidFill>
            <a:ln>
              <a:noFill/>
            </a:ln>
            <a:effectLst/>
          </c:spPr>
          <c:invertIfNegative val="0"/>
          <c:dLbls>
            <c:dLbl>
              <c:idx val="1"/>
              <c:layout>
                <c:manualLayout>
                  <c:x val="0"/>
                  <c:y val="2.4096385542168676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314-486D-B5A0-5B9B287B1AED}"/>
                </c:ext>
              </c:extLst>
            </c:dLbl>
            <c:dLbl>
              <c:idx val="2"/>
              <c:layout>
                <c:manualLayout>
                  <c:x val="4.5392646391283781E-3"/>
                  <c:y val="4.016064257028112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314-486D-B5A0-5B9B287B1AED}"/>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valutna!$B$4:$E$4</c:f>
              <c:strCache>
                <c:ptCount val="4"/>
                <c:pt idx="0">
                  <c:v>2020</c:v>
                </c:pt>
                <c:pt idx="1">
                  <c:v>2021</c:v>
                </c:pt>
                <c:pt idx="2">
                  <c:v>2022</c:v>
                </c:pt>
                <c:pt idx="3">
                  <c:v>2023/VII</c:v>
                </c:pt>
              </c:strCache>
            </c:strRef>
          </c:cat>
          <c:val>
            <c:numRef>
              <c:f>valutna!$B$8:$E$8</c:f>
              <c:numCache>
                <c:formatCode>0.0%</c:formatCode>
                <c:ptCount val="4"/>
                <c:pt idx="0">
                  <c:v>2.3E-2</c:v>
                </c:pt>
                <c:pt idx="1">
                  <c:v>1.9290279679134919E-2</c:v>
                </c:pt>
                <c:pt idx="2">
                  <c:v>3.9562422778152417E-2</c:v>
                </c:pt>
                <c:pt idx="3">
                  <c:v>6.9000000000000006E-2</c:v>
                </c:pt>
              </c:numCache>
            </c:numRef>
          </c:val>
          <c:extLst>
            <c:ext xmlns:c16="http://schemas.microsoft.com/office/drawing/2014/chart" uri="{C3380CC4-5D6E-409C-BE32-E72D297353CC}">
              <c16:uniqueId val="{00000003-3037-49A6-9DA7-80A528B1245B}"/>
            </c:ext>
          </c:extLst>
        </c:ser>
        <c:ser>
          <c:idx val="4"/>
          <c:order val="4"/>
          <c:tx>
            <c:strRef>
              <c:f>valutna!$A$9</c:f>
              <c:strCache>
                <c:ptCount val="1"/>
                <c:pt idx="0">
                  <c:v>Остале валуте</c:v>
                </c:pt>
              </c:strCache>
            </c:strRef>
          </c:tx>
          <c:spPr>
            <a:solidFill>
              <a:srgbClr val="C9E4EB"/>
            </a:solidFill>
            <a:ln>
              <a:noFill/>
            </a:ln>
            <a:effectLst/>
          </c:spPr>
          <c:invertIfNegative val="0"/>
          <c:dLbls>
            <c:dLbl>
              <c:idx val="0"/>
              <c:numFmt formatCode="0.0%" sourceLinked="0"/>
              <c:spPr>
                <a:noFill/>
                <a:ln>
                  <a:noFill/>
                </a:ln>
                <a:effectLst/>
              </c:spPr>
              <c:txPr>
                <a:bodyPr rot="0" spcFirstLastPara="1" vertOverflow="ellipsis" horzOverflow="clip" vert="horz" wrap="square" lIns="38100" tIns="19050" rIns="38100" bIns="19050" anchor="ctr" anchorCtr="1">
                  <a:noAutofit/>
                </a:bodyPr>
                <a:lstStyle/>
                <a:p>
                  <a:pPr>
                    <a:defRPr sz="750" b="1" i="0" u="none" strike="noStrike" kern="1200" baseline="0">
                      <a:solidFill>
                        <a:schemeClr val="tx2"/>
                      </a:solidFill>
                      <a:latin typeface="+mn-lt"/>
                      <a:ea typeface="+mn-ea"/>
                      <a:cs typeface="+mn-cs"/>
                    </a:defRPr>
                  </a:pPr>
                  <a:endParaRPr lang="sr-Latn-RS"/>
                </a:p>
              </c:txPr>
              <c:dLblPos val="inBase"/>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4-3037-49A6-9DA7-80A528B1245B}"/>
                </c:ext>
              </c:extLst>
            </c:dLbl>
            <c:dLbl>
              <c:idx val="1"/>
              <c:layout>
                <c:manualLayout>
                  <c:x val="4.6296296296295869E-3"/>
                  <c:y val="-1.9099929581972985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037-49A6-9DA7-80A528B1245B}"/>
                </c:ext>
              </c:extLst>
            </c:dLbl>
            <c:dLbl>
              <c:idx val="2"/>
              <c:layout>
                <c:manualLayout>
                  <c:x val="-8.3218890365632274E-17"/>
                  <c:y val="-8.6500332036808635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037-49A6-9DA7-80A528B1245B}"/>
                </c:ext>
              </c:extLst>
            </c:dLbl>
            <c:dLbl>
              <c:idx val="3"/>
              <c:layout>
                <c:manualLayout>
                  <c:x val="-1.6643778073126455E-16"/>
                  <c:y val="-2.273598330329190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037-49A6-9DA7-80A528B1245B}"/>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tx2"/>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valutna!$B$4:$E$4</c:f>
              <c:strCache>
                <c:ptCount val="4"/>
                <c:pt idx="0">
                  <c:v>2020</c:v>
                </c:pt>
                <c:pt idx="1">
                  <c:v>2021</c:v>
                </c:pt>
                <c:pt idx="2">
                  <c:v>2022</c:v>
                </c:pt>
                <c:pt idx="3">
                  <c:v>2023/VII</c:v>
                </c:pt>
              </c:strCache>
            </c:strRef>
          </c:cat>
          <c:val>
            <c:numRef>
              <c:f>valutna!$B$9:$E$9</c:f>
              <c:numCache>
                <c:formatCode>0.0%</c:formatCode>
                <c:ptCount val="4"/>
                <c:pt idx="0">
                  <c:v>4.2999999999999997E-2</c:v>
                </c:pt>
                <c:pt idx="1">
                  <c:v>9.9612487210832441E-3</c:v>
                </c:pt>
                <c:pt idx="2">
                  <c:v>7.7598611084669349E-3</c:v>
                </c:pt>
                <c:pt idx="3">
                  <c:v>6.3999999999999994E-3</c:v>
                </c:pt>
              </c:numCache>
            </c:numRef>
          </c:val>
          <c:extLst>
            <c:ext xmlns:c16="http://schemas.microsoft.com/office/drawing/2014/chart" uri="{C3380CC4-5D6E-409C-BE32-E72D297353CC}">
              <c16:uniqueId val="{00000008-3037-49A6-9DA7-80A528B1245B}"/>
            </c:ext>
          </c:extLst>
        </c:ser>
        <c:dLbls>
          <c:dLblPos val="ctr"/>
          <c:showLegendKey val="0"/>
          <c:showVal val="1"/>
          <c:showCatName val="0"/>
          <c:showSerName val="0"/>
          <c:showPercent val="0"/>
          <c:showBubbleSize val="0"/>
        </c:dLbls>
        <c:gapWidth val="79"/>
        <c:overlap val="100"/>
        <c:axId val="244059360"/>
        <c:axId val="244059904"/>
      </c:barChart>
      <c:catAx>
        <c:axId val="244059360"/>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cap="all" spc="120" normalizeH="0" baseline="0">
                <a:solidFill>
                  <a:schemeClr val="tx2"/>
                </a:solidFill>
                <a:latin typeface="+mn-lt"/>
                <a:ea typeface="+mn-ea"/>
                <a:cs typeface="+mn-cs"/>
              </a:defRPr>
            </a:pPr>
            <a:endParaRPr lang="sr-Latn-RS"/>
          </a:p>
        </c:txPr>
        <c:crossAx val="244059904"/>
        <c:crosses val="autoZero"/>
        <c:auto val="1"/>
        <c:lblAlgn val="ctr"/>
        <c:lblOffset val="100"/>
        <c:noMultiLvlLbl val="0"/>
      </c:catAx>
      <c:valAx>
        <c:axId val="244059904"/>
        <c:scaling>
          <c:orientation val="minMax"/>
          <c:max val="1"/>
          <c:min val="0"/>
        </c:scaling>
        <c:delete val="1"/>
        <c:axPos val="l"/>
        <c:numFmt formatCode="0%" sourceLinked="0"/>
        <c:majorTickMark val="none"/>
        <c:minorTickMark val="none"/>
        <c:tickLblPos val="nextTo"/>
        <c:crossAx val="244059360"/>
        <c:crosses val="autoZero"/>
        <c:crossBetween val="between"/>
      </c:valAx>
      <c:spPr>
        <a:noFill/>
        <a:ln>
          <a:noFill/>
        </a:ln>
        <a:effectLst/>
      </c:spPr>
    </c:plotArea>
    <c:legend>
      <c:legendPos val="t"/>
      <c:layout>
        <c:manualLayout>
          <c:xMode val="edge"/>
          <c:yMode val="edge"/>
          <c:x val="0.20007148448250597"/>
          <c:y val="0.91044274071004283"/>
          <c:w val="0.69327573636628759"/>
          <c:h val="4.4164415256261261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4313099041539137E-2"/>
          <c:y val="0.11697286155107009"/>
          <c:w val="0.92201738463599303"/>
          <c:h val="0.69105764014135107"/>
        </c:manualLayout>
      </c:layout>
      <c:barChart>
        <c:barDir val="col"/>
        <c:grouping val="stacked"/>
        <c:varyColors val="0"/>
        <c:ser>
          <c:idx val="0"/>
          <c:order val="0"/>
          <c:tx>
            <c:strRef>
              <c:f>kamatna!$A$5</c:f>
              <c:strCache>
                <c:ptCount val="1"/>
                <c:pt idx="0">
                  <c:v>Фиксне каматне стопе</c:v>
                </c:pt>
              </c:strCache>
            </c:strRef>
          </c:tx>
          <c:spPr>
            <a:solidFill>
              <a:srgbClr val="002060"/>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kamatna!$B$4:$E$4</c:f>
              <c:strCache>
                <c:ptCount val="4"/>
                <c:pt idx="0">
                  <c:v>2020</c:v>
                </c:pt>
                <c:pt idx="1">
                  <c:v>2021</c:v>
                </c:pt>
                <c:pt idx="2">
                  <c:v>2022</c:v>
                </c:pt>
                <c:pt idx="3">
                  <c:v>2023/VII</c:v>
                </c:pt>
              </c:strCache>
            </c:strRef>
          </c:cat>
          <c:val>
            <c:numRef>
              <c:f>kamatna!$B$5:$E$5</c:f>
              <c:numCache>
                <c:formatCode>0.0%</c:formatCode>
                <c:ptCount val="4"/>
                <c:pt idx="0">
                  <c:v>0.85479439479257957</c:v>
                </c:pt>
                <c:pt idx="1">
                  <c:v>0.85813723844161272</c:v>
                </c:pt>
                <c:pt idx="2">
                  <c:v>0.81661435297172802</c:v>
                </c:pt>
                <c:pt idx="3">
                  <c:v>0.73050704073177364</c:v>
                </c:pt>
              </c:numCache>
            </c:numRef>
          </c:val>
          <c:extLst>
            <c:ext xmlns:c16="http://schemas.microsoft.com/office/drawing/2014/chart" uri="{C3380CC4-5D6E-409C-BE32-E72D297353CC}">
              <c16:uniqueId val="{00000000-D966-4F78-8402-C0FCD04799F7}"/>
            </c:ext>
          </c:extLst>
        </c:ser>
        <c:ser>
          <c:idx val="1"/>
          <c:order val="1"/>
          <c:tx>
            <c:strRef>
              <c:f>kamatna!$A$6</c:f>
              <c:strCache>
                <c:ptCount val="1"/>
                <c:pt idx="0">
                  <c:v>Варијабилне каматне стопе</c:v>
                </c:pt>
              </c:strCache>
            </c:strRef>
          </c:tx>
          <c:spPr>
            <a:solidFill>
              <a:srgbClr val="2F3E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kamatna!$B$4:$E$4</c:f>
              <c:strCache>
                <c:ptCount val="4"/>
                <c:pt idx="0">
                  <c:v>2020</c:v>
                </c:pt>
                <c:pt idx="1">
                  <c:v>2021</c:v>
                </c:pt>
                <c:pt idx="2">
                  <c:v>2022</c:v>
                </c:pt>
                <c:pt idx="3">
                  <c:v>2023/VII</c:v>
                </c:pt>
              </c:strCache>
            </c:strRef>
          </c:cat>
          <c:val>
            <c:numRef>
              <c:f>kamatna!$B$6:$E$6</c:f>
              <c:numCache>
                <c:formatCode>0.0%</c:formatCode>
                <c:ptCount val="4"/>
                <c:pt idx="0">
                  <c:v>0.14520560520742037</c:v>
                </c:pt>
                <c:pt idx="1">
                  <c:v>0.14186276155838728</c:v>
                </c:pt>
                <c:pt idx="2">
                  <c:v>0.18338564702827198</c:v>
                </c:pt>
                <c:pt idx="3">
                  <c:v>0.26949295926822642</c:v>
                </c:pt>
              </c:numCache>
            </c:numRef>
          </c:val>
          <c:extLst>
            <c:ext xmlns:c16="http://schemas.microsoft.com/office/drawing/2014/chart" uri="{C3380CC4-5D6E-409C-BE32-E72D297353CC}">
              <c16:uniqueId val="{00000001-D966-4F78-8402-C0FCD04799F7}"/>
            </c:ext>
          </c:extLst>
        </c:ser>
        <c:dLbls>
          <c:dLblPos val="ctr"/>
          <c:showLegendKey val="0"/>
          <c:showVal val="1"/>
          <c:showCatName val="0"/>
          <c:showSerName val="0"/>
          <c:showPercent val="0"/>
          <c:showBubbleSize val="0"/>
        </c:dLbls>
        <c:gapWidth val="79"/>
        <c:overlap val="100"/>
        <c:axId val="244061536"/>
        <c:axId val="244062080"/>
      </c:barChart>
      <c:catAx>
        <c:axId val="244061536"/>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800" b="0" i="0" u="none" strike="noStrike" kern="1200" cap="all" spc="120" normalizeH="0" baseline="0">
                <a:solidFill>
                  <a:schemeClr val="tx2"/>
                </a:solidFill>
                <a:latin typeface="+mn-lt"/>
                <a:ea typeface="+mn-ea"/>
                <a:cs typeface="+mn-cs"/>
              </a:defRPr>
            </a:pPr>
            <a:endParaRPr lang="sr-Latn-RS"/>
          </a:p>
        </c:txPr>
        <c:crossAx val="244062080"/>
        <c:crosses val="autoZero"/>
        <c:auto val="1"/>
        <c:lblAlgn val="ctr"/>
        <c:lblOffset val="100"/>
        <c:noMultiLvlLbl val="0"/>
      </c:catAx>
      <c:valAx>
        <c:axId val="244062080"/>
        <c:scaling>
          <c:orientation val="minMax"/>
          <c:max val="1"/>
          <c:min val="0"/>
        </c:scaling>
        <c:delete val="1"/>
        <c:axPos val="l"/>
        <c:numFmt formatCode="0%" sourceLinked="0"/>
        <c:majorTickMark val="none"/>
        <c:minorTickMark val="none"/>
        <c:tickLblPos val="nextTo"/>
        <c:crossAx val="244061536"/>
        <c:crosses val="autoZero"/>
        <c:crossBetween val="between"/>
      </c:valAx>
      <c:spPr>
        <a:noFill/>
        <a:ln w="25400">
          <a:noFill/>
        </a:ln>
        <a:effectLst/>
      </c:spPr>
    </c:plotArea>
    <c:legend>
      <c:legendPos val="t"/>
      <c:layout>
        <c:manualLayout>
          <c:xMode val="edge"/>
          <c:yMode val="edge"/>
          <c:x val="7.915879265091863E-2"/>
          <c:y val="0.93890499194846999"/>
          <c:w val="0.8083490813648293"/>
          <c:h val="6.0789430306718906E-2"/>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4019431101392969E-2"/>
          <c:y val="5.140046622244443E-2"/>
          <c:w val="0.88305406259304808"/>
          <c:h val="0.65609481885630438"/>
        </c:manualLayout>
      </c:layout>
      <c:lineChart>
        <c:grouping val="standard"/>
        <c:varyColors val="0"/>
        <c:ser>
          <c:idx val="2"/>
          <c:order val="0"/>
          <c:tx>
            <c:strRef>
              <c:f>'prosecne stope EUR'!$C$4</c:f>
              <c:strCache>
                <c:ptCount val="1"/>
                <c:pt idx="0">
                  <c:v>53Н</c:v>
                </c:pt>
              </c:strCache>
            </c:strRef>
          </c:tx>
          <c:marker>
            <c:symbol val="square"/>
            <c:size val="3"/>
          </c:marker>
          <c:cat>
            <c:strRef>
              <c:f>'prosecne stope EUR'!$D$3:$P$3</c:f>
              <c:strCach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VII/2023</c:v>
                </c:pt>
              </c:strCache>
            </c:strRef>
          </c:cat>
          <c:val>
            <c:numRef>
              <c:f>'prosecne stope EUR'!$D$4:$P$4</c:f>
              <c:numCache>
                <c:formatCode>0.00%</c:formatCode>
                <c:ptCount val="13"/>
                <c:pt idx="0">
                  <c:v>4.48E-2</c:v>
                </c:pt>
                <c:pt idx="1">
                  <c:v>0.06</c:v>
                </c:pt>
                <c:pt idx="2">
                  <c:v>3.5900000000000001E-2</c:v>
                </c:pt>
                <c:pt idx="3">
                  <c:v>3.0418185954225487E-2</c:v>
                </c:pt>
                <c:pt idx="4">
                  <c:v>1.83E-2</c:v>
                </c:pt>
                <c:pt idx="5">
                  <c:v>9.4417358622498043E-3</c:v>
                </c:pt>
                <c:pt idx="6">
                  <c:v>6.2635145185452766E-3</c:v>
                </c:pt>
                <c:pt idx="7">
                  <c:v>4.5989898989898994E-3</c:v>
                </c:pt>
              </c:numCache>
            </c:numRef>
          </c:val>
          <c:smooth val="0"/>
          <c:extLst>
            <c:ext xmlns:c16="http://schemas.microsoft.com/office/drawing/2014/chart" uri="{C3380CC4-5D6E-409C-BE32-E72D297353CC}">
              <c16:uniqueId val="{00000000-0707-47B7-90CB-7AFA8BB575D9}"/>
            </c:ext>
          </c:extLst>
        </c:ser>
        <c:ser>
          <c:idx val="3"/>
          <c:order val="1"/>
          <c:tx>
            <c:strRef>
              <c:f>'prosecne stope EUR'!$C$5</c:f>
              <c:strCache>
                <c:ptCount val="1"/>
                <c:pt idx="0">
                  <c:v>2Г</c:v>
                </c:pt>
              </c:strCache>
            </c:strRef>
          </c:tx>
          <c:marker>
            <c:symbol val="square"/>
            <c:size val="3"/>
          </c:marker>
          <c:cat>
            <c:strRef>
              <c:f>'prosecne stope EUR'!$D$3:$P$3</c:f>
              <c:strCach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VII/2023</c:v>
                </c:pt>
              </c:strCache>
            </c:strRef>
          </c:cat>
          <c:val>
            <c:numRef>
              <c:f>'prosecne stope EUR'!$D$5:$P$5</c:f>
              <c:numCache>
                <c:formatCode>0.00%</c:formatCode>
                <c:ptCount val="13"/>
                <c:pt idx="1">
                  <c:v>5.67E-2</c:v>
                </c:pt>
                <c:pt idx="2">
                  <c:v>4.5199999999999997E-2</c:v>
                </c:pt>
                <c:pt idx="3">
                  <c:v>3.9104744879831482E-2</c:v>
                </c:pt>
                <c:pt idx="4">
                  <c:v>2.6700000000000002E-2</c:v>
                </c:pt>
                <c:pt idx="5">
                  <c:v>1.3644036041361296E-2</c:v>
                </c:pt>
                <c:pt idx="6">
                  <c:v>1.0360033899389172E-2</c:v>
                </c:pt>
                <c:pt idx="7">
                  <c:v>8.7888787429136698E-3</c:v>
                </c:pt>
                <c:pt idx="8">
                  <c:v>0.01</c:v>
                </c:pt>
                <c:pt idx="9">
                  <c:v>4.8999999999999998E-3</c:v>
                </c:pt>
                <c:pt idx="11">
                  <c:v>7.7000000000000002E-3</c:v>
                </c:pt>
              </c:numCache>
            </c:numRef>
          </c:val>
          <c:smooth val="0"/>
          <c:extLst>
            <c:ext xmlns:c16="http://schemas.microsoft.com/office/drawing/2014/chart" uri="{C3380CC4-5D6E-409C-BE32-E72D297353CC}">
              <c16:uniqueId val="{00000001-0707-47B7-90CB-7AFA8BB575D9}"/>
            </c:ext>
          </c:extLst>
        </c:ser>
        <c:ser>
          <c:idx val="4"/>
          <c:order val="2"/>
          <c:tx>
            <c:strRef>
              <c:f>'prosecne stope EUR'!$C$6</c:f>
              <c:strCache>
                <c:ptCount val="1"/>
                <c:pt idx="0">
                  <c:v>3Г</c:v>
                </c:pt>
              </c:strCache>
            </c:strRef>
          </c:tx>
          <c:marker>
            <c:symbol val="square"/>
            <c:size val="3"/>
          </c:marker>
          <c:cat>
            <c:strRef>
              <c:f>'prosecne stope EUR'!$D$3:$P$3</c:f>
              <c:strCach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VII/2023</c:v>
                </c:pt>
              </c:strCache>
            </c:strRef>
          </c:cat>
          <c:val>
            <c:numRef>
              <c:f>'prosecne stope EUR'!$D$6:$P$6</c:f>
              <c:numCache>
                <c:formatCode>General</c:formatCode>
                <c:ptCount val="13"/>
                <c:pt idx="0" formatCode="0.00%">
                  <c:v>0.05</c:v>
                </c:pt>
                <c:pt idx="2" formatCode="0.00%">
                  <c:v>4.8000000000000001E-2</c:v>
                </c:pt>
                <c:pt idx="3" formatCode="0.00%">
                  <c:v>4.7138205908340364E-2</c:v>
                </c:pt>
                <c:pt idx="4" formatCode="0.00%">
                  <c:v>0.04</c:v>
                </c:pt>
                <c:pt idx="5" formatCode="0.00%">
                  <c:v>2.9759600523163947E-2</c:v>
                </c:pt>
                <c:pt idx="6" formatCode="0.00%">
                  <c:v>1.8649799295294825E-2</c:v>
                </c:pt>
                <c:pt idx="7" formatCode="0.00%">
                  <c:v>1.2512238579642383E-2</c:v>
                </c:pt>
                <c:pt idx="8" formatCode="0.00%">
                  <c:v>1.2500000000000001E-2</c:v>
                </c:pt>
              </c:numCache>
            </c:numRef>
          </c:val>
          <c:smooth val="0"/>
          <c:extLst>
            <c:ext xmlns:c16="http://schemas.microsoft.com/office/drawing/2014/chart" uri="{C3380CC4-5D6E-409C-BE32-E72D297353CC}">
              <c16:uniqueId val="{00000002-0707-47B7-90CB-7AFA8BB575D9}"/>
            </c:ext>
          </c:extLst>
        </c:ser>
        <c:ser>
          <c:idx val="5"/>
          <c:order val="3"/>
          <c:tx>
            <c:strRef>
              <c:f>'prosecne stope EUR'!$C$7</c:f>
              <c:strCache>
                <c:ptCount val="1"/>
                <c:pt idx="0">
                  <c:v>5Г</c:v>
                </c:pt>
              </c:strCache>
            </c:strRef>
          </c:tx>
          <c:cat>
            <c:strRef>
              <c:f>'prosecne stope EUR'!$D$3:$P$3</c:f>
              <c:strCach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VII/2023</c:v>
                </c:pt>
              </c:strCache>
            </c:strRef>
          </c:cat>
          <c:val>
            <c:numRef>
              <c:f>'prosecne stope EUR'!$D$7:$P$7</c:f>
              <c:numCache>
                <c:formatCode>General</c:formatCode>
                <c:ptCount val="13"/>
                <c:pt idx="2" formatCode="0.00%">
                  <c:v>5.2200000000000003E-2</c:v>
                </c:pt>
                <c:pt idx="3" formatCode="0.00%">
                  <c:v>4.9891847307430133E-2</c:v>
                </c:pt>
                <c:pt idx="4" formatCode="0.00%">
                  <c:v>4.4900000000000002E-2</c:v>
                </c:pt>
                <c:pt idx="5" formatCode="0.00%">
                  <c:v>3.1357142857142854E-2</c:v>
                </c:pt>
                <c:pt idx="6" formatCode="0.00%">
                  <c:v>2.6212040071733351E-2</c:v>
                </c:pt>
                <c:pt idx="7" formatCode="0.00%">
                  <c:v>1.8924744210098623E-2</c:v>
                </c:pt>
                <c:pt idx="8" formatCode="0.00%">
                  <c:v>1.7468554713468955E-2</c:v>
                </c:pt>
                <c:pt idx="9" formatCode="0.00%">
                  <c:v>1.0999999999999999E-2</c:v>
                </c:pt>
              </c:numCache>
            </c:numRef>
          </c:val>
          <c:smooth val="0"/>
          <c:extLst>
            <c:ext xmlns:c16="http://schemas.microsoft.com/office/drawing/2014/chart" uri="{C3380CC4-5D6E-409C-BE32-E72D297353CC}">
              <c16:uniqueId val="{00000003-0707-47B7-90CB-7AFA8BB575D9}"/>
            </c:ext>
          </c:extLst>
        </c:ser>
        <c:ser>
          <c:idx val="0"/>
          <c:order val="4"/>
          <c:tx>
            <c:strRef>
              <c:f>'prosecne stope EUR'!$C$8</c:f>
              <c:strCache>
                <c:ptCount val="1"/>
                <c:pt idx="0">
                  <c:v>10Г</c:v>
                </c:pt>
              </c:strCache>
            </c:strRef>
          </c:tx>
          <c:cat>
            <c:strRef>
              <c:f>'prosecne stope EUR'!$D$3:$P$3</c:f>
              <c:strCach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VII/2023</c:v>
                </c:pt>
              </c:strCache>
            </c:strRef>
          </c:cat>
          <c:val>
            <c:numRef>
              <c:f>'prosecne stope EUR'!$D$8:$P$8</c:f>
              <c:numCache>
                <c:formatCode>General</c:formatCode>
                <c:ptCount val="13"/>
                <c:pt idx="3" formatCode="0.00%">
                  <c:v>5.5E-2</c:v>
                </c:pt>
                <c:pt idx="4" formatCode="0.00%">
                  <c:v>4.48E-2</c:v>
                </c:pt>
                <c:pt idx="5" formatCode="0.00%">
                  <c:v>4.2000000000000003E-2</c:v>
                </c:pt>
                <c:pt idx="6" formatCode="0.00%">
                  <c:v>0.04</c:v>
                </c:pt>
                <c:pt idx="7" formatCode="0.00%">
                  <c:v>3.5000000000000003E-2</c:v>
                </c:pt>
                <c:pt idx="8" formatCode="0.00%">
                  <c:v>3.2500000000000001E-2</c:v>
                </c:pt>
              </c:numCache>
            </c:numRef>
          </c:val>
          <c:smooth val="0"/>
          <c:extLst>
            <c:ext xmlns:c16="http://schemas.microsoft.com/office/drawing/2014/chart" uri="{C3380CC4-5D6E-409C-BE32-E72D297353CC}">
              <c16:uniqueId val="{00000004-0707-47B7-90CB-7AFA8BB575D9}"/>
            </c:ext>
          </c:extLst>
        </c:ser>
        <c:ser>
          <c:idx val="1"/>
          <c:order val="5"/>
          <c:tx>
            <c:strRef>
              <c:f>'prosecne stope EUR'!$C$9</c:f>
              <c:strCache>
                <c:ptCount val="1"/>
                <c:pt idx="0">
                  <c:v>12г</c:v>
                </c:pt>
              </c:strCache>
            </c:strRef>
          </c:tx>
          <c:cat>
            <c:strRef>
              <c:f>'prosecne stope EUR'!$D$3:$P$3</c:f>
              <c:strCach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VII/2023</c:v>
                </c:pt>
              </c:strCache>
            </c:strRef>
          </c:cat>
          <c:val>
            <c:numRef>
              <c:f>'prosecne stope EUR'!$D$9:$P$9</c:f>
              <c:numCache>
                <c:formatCode>General</c:formatCode>
                <c:ptCount val="13"/>
                <c:pt idx="9" formatCode="0.00%">
                  <c:v>1.89E-2</c:v>
                </c:pt>
                <c:pt idx="10" formatCode="0.00%">
                  <c:v>1.67E-2</c:v>
                </c:pt>
              </c:numCache>
            </c:numRef>
          </c:val>
          <c:smooth val="0"/>
          <c:extLst>
            <c:ext xmlns:c16="http://schemas.microsoft.com/office/drawing/2014/chart" uri="{C3380CC4-5D6E-409C-BE32-E72D297353CC}">
              <c16:uniqueId val="{00000005-0707-47B7-90CB-7AFA8BB575D9}"/>
            </c:ext>
          </c:extLst>
        </c:ser>
        <c:ser>
          <c:idx val="6"/>
          <c:order val="6"/>
          <c:tx>
            <c:strRef>
              <c:f>'prosecne stope EUR'!$C$10</c:f>
              <c:strCache>
                <c:ptCount val="1"/>
                <c:pt idx="0">
                  <c:v>15Г</c:v>
                </c:pt>
              </c:strCache>
            </c:strRef>
          </c:tx>
          <c:cat>
            <c:strRef>
              <c:f>'prosecne stope EUR'!$D$3:$P$3</c:f>
              <c:strCach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VII/2023</c:v>
                </c:pt>
              </c:strCache>
            </c:strRef>
          </c:cat>
          <c:val>
            <c:numRef>
              <c:f>'prosecne stope EUR'!$D$10:$P$10</c:f>
              <c:numCache>
                <c:formatCode>General</c:formatCode>
                <c:ptCount val="13"/>
                <c:pt idx="5" formatCode="0.00%">
                  <c:v>4.2000000000000003E-2</c:v>
                </c:pt>
                <c:pt idx="6" formatCode="0.00%">
                  <c:v>4.2000000000000003E-2</c:v>
                </c:pt>
                <c:pt idx="8" formatCode="0.00%">
                  <c:v>3.5999999999999997E-2</c:v>
                </c:pt>
              </c:numCache>
            </c:numRef>
          </c:val>
          <c:smooth val="0"/>
          <c:extLst>
            <c:ext xmlns:c16="http://schemas.microsoft.com/office/drawing/2014/chart" uri="{C3380CC4-5D6E-409C-BE32-E72D297353CC}">
              <c16:uniqueId val="{00000006-0707-47B7-90CB-7AFA8BB575D9}"/>
            </c:ext>
          </c:extLst>
        </c:ser>
        <c:ser>
          <c:idx val="7"/>
          <c:order val="7"/>
          <c:tx>
            <c:strRef>
              <c:f>'prosecne stope EUR'!$C$11</c:f>
              <c:strCache>
                <c:ptCount val="1"/>
                <c:pt idx="0">
                  <c:v>20Г</c:v>
                </c:pt>
              </c:strCache>
            </c:strRef>
          </c:tx>
          <c:cat>
            <c:strRef>
              <c:f>'prosecne stope EUR'!$D$3:$P$3</c:f>
              <c:strCach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VII/2023</c:v>
                </c:pt>
              </c:strCache>
            </c:strRef>
          </c:cat>
          <c:val>
            <c:numRef>
              <c:f>'prosecne stope EUR'!$D$11:$P$11</c:f>
              <c:numCache>
                <c:formatCode>General</c:formatCode>
                <c:ptCount val="13"/>
                <c:pt idx="9" formatCode="0.00%">
                  <c:v>0.03</c:v>
                </c:pt>
                <c:pt idx="10" formatCode="0.00%">
                  <c:v>2.2499999999999999E-2</c:v>
                </c:pt>
              </c:numCache>
            </c:numRef>
          </c:val>
          <c:smooth val="0"/>
          <c:extLst>
            <c:ext xmlns:c16="http://schemas.microsoft.com/office/drawing/2014/chart" uri="{C3380CC4-5D6E-409C-BE32-E72D297353CC}">
              <c16:uniqueId val="{00000007-0707-47B7-90CB-7AFA8BB575D9}"/>
            </c:ext>
          </c:extLst>
        </c:ser>
        <c:ser>
          <c:idx val="8"/>
          <c:order val="8"/>
          <c:tx>
            <c:strRef>
              <c:f>'prosecne stope EUR'!$C$12</c:f>
              <c:strCache>
                <c:ptCount val="1"/>
                <c:pt idx="0">
                  <c:v>25Г</c:v>
                </c:pt>
              </c:strCache>
            </c:strRef>
          </c:tx>
          <c:cat>
            <c:strRef>
              <c:f>'prosecne stope EUR'!$D$3:$P$3</c:f>
              <c:strCach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VII/2023</c:v>
                </c:pt>
              </c:strCache>
            </c:strRef>
          </c:cat>
          <c:val>
            <c:numRef>
              <c:f>'prosecne stope EUR'!$D$12:$P$12</c:f>
              <c:numCache>
                <c:formatCode>General</c:formatCode>
                <c:ptCount val="13"/>
                <c:pt idx="11" formatCode="0.00%">
                  <c:v>2.5000000000000001E-2</c:v>
                </c:pt>
              </c:numCache>
            </c:numRef>
          </c:val>
          <c:smooth val="0"/>
          <c:extLst>
            <c:ext xmlns:c16="http://schemas.microsoft.com/office/drawing/2014/chart" uri="{C3380CC4-5D6E-409C-BE32-E72D297353CC}">
              <c16:uniqueId val="{00000008-0707-47B7-90CB-7AFA8BB575D9}"/>
            </c:ext>
          </c:extLst>
        </c:ser>
        <c:dLbls>
          <c:showLegendKey val="0"/>
          <c:showVal val="0"/>
          <c:showCatName val="0"/>
          <c:showSerName val="0"/>
          <c:showPercent val="0"/>
          <c:showBubbleSize val="0"/>
        </c:dLbls>
        <c:marker val="1"/>
        <c:smooth val="0"/>
        <c:axId val="193870080"/>
        <c:axId val="193915136"/>
      </c:lineChart>
      <c:catAx>
        <c:axId val="193870080"/>
        <c:scaling>
          <c:orientation val="minMax"/>
        </c:scaling>
        <c:delete val="0"/>
        <c:axPos val="b"/>
        <c:numFmt formatCode="General" sourceLinked="1"/>
        <c:majorTickMark val="out"/>
        <c:minorTickMark val="none"/>
        <c:tickLblPos val="nextTo"/>
        <c:txPr>
          <a:bodyPr/>
          <a:lstStyle/>
          <a:p>
            <a:pPr>
              <a:defRPr sz="800"/>
            </a:pPr>
            <a:endParaRPr lang="sr-Latn-RS"/>
          </a:p>
        </c:txPr>
        <c:crossAx val="193915136"/>
        <c:crosses val="autoZero"/>
        <c:auto val="1"/>
        <c:lblAlgn val="ctr"/>
        <c:lblOffset val="100"/>
        <c:noMultiLvlLbl val="0"/>
      </c:catAx>
      <c:valAx>
        <c:axId val="193915136"/>
        <c:scaling>
          <c:orientation val="minMax"/>
        </c:scaling>
        <c:delete val="0"/>
        <c:axPos val="l"/>
        <c:numFmt formatCode="0.0%" sourceLinked="0"/>
        <c:majorTickMark val="out"/>
        <c:minorTickMark val="none"/>
        <c:tickLblPos val="nextTo"/>
        <c:txPr>
          <a:bodyPr/>
          <a:lstStyle/>
          <a:p>
            <a:pPr>
              <a:defRPr sz="800"/>
            </a:pPr>
            <a:endParaRPr lang="sr-Latn-RS"/>
          </a:p>
        </c:txPr>
        <c:crossAx val="193870080"/>
        <c:crosses val="autoZero"/>
        <c:crossBetween val="between"/>
      </c:valAx>
      <c:spPr>
        <a:noFill/>
      </c:spPr>
    </c:plotArea>
    <c:legend>
      <c:legendPos val="b"/>
      <c:layout>
        <c:manualLayout>
          <c:xMode val="edge"/>
          <c:yMode val="edge"/>
          <c:x val="8.6681762140864163E-2"/>
          <c:y val="0.86955250576135934"/>
          <c:w val="0.87158414757802061"/>
          <c:h val="0.10860592302136002"/>
        </c:manualLayout>
      </c:layout>
      <c:overlay val="0"/>
      <c:txPr>
        <a:bodyPr/>
        <a:lstStyle/>
        <a:p>
          <a:pPr>
            <a:defRPr sz="800"/>
          </a:pPr>
          <a:endParaRPr lang="sr-Latn-RS"/>
        </a:p>
      </c:txPr>
    </c:legend>
    <c:plotVisOnly val="1"/>
    <c:dispBlanksAs val="gap"/>
    <c:showDLblsOverMax val="0"/>
  </c:chart>
  <c:spPr>
    <a:noFill/>
    <a:ln>
      <a:noFill/>
    </a:ln>
  </c:spPr>
  <c:txPr>
    <a:bodyPr/>
    <a:lstStyle/>
    <a:p>
      <a:pPr>
        <a:defRPr>
          <a:latin typeface="+mn-lt"/>
          <a:cs typeface="Arial" panose="020B0604020202020204" pitchFamily="34" charset="0"/>
        </a:defRPr>
      </a:pPr>
      <a:endParaRPr lang="sr-Latn-RS"/>
    </a:p>
  </c:txPr>
  <c:externalData r:id="rId1">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1947013702710755"/>
          <c:y val="0.1159364568431092"/>
          <c:w val="0.7124333482275842"/>
          <c:h val="0.65796894188418298"/>
        </c:manualLayout>
      </c:layout>
      <c:scatterChart>
        <c:scatterStyle val="lineMarker"/>
        <c:varyColors val="0"/>
        <c:ser>
          <c:idx val="0"/>
          <c:order val="0"/>
          <c:tx>
            <c:strRef>
              <c:f>'3Y_OUTPUT'!$C$123</c:f>
              <c:strCache>
                <c:ptCount val="1"/>
                <c:pt idx="0">
                  <c:v>C1</c:v>
                </c:pt>
              </c:strCache>
            </c:strRef>
          </c:tx>
          <c:spPr>
            <a:ln w="25400" cap="flat" cmpd="dbl" algn="ctr">
              <a:solidFill>
                <a:schemeClr val="accent1">
                  <a:alpha val="50000"/>
                </a:schemeClr>
              </a:solidFill>
              <a:round/>
            </a:ln>
            <a:effectLst/>
          </c:spPr>
          <c:marker>
            <c:symbol val="circle"/>
            <c:size val="10"/>
            <c:spPr>
              <a:solidFill>
                <a:srgbClr val="FF0000"/>
              </a:solidFill>
              <a:ln w="9525" cap="flat" cmpd="dbl" algn="ctr">
                <a:solidFill>
                  <a:srgbClr val="FF0000">
                    <a:alpha val="70000"/>
                  </a:srgbClr>
                </a:solidFill>
                <a:round/>
              </a:ln>
              <a:effectLst/>
            </c:spPr>
          </c:marker>
          <c:dLbls>
            <c:dLbl>
              <c:idx val="0"/>
              <c:layout>
                <c:manualLayout>
                  <c:x val="-4.2278996717422966E-3"/>
                  <c:y val="1.2394070391751676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7828-44E2-8AD3-C697D8F45745}"/>
                </c:ext>
              </c:extLst>
            </c:dLbl>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'3Y_OUTPUT'!$C$129</c:f>
              <c:numCache>
                <c:formatCode>0.0</c:formatCode>
                <c:ptCount val="1"/>
                <c:pt idx="0">
                  <c:v>5.7382475172475509</c:v>
                </c:pt>
              </c:numCache>
            </c:numRef>
          </c:xVal>
          <c:yVal>
            <c:numRef>
              <c:f>'3Y_OUTPUT'!$C$124</c:f>
              <c:numCache>
                <c:formatCode>0.0</c:formatCode>
                <c:ptCount val="1"/>
                <c:pt idx="0">
                  <c:v>48.951776214002628</c:v>
                </c:pt>
              </c:numCache>
            </c:numRef>
          </c:yVal>
          <c:smooth val="0"/>
          <c:extLst>
            <c:ext xmlns:c16="http://schemas.microsoft.com/office/drawing/2014/chart" uri="{C3380CC4-5D6E-409C-BE32-E72D297353CC}">
              <c16:uniqueId val="{00000001-7828-44E2-8AD3-C697D8F45745}"/>
            </c:ext>
          </c:extLst>
        </c:ser>
        <c:ser>
          <c:idx val="1"/>
          <c:order val="1"/>
          <c:tx>
            <c:strRef>
              <c:f>'3Y_OUTPUT'!$D$123</c:f>
              <c:strCache>
                <c:ptCount val="1"/>
                <c:pt idx="0">
                  <c:v>C2</c:v>
                </c:pt>
              </c:strCache>
            </c:strRef>
          </c:tx>
          <c:spPr>
            <a:ln w="127000" cap="flat" cmpd="dbl" algn="ctr">
              <a:solidFill>
                <a:srgbClr val="00B050">
                  <a:alpha val="50000"/>
                </a:srgbClr>
              </a:solidFill>
              <a:round/>
            </a:ln>
            <a:effectLst/>
          </c:spPr>
          <c:marker>
            <c:symbol val="circle"/>
            <c:size val="10"/>
            <c:spPr>
              <a:solidFill>
                <a:srgbClr val="00B050"/>
              </a:solidFill>
              <a:ln w="9525" cap="flat" cmpd="dbl" algn="ctr">
                <a:solidFill>
                  <a:srgbClr val="00B050">
                    <a:alpha val="70000"/>
                  </a:srgbClr>
                </a:solid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'3Y_OUTPUT'!$D$129</c:f>
              <c:numCache>
                <c:formatCode>0.0</c:formatCode>
                <c:ptCount val="1"/>
                <c:pt idx="0">
                  <c:v>6.178805033789935</c:v>
                </c:pt>
              </c:numCache>
            </c:numRef>
          </c:xVal>
          <c:yVal>
            <c:numRef>
              <c:f>'3Y_OUTPUT'!$D$124</c:f>
              <c:numCache>
                <c:formatCode>0.0</c:formatCode>
                <c:ptCount val="1"/>
                <c:pt idx="0">
                  <c:v>49.464658944549413</c:v>
                </c:pt>
              </c:numCache>
            </c:numRef>
          </c:yVal>
          <c:smooth val="0"/>
          <c:extLst>
            <c:ext xmlns:c16="http://schemas.microsoft.com/office/drawing/2014/chart" uri="{C3380CC4-5D6E-409C-BE32-E72D297353CC}">
              <c16:uniqueId val="{00000002-7828-44E2-8AD3-C697D8F45745}"/>
            </c:ext>
          </c:extLst>
        </c:ser>
        <c:ser>
          <c:idx val="2"/>
          <c:order val="2"/>
          <c:tx>
            <c:strRef>
              <c:f>'3Y_OUTPUT'!$E$123</c:f>
              <c:strCache>
                <c:ptCount val="1"/>
                <c:pt idx="0">
                  <c:v>C3</c:v>
                </c:pt>
              </c:strCache>
            </c:strRef>
          </c:tx>
          <c:spPr>
            <a:ln w="127000" cap="flat" cmpd="dbl" algn="ctr">
              <a:solidFill>
                <a:srgbClr val="9BBB59">
                  <a:alpha val="50000"/>
                </a:srgbClr>
              </a:solidFill>
              <a:round/>
            </a:ln>
            <a:effectLst/>
          </c:spPr>
          <c:marker>
            <c:symbol val="circle"/>
            <c:size val="10"/>
            <c:spPr>
              <a:solidFill>
                <a:srgbClr val="7030A0"/>
              </a:solidFill>
              <a:ln w="9525" cap="flat" cmpd="dbl" algn="ctr">
                <a:solidFill>
                  <a:srgbClr val="7030A0">
                    <a:alpha val="70000"/>
                  </a:srgbClr>
                </a:solidFill>
                <a:round/>
              </a:ln>
              <a:effectLst/>
            </c:spPr>
          </c:marker>
          <c:dLbls>
            <c:dLbl>
              <c:idx val="0"/>
              <c:layout>
                <c:manualLayout>
                  <c:x val="1.8112480988097867E-4"/>
                  <c:y val="2.0671791853244248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3-7828-44E2-8AD3-C697D8F45745}"/>
                </c:ext>
              </c:extLst>
            </c:dLbl>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'3Y_OUTPUT'!$E$129</c:f>
              <c:numCache>
                <c:formatCode>0.0</c:formatCode>
                <c:ptCount val="1"/>
                <c:pt idx="0">
                  <c:v>6.1148446183151393</c:v>
                </c:pt>
              </c:numCache>
            </c:numRef>
          </c:xVal>
          <c:yVal>
            <c:numRef>
              <c:f>'3Y_OUTPUT'!$E$124</c:f>
              <c:numCache>
                <c:formatCode>0.0</c:formatCode>
                <c:ptCount val="1"/>
                <c:pt idx="0">
                  <c:v>49.000271902012884</c:v>
                </c:pt>
              </c:numCache>
            </c:numRef>
          </c:yVal>
          <c:smooth val="0"/>
          <c:extLst>
            <c:ext xmlns:c16="http://schemas.microsoft.com/office/drawing/2014/chart" uri="{C3380CC4-5D6E-409C-BE32-E72D297353CC}">
              <c16:uniqueId val="{00000004-7828-44E2-8AD3-C697D8F45745}"/>
            </c:ext>
          </c:extLst>
        </c:ser>
        <c:ser>
          <c:idx val="3"/>
          <c:order val="3"/>
          <c:tx>
            <c:strRef>
              <c:f>'3Y_OUTPUT'!$F$123</c:f>
              <c:strCache>
                <c:ptCount val="1"/>
                <c:pt idx="0">
                  <c:v>C4</c:v>
                </c:pt>
              </c:strCache>
            </c:strRef>
          </c:tx>
          <c:spPr>
            <a:ln w="25400" cap="flat" cmpd="dbl" algn="ctr">
              <a:noFill/>
              <a:round/>
            </a:ln>
            <a:effectLst/>
          </c:spPr>
          <c:marker>
            <c:symbol val="circle"/>
            <c:size val="10"/>
            <c:spPr>
              <a:solidFill>
                <a:srgbClr val="1F497D">
                  <a:alpha val="98000"/>
                </a:srgbClr>
              </a:solidFill>
              <a:ln w="9525" cap="flat" cmpd="dbl" algn="ctr">
                <a:solidFill>
                  <a:srgbClr val="1F497D">
                    <a:alpha val="70000"/>
                  </a:srgbClr>
                </a:solid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'3Y_OUTPUT'!$F$129</c:f>
              <c:numCache>
                <c:formatCode>0.0</c:formatCode>
                <c:ptCount val="1"/>
                <c:pt idx="0">
                  <c:v>4.729155290997511</c:v>
                </c:pt>
              </c:numCache>
            </c:numRef>
          </c:xVal>
          <c:yVal>
            <c:numRef>
              <c:f>'3Y_OUTPUT'!$F$124</c:f>
              <c:numCache>
                <c:formatCode>0.0</c:formatCode>
                <c:ptCount val="1"/>
                <c:pt idx="0">
                  <c:v>49.13332561784194</c:v>
                </c:pt>
              </c:numCache>
            </c:numRef>
          </c:yVal>
          <c:smooth val="0"/>
          <c:extLst>
            <c:ext xmlns:c16="http://schemas.microsoft.com/office/drawing/2014/chart" uri="{C3380CC4-5D6E-409C-BE32-E72D297353CC}">
              <c16:uniqueId val="{00000005-7828-44E2-8AD3-C697D8F45745}"/>
            </c:ext>
          </c:extLst>
        </c:ser>
        <c:dLbls>
          <c:showLegendKey val="0"/>
          <c:showVal val="0"/>
          <c:showCatName val="0"/>
          <c:showSerName val="0"/>
          <c:showPercent val="0"/>
          <c:showBubbleSize val="0"/>
        </c:dLbls>
        <c:axId val="253667200"/>
        <c:axId val="253681664"/>
      </c:scatterChart>
      <c:valAx>
        <c:axId val="253667200"/>
        <c:scaling>
          <c:orientation val="minMax"/>
          <c:max val="6.5"/>
          <c:min val="4.5"/>
        </c:scaling>
        <c:delete val="0"/>
        <c:axPos val="b"/>
        <c:majorGridlines>
          <c:spPr>
            <a:ln w="9525" cap="flat" cmpd="sng" algn="ctr">
              <a:noFill/>
              <a:round/>
            </a:ln>
            <a:effectLst/>
          </c:spPr>
        </c:majorGridlines>
        <c:minorGridlines>
          <c:spPr>
            <a:ln w="9525" cap="flat" cmpd="sng" algn="ctr">
              <a:noFill/>
              <a:round/>
            </a:ln>
            <a:effectLst/>
          </c:spPr>
        </c:minorGridlines>
        <c:title>
          <c:tx>
            <c:rich>
              <a:bodyPr rot="0" vert="horz"/>
              <a:lstStyle/>
              <a:p>
                <a:pPr>
                  <a:defRPr>
                    <a:solidFill>
                      <a:schemeClr val="accent1">
                        <a:lumMod val="75000"/>
                      </a:schemeClr>
                    </a:solidFill>
                    <a:latin typeface="Calibri" panose="020F0502020204030204" pitchFamily="34" charset="0"/>
                    <a:cs typeface="Calibri" panose="020F0502020204030204" pitchFamily="34" charset="0"/>
                  </a:defRPr>
                </a:pPr>
                <a:r>
                  <a:rPr lang="sr-Cyrl-BA">
                    <a:solidFill>
                      <a:schemeClr val="accent1">
                        <a:lumMod val="75000"/>
                      </a:schemeClr>
                    </a:solidFill>
                    <a:latin typeface="Calibri" panose="020F0502020204030204" pitchFamily="34" charset="0"/>
                    <a:cs typeface="Calibri" panose="020F0502020204030204" pitchFamily="34" charset="0"/>
                  </a:rPr>
                  <a:t>Ризик</a:t>
                </a:r>
              </a:p>
            </c:rich>
          </c:tx>
          <c:layout>
            <c:manualLayout>
              <c:xMode val="edge"/>
              <c:yMode val="edge"/>
              <c:x val="0.4712499835945263"/>
              <c:y val="0.935530611677861"/>
            </c:manualLayout>
          </c:layout>
          <c:overlay val="0"/>
          <c:spPr>
            <a:noFill/>
            <a:ln>
              <a:noFill/>
            </a:ln>
            <a:effectLst/>
          </c:spPr>
        </c:title>
        <c:numFmt formatCode="0.0" sourceLinked="0"/>
        <c:majorTickMark val="none"/>
        <c:minorTickMark val="none"/>
        <c:tickLblPos val="nextTo"/>
        <c:spPr>
          <a:noFill/>
          <a:ln>
            <a:noFill/>
          </a:ln>
          <a:effectLst/>
        </c:spPr>
        <c:txPr>
          <a:bodyPr rot="0"/>
          <a:lstStyle/>
          <a:p>
            <a:pPr>
              <a:defRPr sz="800">
                <a:solidFill>
                  <a:schemeClr val="accent1">
                    <a:lumMod val="75000"/>
                  </a:schemeClr>
                </a:solidFill>
                <a:latin typeface="Calibri" panose="020F0502020204030204" pitchFamily="34" charset="0"/>
                <a:cs typeface="Calibri" panose="020F0502020204030204" pitchFamily="34" charset="0"/>
              </a:defRPr>
            </a:pPr>
            <a:endParaRPr lang="sr-Latn-RS"/>
          </a:p>
        </c:txPr>
        <c:crossAx val="253681664"/>
        <c:crosses val="autoZero"/>
        <c:crossBetween val="midCat"/>
        <c:majorUnit val="0.5"/>
        <c:minorUnit val="0.1"/>
      </c:valAx>
      <c:valAx>
        <c:axId val="253681664"/>
        <c:scaling>
          <c:orientation val="minMax"/>
          <c:max val="50"/>
          <c:min val="48"/>
        </c:scaling>
        <c:delete val="0"/>
        <c:axPos val="l"/>
        <c:majorGridlines>
          <c:spPr>
            <a:ln w="9525" cap="flat" cmpd="sng" algn="ctr">
              <a:noFill/>
              <a:round/>
            </a:ln>
            <a:effectLst/>
          </c:spPr>
        </c:majorGridlines>
        <c:minorGridlines>
          <c:spPr>
            <a:ln w="9525" cap="flat" cmpd="sng" algn="ctr">
              <a:noFill/>
              <a:round/>
            </a:ln>
            <a:effectLst/>
          </c:spPr>
        </c:minorGridlines>
        <c:title>
          <c:tx>
            <c:rich>
              <a:bodyPr rot="-5400000" vert="horz"/>
              <a:lstStyle/>
              <a:p>
                <a:pPr>
                  <a:defRPr>
                    <a:solidFill>
                      <a:schemeClr val="accent1">
                        <a:lumMod val="75000"/>
                      </a:schemeClr>
                    </a:solidFill>
                    <a:latin typeface="Calibri" panose="020F0502020204030204" pitchFamily="34" charset="0"/>
                    <a:cs typeface="Calibri" panose="020F0502020204030204" pitchFamily="34" charset="0"/>
                  </a:defRPr>
                </a:pPr>
                <a:r>
                  <a:rPr lang="sr-Cyrl-BA">
                    <a:solidFill>
                      <a:schemeClr val="accent1">
                        <a:lumMod val="75000"/>
                      </a:schemeClr>
                    </a:solidFill>
                    <a:latin typeface="Calibri" panose="020F0502020204030204" pitchFamily="34" charset="0"/>
                    <a:cs typeface="Calibri" panose="020F0502020204030204" pitchFamily="34" charset="0"/>
                  </a:rPr>
                  <a:t>Трошкови (%)</a:t>
                </a:r>
              </a:p>
            </c:rich>
          </c:tx>
          <c:layout>
            <c:manualLayout>
              <c:xMode val="edge"/>
              <c:yMode val="edge"/>
              <c:x val="4.2641600474437186E-3"/>
              <c:y val="0.32453201268393489"/>
            </c:manualLayout>
          </c:layout>
          <c:overlay val="0"/>
          <c:spPr>
            <a:noFill/>
            <a:ln>
              <a:noFill/>
            </a:ln>
            <a:effectLst/>
          </c:spPr>
        </c:title>
        <c:numFmt formatCode="0.0" sourceLinked="0"/>
        <c:majorTickMark val="none"/>
        <c:minorTickMark val="none"/>
        <c:tickLblPos val="nextTo"/>
        <c:spPr>
          <a:noFill/>
          <a:ln>
            <a:noFill/>
          </a:ln>
          <a:effectLst/>
        </c:spPr>
        <c:txPr>
          <a:bodyPr rot="0"/>
          <a:lstStyle/>
          <a:p>
            <a:pPr>
              <a:defRPr sz="800">
                <a:solidFill>
                  <a:schemeClr val="accent1">
                    <a:lumMod val="75000"/>
                  </a:schemeClr>
                </a:solidFill>
                <a:latin typeface="Calibri" panose="020F0502020204030204" pitchFamily="34" charset="0"/>
                <a:cs typeface="Calibri" panose="020F0502020204030204" pitchFamily="34" charset="0"/>
              </a:defRPr>
            </a:pPr>
            <a:endParaRPr lang="sr-Latn-RS"/>
          </a:p>
        </c:txPr>
        <c:crossAx val="253667200"/>
        <c:crosses val="autoZero"/>
        <c:crossBetween val="midCat"/>
        <c:majorUnit val="1"/>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Cambria" panose="02040503050406030204" pitchFamily="18" charset="0"/>
        </a:defRPr>
      </a:pPr>
      <a:endParaRPr lang="sr-Latn-RS"/>
    </a:p>
  </c:txPr>
  <c:externalData r:id="rId2">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632893952934166"/>
          <c:y val="8.3992045285606692E-2"/>
          <c:w val="0.73758452487339898"/>
          <c:h val="0.7112994754411065"/>
        </c:manualLayout>
      </c:layout>
      <c:scatterChart>
        <c:scatterStyle val="lineMarker"/>
        <c:varyColors val="0"/>
        <c:ser>
          <c:idx val="0"/>
          <c:order val="0"/>
          <c:tx>
            <c:strRef>
              <c:f>'3Y_OUTPUT'!$C$133</c:f>
              <c:strCache>
                <c:ptCount val="1"/>
                <c:pt idx="0">
                  <c:v>C1</c:v>
                </c:pt>
              </c:strCache>
            </c:strRef>
          </c:tx>
          <c:spPr>
            <a:ln w="25400" cap="flat" cmpd="dbl" algn="ctr">
              <a:solidFill>
                <a:schemeClr val="accent1">
                  <a:alpha val="50000"/>
                </a:schemeClr>
              </a:solidFill>
              <a:round/>
            </a:ln>
            <a:effectLst/>
          </c:spPr>
          <c:marker>
            <c:symbol val="circle"/>
            <c:size val="10"/>
            <c:spPr>
              <a:solidFill>
                <a:srgbClr val="FF0000"/>
              </a:solidFill>
              <a:ln w="9525" cap="flat" cmpd="dbl" algn="ctr">
                <a:solidFill>
                  <a:srgbClr val="FF0000">
                    <a:alpha val="70000"/>
                  </a:srgbClr>
                </a:solidFill>
                <a:round/>
              </a:ln>
              <a:effectLst/>
            </c:spPr>
          </c:marker>
          <c:dLbls>
            <c:dLbl>
              <c:idx val="0"/>
              <c:layout>
                <c:manualLayout>
                  <c:x val="-3.2175287618487314E-2"/>
                  <c:y val="-7.1866411397682443E-17"/>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AC25-4E1E-B4F8-566CDB170102}"/>
                </c:ext>
              </c:extLst>
            </c:dLbl>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'3Y_OUTPUT'!$C$139</c:f>
              <c:numCache>
                <c:formatCode>0.0</c:formatCode>
                <c:ptCount val="1"/>
                <c:pt idx="0">
                  <c:v>0.75186404801126905</c:v>
                </c:pt>
              </c:numCache>
            </c:numRef>
          </c:xVal>
          <c:yVal>
            <c:numRef>
              <c:f>'3Y_OUTPUT'!$C$134</c:f>
              <c:numCache>
                <c:formatCode>0.0</c:formatCode>
                <c:ptCount val="1"/>
                <c:pt idx="0">
                  <c:v>2.3143556210615865</c:v>
                </c:pt>
              </c:numCache>
            </c:numRef>
          </c:yVal>
          <c:smooth val="0"/>
          <c:extLst>
            <c:ext xmlns:c16="http://schemas.microsoft.com/office/drawing/2014/chart" uri="{C3380CC4-5D6E-409C-BE32-E72D297353CC}">
              <c16:uniqueId val="{00000001-AC25-4E1E-B4F8-566CDB170102}"/>
            </c:ext>
          </c:extLst>
        </c:ser>
        <c:ser>
          <c:idx val="1"/>
          <c:order val="1"/>
          <c:tx>
            <c:strRef>
              <c:f>'3Y_OUTPUT'!$D$133</c:f>
              <c:strCache>
                <c:ptCount val="1"/>
                <c:pt idx="0">
                  <c:v>C2</c:v>
                </c:pt>
              </c:strCache>
            </c:strRef>
          </c:tx>
          <c:spPr>
            <a:ln w="25400" cap="flat" cmpd="dbl" algn="ctr">
              <a:noFill/>
              <a:round/>
            </a:ln>
            <a:effectLst/>
          </c:spPr>
          <c:marker>
            <c:symbol val="circle"/>
            <c:size val="10"/>
            <c:spPr>
              <a:solidFill>
                <a:srgbClr val="00B050"/>
              </a:solidFill>
              <a:ln w="34925" cap="flat" cmpd="dbl" algn="ctr">
                <a:no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'3Y_OUTPUT'!$D$139</c:f>
              <c:numCache>
                <c:formatCode>0.0</c:formatCode>
                <c:ptCount val="1"/>
                <c:pt idx="0">
                  <c:v>0.80392279807528411</c:v>
                </c:pt>
              </c:numCache>
            </c:numRef>
          </c:xVal>
          <c:yVal>
            <c:numRef>
              <c:f>'3Y_OUTPUT'!$D$134</c:f>
              <c:numCache>
                <c:formatCode>0.0</c:formatCode>
                <c:ptCount val="1"/>
                <c:pt idx="0">
                  <c:v>2.6303976349850622</c:v>
                </c:pt>
              </c:numCache>
            </c:numRef>
          </c:yVal>
          <c:smooth val="0"/>
          <c:extLst>
            <c:ext xmlns:c16="http://schemas.microsoft.com/office/drawing/2014/chart" uri="{C3380CC4-5D6E-409C-BE32-E72D297353CC}">
              <c16:uniqueId val="{00000002-AC25-4E1E-B4F8-566CDB170102}"/>
            </c:ext>
          </c:extLst>
        </c:ser>
        <c:ser>
          <c:idx val="2"/>
          <c:order val="2"/>
          <c:tx>
            <c:strRef>
              <c:f>'3Y_OUTPUT'!$E$133</c:f>
              <c:strCache>
                <c:ptCount val="1"/>
                <c:pt idx="0">
                  <c:v>C3</c:v>
                </c:pt>
              </c:strCache>
            </c:strRef>
          </c:tx>
          <c:spPr>
            <a:ln w="25400" cap="flat" cmpd="dbl" algn="ctr">
              <a:solidFill>
                <a:schemeClr val="accent3">
                  <a:alpha val="50000"/>
                </a:schemeClr>
              </a:solidFill>
              <a:round/>
            </a:ln>
            <a:effectLst/>
          </c:spPr>
          <c:marker>
            <c:symbol val="circle"/>
            <c:size val="10"/>
            <c:spPr>
              <a:solidFill>
                <a:srgbClr val="7030A0"/>
              </a:solidFill>
              <a:ln w="9525" cap="flat" cmpd="dbl" algn="ctr">
                <a:solidFill>
                  <a:srgbClr val="7030A0">
                    <a:alpha val="70000"/>
                  </a:srgbClr>
                </a:solidFill>
                <a:round/>
              </a:ln>
              <a:effectLst/>
            </c:spPr>
          </c:marker>
          <c:dLbls>
            <c:dLbl>
              <c:idx val="0"/>
              <c:layout>
                <c:manualLayout>
                  <c:x val="0"/>
                  <c:y val="-7.1866411397682443E-17"/>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5-AC25-4E1E-B4F8-566CDB170102}"/>
                </c:ext>
              </c:extLst>
            </c:dLbl>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'3Y_OUTPUT'!$E$139</c:f>
              <c:numCache>
                <c:formatCode>0.0</c:formatCode>
                <c:ptCount val="1"/>
                <c:pt idx="0">
                  <c:v>0.79066509541212326</c:v>
                </c:pt>
              </c:numCache>
            </c:numRef>
          </c:xVal>
          <c:yVal>
            <c:numRef>
              <c:f>'3Y_OUTPUT'!$E$134</c:f>
              <c:numCache>
                <c:formatCode>0.0</c:formatCode>
                <c:ptCount val="1"/>
                <c:pt idx="0">
                  <c:v>2.3426722453504443</c:v>
                </c:pt>
              </c:numCache>
            </c:numRef>
          </c:yVal>
          <c:smooth val="0"/>
          <c:extLst>
            <c:ext xmlns:c16="http://schemas.microsoft.com/office/drawing/2014/chart" uri="{C3380CC4-5D6E-409C-BE32-E72D297353CC}">
              <c16:uniqueId val="{00000003-AC25-4E1E-B4F8-566CDB170102}"/>
            </c:ext>
          </c:extLst>
        </c:ser>
        <c:ser>
          <c:idx val="3"/>
          <c:order val="3"/>
          <c:tx>
            <c:strRef>
              <c:f>'3Y_OUTPUT'!$F$133</c:f>
              <c:strCache>
                <c:ptCount val="1"/>
                <c:pt idx="0">
                  <c:v>C4</c:v>
                </c:pt>
              </c:strCache>
            </c:strRef>
          </c:tx>
          <c:spPr>
            <a:ln w="25400" cap="flat" cmpd="dbl" algn="ctr">
              <a:solidFill>
                <a:schemeClr val="accent4">
                  <a:alpha val="50000"/>
                </a:schemeClr>
              </a:solidFill>
              <a:round/>
            </a:ln>
            <a:effectLst/>
          </c:spPr>
          <c:marker>
            <c:symbol val="circle"/>
            <c:size val="10"/>
            <c:spPr>
              <a:solidFill>
                <a:srgbClr val="0070C0"/>
              </a:solidFill>
              <a:ln w="9525" cap="flat" cmpd="dbl" algn="ctr">
                <a:solidFill>
                  <a:srgbClr val="0070C0">
                    <a:alpha val="70000"/>
                  </a:srgbClr>
                </a:solid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'3Y_OUTPUT'!$F$139</c:f>
              <c:numCache>
                <c:formatCode>0.0</c:formatCode>
                <c:ptCount val="1"/>
                <c:pt idx="0">
                  <c:v>0.96805212176158451</c:v>
                </c:pt>
              </c:numCache>
            </c:numRef>
          </c:xVal>
          <c:yVal>
            <c:numRef>
              <c:f>'3Y_OUTPUT'!$F$134</c:f>
              <c:numCache>
                <c:formatCode>0.0</c:formatCode>
                <c:ptCount val="1"/>
                <c:pt idx="0">
                  <c:v>2.5196800291659143</c:v>
                </c:pt>
              </c:numCache>
            </c:numRef>
          </c:yVal>
          <c:smooth val="0"/>
          <c:extLst>
            <c:ext xmlns:c16="http://schemas.microsoft.com/office/drawing/2014/chart" uri="{C3380CC4-5D6E-409C-BE32-E72D297353CC}">
              <c16:uniqueId val="{00000004-AC25-4E1E-B4F8-566CDB170102}"/>
            </c:ext>
          </c:extLst>
        </c:ser>
        <c:dLbls>
          <c:showLegendKey val="0"/>
          <c:showVal val="0"/>
          <c:showCatName val="0"/>
          <c:showSerName val="0"/>
          <c:showPercent val="0"/>
          <c:showBubbleSize val="0"/>
        </c:dLbls>
        <c:axId val="253612416"/>
        <c:axId val="253614336"/>
      </c:scatterChart>
      <c:valAx>
        <c:axId val="253612416"/>
        <c:scaling>
          <c:orientation val="minMax"/>
          <c:max val="1.02"/>
          <c:min val="0.70000000000000007"/>
        </c:scaling>
        <c:delete val="0"/>
        <c:axPos val="b"/>
        <c:majorGridlines>
          <c:spPr>
            <a:ln w="9525" cap="flat" cmpd="sng" algn="ctr">
              <a:noFill/>
              <a:prstDash val="dash"/>
              <a:round/>
            </a:ln>
            <a:effectLst/>
          </c:spPr>
        </c:majorGridlines>
        <c:minorGridlines>
          <c:spPr>
            <a:ln w="9525" cap="flat" cmpd="sng" algn="ctr">
              <a:solidFill>
                <a:sysClr val="window" lastClr="FFFFFF"/>
              </a:solidFill>
              <a:round/>
            </a:ln>
            <a:effectLst/>
          </c:spPr>
        </c:minorGridlines>
        <c:title>
          <c:tx>
            <c:rich>
              <a:bodyPr rot="0" vert="horz"/>
              <a:lstStyle/>
              <a:p>
                <a:pPr>
                  <a:defRPr>
                    <a:solidFill>
                      <a:schemeClr val="accent1">
                        <a:lumMod val="75000"/>
                      </a:schemeClr>
                    </a:solidFill>
                  </a:defRPr>
                </a:pPr>
                <a:r>
                  <a:rPr lang="sr-Cyrl-RS">
                    <a:solidFill>
                      <a:schemeClr val="accent1">
                        <a:lumMod val="75000"/>
                      </a:schemeClr>
                    </a:solidFill>
                  </a:rPr>
                  <a:t>Ризик</a:t>
                </a:r>
              </a:p>
            </c:rich>
          </c:tx>
          <c:layout>
            <c:manualLayout>
              <c:xMode val="edge"/>
              <c:yMode val="edge"/>
              <c:x val="0.47124973398595482"/>
              <c:y val="0.92970168612191961"/>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sz="800">
                <a:solidFill>
                  <a:schemeClr val="accent1">
                    <a:lumMod val="75000"/>
                  </a:schemeClr>
                </a:solidFill>
              </a:defRPr>
            </a:pPr>
            <a:endParaRPr lang="sr-Latn-RS"/>
          </a:p>
        </c:txPr>
        <c:crossAx val="253614336"/>
        <c:crosses val="autoZero"/>
        <c:crossBetween val="midCat"/>
      </c:valAx>
      <c:valAx>
        <c:axId val="253614336"/>
        <c:scaling>
          <c:orientation val="minMax"/>
          <c:max val="2.8"/>
          <c:min val="2"/>
        </c:scaling>
        <c:delete val="0"/>
        <c:axPos val="l"/>
        <c:majorGridlines>
          <c:spPr>
            <a:ln w="9525" cap="flat" cmpd="sng" algn="ctr">
              <a:noFill/>
              <a:prstDash val="dash"/>
              <a:round/>
            </a:ln>
            <a:effectLst/>
          </c:spPr>
        </c:majorGridlines>
        <c:minorGridlines>
          <c:spPr>
            <a:ln w="9525" cap="flat" cmpd="sng" algn="ctr">
              <a:noFill/>
              <a:round/>
            </a:ln>
            <a:effectLst/>
          </c:spPr>
        </c:minorGridlines>
        <c:title>
          <c:tx>
            <c:rich>
              <a:bodyPr rot="-5400000" vert="horz"/>
              <a:lstStyle/>
              <a:p>
                <a:pPr>
                  <a:defRPr>
                    <a:solidFill>
                      <a:schemeClr val="accent5">
                        <a:lumMod val="50000"/>
                      </a:schemeClr>
                    </a:solidFill>
                  </a:defRPr>
                </a:pPr>
                <a:r>
                  <a:rPr lang="sr-Cyrl-CS">
                    <a:solidFill>
                      <a:schemeClr val="accent5">
                        <a:lumMod val="50000"/>
                      </a:schemeClr>
                    </a:solidFill>
                  </a:rPr>
                  <a:t>Трошкови (%)</a:t>
                </a:r>
              </a:p>
            </c:rich>
          </c:tx>
          <c:layout>
            <c:manualLayout>
              <c:xMode val="edge"/>
              <c:yMode val="edge"/>
              <c:x val="5.5101280905570449E-3"/>
              <c:y val="0.26999821173104432"/>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sz="800">
                <a:solidFill>
                  <a:schemeClr val="accent1">
                    <a:lumMod val="75000"/>
                  </a:schemeClr>
                </a:solidFill>
              </a:defRPr>
            </a:pPr>
            <a:endParaRPr lang="sr-Latn-RS"/>
          </a:p>
        </c:txPr>
        <c:crossAx val="253612416"/>
        <c:crosses val="autoZero"/>
        <c:crossBetween val="midCat"/>
        <c:majorUnit val="0.2"/>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Calibri" panose="020F0502020204030204" pitchFamily="34" charset="0"/>
          <a:cs typeface="Calibri" panose="020F0502020204030204" pitchFamily="34" charset="0"/>
        </a:defRPr>
      </a:pPr>
      <a:endParaRPr lang="sr-Latn-RS"/>
    </a:p>
  </c:txPr>
  <c:externalData r:id="rId1">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0"/>
    <c:plotArea>
      <c:layout>
        <c:manualLayout>
          <c:layoutTarget val="inner"/>
          <c:xMode val="edge"/>
          <c:yMode val="edge"/>
          <c:x val="6.7368051268925991E-2"/>
          <c:y val="2.4498269896193772E-2"/>
          <c:w val="0.9372012977727866"/>
          <c:h val="0.90122138542350005"/>
        </c:manualLayout>
      </c:layout>
      <c:lineChart>
        <c:grouping val="standard"/>
        <c:varyColors val="0"/>
        <c:ser>
          <c:idx val="0"/>
          <c:order val="0"/>
          <c:spPr>
            <a:ln w="28575" cap="rnd" cmpd="sng" algn="ctr">
              <a:solidFill>
                <a:schemeClr val="accent1">
                  <a:shade val="40000"/>
                  <a:shade val="95000"/>
                  <a:satMod val="105000"/>
                </a:schemeClr>
              </a:solidFill>
              <a:prstDash val="solid"/>
              <a:round/>
            </a:ln>
            <a:effectLst/>
          </c:spPr>
          <c:marker>
            <c:spPr>
              <a:solidFill>
                <a:schemeClr val="accent1">
                  <a:shade val="38000"/>
                </a:schemeClr>
              </a:solidFill>
              <a:ln w="9525" cap="flat" cmpd="sng" algn="ctr">
                <a:solidFill>
                  <a:schemeClr val="accent1">
                    <a:shade val="38000"/>
                    <a:shade val="95000"/>
                    <a:satMod val="105000"/>
                  </a:schemeClr>
                </a:solidFill>
                <a:prstDash val="solid"/>
                <a:round/>
              </a:ln>
              <a:effectLst/>
            </c:spPr>
          </c:marker>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kursa'!$H$50:$Q$50</c:f>
              <c:numCache>
                <c:formatCode>General</c:formatCode>
                <c:ptCount val="10"/>
                <c:pt idx="0">
                  <c:v>2016</c:v>
                </c:pt>
                <c:pt idx="1">
                  <c:v>2017</c:v>
                </c:pt>
                <c:pt idx="2">
                  <c:v>2018</c:v>
                </c:pt>
                <c:pt idx="3">
                  <c:v>2019</c:v>
                </c:pt>
                <c:pt idx="4">
                  <c:v>2020</c:v>
                </c:pt>
                <c:pt idx="5">
                  <c:v>2021</c:v>
                </c:pt>
                <c:pt idx="6">
                  <c:v>2022</c:v>
                </c:pt>
                <c:pt idx="7">
                  <c:v>2023</c:v>
                </c:pt>
                <c:pt idx="8">
                  <c:v>2024</c:v>
                </c:pt>
                <c:pt idx="9">
                  <c:v>2025</c:v>
                </c:pt>
              </c:numCache>
            </c:numRef>
          </c:val>
          <c:smooth val="0"/>
          <c:extLst>
            <c:ext xmlns:c16="http://schemas.microsoft.com/office/drawing/2014/chart" uri="{C3380CC4-5D6E-409C-BE32-E72D297353CC}">
              <c16:uniqueId val="{00000000-9759-47D7-B1AB-E098BA42F9BE}"/>
            </c:ext>
          </c:extLst>
        </c:ser>
        <c:ser>
          <c:idx val="1"/>
          <c:order val="1"/>
          <c:spPr>
            <a:ln w="28575" cap="rnd" cmpd="sng" algn="ctr">
              <a:solidFill>
                <a:schemeClr val="accent1">
                  <a:shade val="51000"/>
                  <a:shade val="95000"/>
                  <a:satMod val="105000"/>
                </a:schemeClr>
              </a:solidFill>
              <a:prstDash val="solid"/>
              <a:round/>
            </a:ln>
            <a:effectLst/>
          </c:spPr>
          <c:marker>
            <c:symbol val="diamond"/>
            <c:size val="10"/>
            <c:spPr>
              <a:solidFill>
                <a:schemeClr val="accent1">
                  <a:shade val="45000"/>
                </a:schemeClr>
              </a:solidFill>
              <a:ln w="9525" cap="flat" cmpd="sng" algn="ctr">
                <a:solidFill>
                  <a:schemeClr val="accent1">
                    <a:shade val="45000"/>
                    <a:shade val="95000"/>
                    <a:satMod val="105000"/>
                  </a:schemeClr>
                </a:solidFill>
                <a:prstDash val="solid"/>
                <a:round/>
              </a:ln>
              <a:effectLst/>
            </c:spPr>
          </c:marker>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kursa'!$H$51:$R$51</c:f>
              <c:numCache>
                <c:formatCode>#,##0.0</c:formatCode>
                <c:ptCount val="11"/>
                <c:pt idx="0">
                  <c:v>67.678479463063553</c:v>
                </c:pt>
                <c:pt idx="1">
                  <c:v>57.788223811969416</c:v>
                </c:pt>
                <c:pt idx="2">
                  <c:v>53.621882530067857</c:v>
                </c:pt>
                <c:pt idx="3">
                  <c:v>51.9</c:v>
                </c:pt>
                <c:pt idx="4">
                  <c:v>57</c:v>
                </c:pt>
                <c:pt idx="5">
                  <c:v>56.510139896775023</c:v>
                </c:pt>
                <c:pt idx="6">
                  <c:v>55.1</c:v>
                </c:pt>
                <c:pt idx="7">
                  <c:v>52.741453141425154</c:v>
                </c:pt>
                <c:pt idx="8">
                  <c:v>50.980683894634183</c:v>
                </c:pt>
                <c:pt idx="9">
                  <c:v>49.88577021226795</c:v>
                </c:pt>
                <c:pt idx="10">
                  <c:v>48.952468003463792</c:v>
                </c:pt>
              </c:numCache>
            </c:numRef>
          </c:val>
          <c:smooth val="0"/>
          <c:extLst>
            <c:ext xmlns:c16="http://schemas.microsoft.com/office/drawing/2014/chart" uri="{C3380CC4-5D6E-409C-BE32-E72D297353CC}">
              <c16:uniqueId val="{00000001-9759-47D7-B1AB-E098BA42F9BE}"/>
            </c:ext>
          </c:extLst>
        </c:ser>
        <c:ser>
          <c:idx val="2"/>
          <c:order val="2"/>
          <c:spPr>
            <a:ln w="28575" cap="rnd" cmpd="sng" algn="ctr">
              <a:solidFill>
                <a:schemeClr val="accent1">
                  <a:shade val="62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kursa'!$H$52:$R$52</c:f>
              <c:numCache>
                <c:formatCode>#,##0.0</c:formatCode>
                <c:ptCount val="11"/>
                <c:pt idx="0">
                  <c:v>67.678479463063553</c:v>
                </c:pt>
                <c:pt idx="1">
                  <c:v>57.788223811969416</c:v>
                </c:pt>
                <c:pt idx="2">
                  <c:v>53.621882530067857</c:v>
                </c:pt>
                <c:pt idx="3">
                  <c:v>51.9</c:v>
                </c:pt>
                <c:pt idx="4">
                  <c:v>57</c:v>
                </c:pt>
                <c:pt idx="5">
                  <c:v>56.510139896775023</c:v>
                </c:pt>
                <c:pt idx="6">
                  <c:v>55.1</c:v>
                </c:pt>
                <c:pt idx="7">
                  <c:v>53.574768101059675</c:v>
                </c:pt>
                <c:pt idx="8">
                  <c:v>51.796374836948324</c:v>
                </c:pt>
                <c:pt idx="9">
                  <c:v>50.683942535664237</c:v>
                </c:pt>
                <c:pt idx="10">
                  <c:v>49.725916997918524</c:v>
                </c:pt>
              </c:numCache>
            </c:numRef>
          </c:val>
          <c:smooth val="0"/>
          <c:extLst>
            <c:ext xmlns:c16="http://schemas.microsoft.com/office/drawing/2014/chart" uri="{C3380CC4-5D6E-409C-BE32-E72D297353CC}">
              <c16:uniqueId val="{00000002-9759-47D7-B1AB-E098BA42F9BE}"/>
            </c:ext>
          </c:extLst>
        </c:ser>
        <c:ser>
          <c:idx val="3"/>
          <c:order val="3"/>
          <c:spPr>
            <a:ln w="28575" cap="rnd" cmpd="sng" algn="ctr">
              <a:solidFill>
                <a:schemeClr val="accent1">
                  <a:shade val="73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kursa'!$H$53:$R$53</c:f>
              <c:numCache>
                <c:formatCode>#,##0.0</c:formatCode>
                <c:ptCount val="11"/>
                <c:pt idx="0">
                  <c:v>67.678479463063553</c:v>
                </c:pt>
                <c:pt idx="1">
                  <c:v>57.788223811969416</c:v>
                </c:pt>
                <c:pt idx="2">
                  <c:v>53.621882530067857</c:v>
                </c:pt>
                <c:pt idx="3">
                  <c:v>51.9</c:v>
                </c:pt>
                <c:pt idx="4">
                  <c:v>57</c:v>
                </c:pt>
                <c:pt idx="5">
                  <c:v>56.510139896775023</c:v>
                </c:pt>
                <c:pt idx="6">
                  <c:v>55.1</c:v>
                </c:pt>
                <c:pt idx="7">
                  <c:v>54.408083060694203</c:v>
                </c:pt>
                <c:pt idx="8">
                  <c:v>52.612065779262473</c:v>
                </c:pt>
                <c:pt idx="9">
                  <c:v>51.482114859060523</c:v>
                </c:pt>
                <c:pt idx="10">
                  <c:v>50.499365992373249</c:v>
                </c:pt>
              </c:numCache>
            </c:numRef>
          </c:val>
          <c:smooth val="0"/>
          <c:extLst>
            <c:ext xmlns:c16="http://schemas.microsoft.com/office/drawing/2014/chart" uri="{C3380CC4-5D6E-409C-BE32-E72D297353CC}">
              <c16:uniqueId val="{00000003-9759-47D7-B1AB-E098BA42F9BE}"/>
            </c:ext>
          </c:extLst>
        </c:ser>
        <c:ser>
          <c:idx val="4"/>
          <c:order val="4"/>
          <c:spPr>
            <a:ln w="28575" cap="rnd" cmpd="sng" algn="ctr">
              <a:solidFill>
                <a:schemeClr val="accent1">
                  <a:shade val="83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kursa'!$H$54:$R$54</c:f>
              <c:numCache>
                <c:formatCode>#,##0.0</c:formatCode>
                <c:ptCount val="11"/>
                <c:pt idx="0">
                  <c:v>67.678479463063553</c:v>
                </c:pt>
                <c:pt idx="1">
                  <c:v>57.788223811969416</c:v>
                </c:pt>
                <c:pt idx="2">
                  <c:v>53.621882530067857</c:v>
                </c:pt>
                <c:pt idx="3">
                  <c:v>51.9</c:v>
                </c:pt>
                <c:pt idx="4">
                  <c:v>57</c:v>
                </c:pt>
                <c:pt idx="5">
                  <c:v>56.510139896775023</c:v>
                </c:pt>
                <c:pt idx="6">
                  <c:v>55.1</c:v>
                </c:pt>
                <c:pt idx="7">
                  <c:v>55.241398020328717</c:v>
                </c:pt>
                <c:pt idx="8">
                  <c:v>53.427756721576628</c:v>
                </c:pt>
                <c:pt idx="9">
                  <c:v>52.28028718245681</c:v>
                </c:pt>
                <c:pt idx="10">
                  <c:v>51.272814986827989</c:v>
                </c:pt>
              </c:numCache>
            </c:numRef>
          </c:val>
          <c:smooth val="0"/>
          <c:extLst>
            <c:ext xmlns:c16="http://schemas.microsoft.com/office/drawing/2014/chart" uri="{C3380CC4-5D6E-409C-BE32-E72D297353CC}">
              <c16:uniqueId val="{00000004-9759-47D7-B1AB-E098BA42F9BE}"/>
            </c:ext>
          </c:extLst>
        </c:ser>
        <c:ser>
          <c:idx val="5"/>
          <c:order val="5"/>
          <c:spPr>
            <a:ln w="28575" cap="rnd" cmpd="sng" algn="ctr">
              <a:solidFill>
                <a:schemeClr val="accent1">
                  <a:shade val="94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kursa'!$H$55:$R$55</c:f>
              <c:numCache>
                <c:formatCode>#,##0.0</c:formatCode>
                <c:ptCount val="11"/>
                <c:pt idx="0">
                  <c:v>67.678479463063553</c:v>
                </c:pt>
                <c:pt idx="1">
                  <c:v>57.788223811969416</c:v>
                </c:pt>
                <c:pt idx="2">
                  <c:v>53.621882530067857</c:v>
                </c:pt>
                <c:pt idx="3">
                  <c:v>51.9</c:v>
                </c:pt>
                <c:pt idx="4">
                  <c:v>57</c:v>
                </c:pt>
                <c:pt idx="5">
                  <c:v>56.510139896775023</c:v>
                </c:pt>
                <c:pt idx="6">
                  <c:v>55.1</c:v>
                </c:pt>
                <c:pt idx="7">
                  <c:v>56.074712979963238</c:v>
                </c:pt>
                <c:pt idx="8">
                  <c:v>54.243447663890777</c:v>
                </c:pt>
                <c:pt idx="9">
                  <c:v>53.078459505853104</c:v>
                </c:pt>
                <c:pt idx="10">
                  <c:v>52.046263981282706</c:v>
                </c:pt>
              </c:numCache>
            </c:numRef>
          </c:val>
          <c:smooth val="0"/>
          <c:extLst>
            <c:ext xmlns:c16="http://schemas.microsoft.com/office/drawing/2014/chart" uri="{C3380CC4-5D6E-409C-BE32-E72D297353CC}">
              <c16:uniqueId val="{00000005-9759-47D7-B1AB-E098BA42F9BE}"/>
            </c:ext>
          </c:extLst>
        </c:ser>
        <c:ser>
          <c:idx val="6"/>
          <c:order val="6"/>
          <c:spPr>
            <a:ln w="28575" cap="rnd" cmpd="sng" algn="ctr">
              <a:solidFill>
                <a:schemeClr val="accent1">
                  <a:tint val="95000"/>
                  <a:shade val="95000"/>
                  <a:satMod val="105000"/>
                </a:schemeClr>
              </a:solidFill>
              <a:prstDash val="solid"/>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6-9759-47D7-B1AB-E098BA42F9BE}"/>
                </c:ext>
              </c:extLst>
            </c:dLbl>
            <c:dLbl>
              <c:idx val="1"/>
              <c:delete val="1"/>
              <c:extLst>
                <c:ext xmlns:c15="http://schemas.microsoft.com/office/drawing/2012/chart" uri="{CE6537A1-D6FC-4f65-9D91-7224C49458BB}"/>
                <c:ext xmlns:c16="http://schemas.microsoft.com/office/drawing/2014/chart" uri="{C3380CC4-5D6E-409C-BE32-E72D297353CC}">
                  <c16:uniqueId val="{00000007-9759-47D7-B1AB-E098BA42F9BE}"/>
                </c:ext>
              </c:extLst>
            </c:dLbl>
            <c:dLbl>
              <c:idx val="2"/>
              <c:delete val="1"/>
              <c:extLst>
                <c:ext xmlns:c15="http://schemas.microsoft.com/office/drawing/2012/chart" uri="{CE6537A1-D6FC-4f65-9D91-7224C49458BB}"/>
                <c:ext xmlns:c16="http://schemas.microsoft.com/office/drawing/2014/chart" uri="{C3380CC4-5D6E-409C-BE32-E72D297353CC}">
                  <c16:uniqueId val="{00000008-9759-47D7-B1AB-E098BA42F9BE}"/>
                </c:ext>
              </c:extLst>
            </c:dLbl>
            <c:dLbl>
              <c:idx val="3"/>
              <c:delete val="1"/>
              <c:extLst>
                <c:ext xmlns:c15="http://schemas.microsoft.com/office/drawing/2012/chart" uri="{CE6537A1-D6FC-4f65-9D91-7224C49458BB}"/>
                <c:ext xmlns:c16="http://schemas.microsoft.com/office/drawing/2014/chart" uri="{C3380CC4-5D6E-409C-BE32-E72D297353CC}">
                  <c16:uniqueId val="{00000009-9759-47D7-B1AB-E098BA42F9BE}"/>
                </c:ext>
              </c:extLst>
            </c:dLbl>
            <c:dLbl>
              <c:idx val="4"/>
              <c:delete val="1"/>
              <c:extLst>
                <c:ext xmlns:c15="http://schemas.microsoft.com/office/drawing/2012/chart" uri="{CE6537A1-D6FC-4f65-9D91-7224C49458BB}"/>
                <c:ext xmlns:c16="http://schemas.microsoft.com/office/drawing/2014/chart" uri="{C3380CC4-5D6E-409C-BE32-E72D297353CC}">
                  <c16:uniqueId val="{0000000A-9759-47D7-B1AB-E098BA42F9BE}"/>
                </c:ext>
              </c:extLst>
            </c:dLbl>
            <c:dLbl>
              <c:idx val="5"/>
              <c:delete val="1"/>
              <c:extLst>
                <c:ext xmlns:c15="http://schemas.microsoft.com/office/drawing/2012/chart" uri="{CE6537A1-D6FC-4f65-9D91-7224C49458BB}"/>
                <c:ext xmlns:c16="http://schemas.microsoft.com/office/drawing/2014/chart" uri="{C3380CC4-5D6E-409C-BE32-E72D297353CC}">
                  <c16:uniqueId val="{0000000B-9759-47D7-B1AB-E098BA42F9BE}"/>
                </c:ext>
              </c:extLst>
            </c:dLbl>
            <c:dLbl>
              <c:idx val="6"/>
              <c:delete val="1"/>
              <c:extLst>
                <c:ext xmlns:c15="http://schemas.microsoft.com/office/drawing/2012/chart" uri="{CE6537A1-D6FC-4f65-9D91-7224C49458BB}"/>
                <c:ext xmlns:c16="http://schemas.microsoft.com/office/drawing/2014/chart" uri="{C3380CC4-5D6E-409C-BE32-E72D297353CC}">
                  <c16:uniqueId val="{0000000C-9759-47D7-B1AB-E098BA42F9BE}"/>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kursa'!$H$56:$R$56</c:f>
              <c:numCache>
                <c:formatCode>#,##0.0</c:formatCode>
                <c:ptCount val="11"/>
                <c:pt idx="0">
                  <c:v>67.678479463063553</c:v>
                </c:pt>
                <c:pt idx="1">
                  <c:v>57.788223811969416</c:v>
                </c:pt>
                <c:pt idx="2">
                  <c:v>53.621882530067857</c:v>
                </c:pt>
                <c:pt idx="3">
                  <c:v>51.9</c:v>
                </c:pt>
                <c:pt idx="4">
                  <c:v>57</c:v>
                </c:pt>
                <c:pt idx="5">
                  <c:v>56.510139896775023</c:v>
                </c:pt>
                <c:pt idx="6">
                  <c:v>55.1</c:v>
                </c:pt>
                <c:pt idx="7">
                  <c:v>56.908027939597751</c:v>
                </c:pt>
                <c:pt idx="8">
                  <c:v>55.059138606204918</c:v>
                </c:pt>
                <c:pt idx="9">
                  <c:v>53.876631829249391</c:v>
                </c:pt>
                <c:pt idx="10">
                  <c:v>52.819712975737446</c:v>
                </c:pt>
              </c:numCache>
            </c:numRef>
          </c:val>
          <c:smooth val="0"/>
          <c:extLst>
            <c:ext xmlns:c16="http://schemas.microsoft.com/office/drawing/2014/chart" uri="{C3380CC4-5D6E-409C-BE32-E72D297353CC}">
              <c16:uniqueId val="{0000000D-9759-47D7-B1AB-E098BA42F9BE}"/>
            </c:ext>
          </c:extLst>
        </c:ser>
        <c:ser>
          <c:idx val="7"/>
          <c:order val="7"/>
          <c:spPr>
            <a:ln w="28575" cap="rnd" cmpd="sng" algn="ctr">
              <a:solidFill>
                <a:schemeClr val="accent1">
                  <a:tint val="84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kursa'!$H$57:$R$57</c:f>
              <c:numCache>
                <c:formatCode>#,##0.0</c:formatCode>
                <c:ptCount val="11"/>
                <c:pt idx="0">
                  <c:v>67.678479463063553</c:v>
                </c:pt>
                <c:pt idx="1">
                  <c:v>57.788223811969416</c:v>
                </c:pt>
                <c:pt idx="2">
                  <c:v>53.621882530067857</c:v>
                </c:pt>
                <c:pt idx="3">
                  <c:v>51.9</c:v>
                </c:pt>
                <c:pt idx="4">
                  <c:v>57</c:v>
                </c:pt>
                <c:pt idx="5">
                  <c:v>56.510139896775023</c:v>
                </c:pt>
                <c:pt idx="6">
                  <c:v>55.1</c:v>
                </c:pt>
                <c:pt idx="7">
                  <c:v>51.90813818179064</c:v>
                </c:pt>
                <c:pt idx="8">
                  <c:v>50.164992952320034</c:v>
                </c:pt>
                <c:pt idx="9">
                  <c:v>49.087597888871656</c:v>
                </c:pt>
                <c:pt idx="10">
                  <c:v>48.179019009009068</c:v>
                </c:pt>
              </c:numCache>
            </c:numRef>
          </c:val>
          <c:smooth val="0"/>
          <c:extLst>
            <c:ext xmlns:c16="http://schemas.microsoft.com/office/drawing/2014/chart" uri="{C3380CC4-5D6E-409C-BE32-E72D297353CC}">
              <c16:uniqueId val="{0000000E-9759-47D7-B1AB-E098BA42F9BE}"/>
            </c:ext>
          </c:extLst>
        </c:ser>
        <c:ser>
          <c:idx val="8"/>
          <c:order val="8"/>
          <c:spPr>
            <a:ln w="28575" cap="rnd" cmpd="sng" algn="ctr">
              <a:solidFill>
                <a:schemeClr val="accent1">
                  <a:tint val="74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kursa'!$H$58:$R$58</c:f>
              <c:numCache>
                <c:formatCode>#,##0.0</c:formatCode>
                <c:ptCount val="11"/>
                <c:pt idx="0">
                  <c:v>67.678479463063553</c:v>
                </c:pt>
                <c:pt idx="1">
                  <c:v>57.788223811969416</c:v>
                </c:pt>
                <c:pt idx="2">
                  <c:v>53.621882530067857</c:v>
                </c:pt>
                <c:pt idx="3">
                  <c:v>51.9</c:v>
                </c:pt>
                <c:pt idx="4">
                  <c:v>57</c:v>
                </c:pt>
                <c:pt idx="5">
                  <c:v>56.510139896775023</c:v>
                </c:pt>
                <c:pt idx="6">
                  <c:v>55.1</c:v>
                </c:pt>
                <c:pt idx="7">
                  <c:v>51.074823222156127</c:v>
                </c:pt>
                <c:pt idx="8">
                  <c:v>49.349302010005893</c:v>
                </c:pt>
                <c:pt idx="9">
                  <c:v>48.289425565475369</c:v>
                </c:pt>
                <c:pt idx="10">
                  <c:v>47.405570014554336</c:v>
                </c:pt>
              </c:numCache>
            </c:numRef>
          </c:val>
          <c:smooth val="0"/>
          <c:extLst>
            <c:ext xmlns:c16="http://schemas.microsoft.com/office/drawing/2014/chart" uri="{C3380CC4-5D6E-409C-BE32-E72D297353CC}">
              <c16:uniqueId val="{0000000F-9759-47D7-B1AB-E098BA42F9BE}"/>
            </c:ext>
          </c:extLst>
        </c:ser>
        <c:ser>
          <c:idx val="9"/>
          <c:order val="9"/>
          <c:spPr>
            <a:ln w="28575" cap="rnd" cmpd="sng" algn="ctr">
              <a:solidFill>
                <a:schemeClr val="accent1">
                  <a:tint val="63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kursa'!$H$59:$R$59</c:f>
              <c:numCache>
                <c:formatCode>#,##0.0</c:formatCode>
                <c:ptCount val="11"/>
                <c:pt idx="0">
                  <c:v>67.678479463063553</c:v>
                </c:pt>
                <c:pt idx="1">
                  <c:v>57.788223811969416</c:v>
                </c:pt>
                <c:pt idx="2">
                  <c:v>53.621882530067857</c:v>
                </c:pt>
                <c:pt idx="3">
                  <c:v>51.9</c:v>
                </c:pt>
                <c:pt idx="4">
                  <c:v>57</c:v>
                </c:pt>
                <c:pt idx="5">
                  <c:v>56.510139896775023</c:v>
                </c:pt>
                <c:pt idx="6">
                  <c:v>55.1</c:v>
                </c:pt>
                <c:pt idx="7">
                  <c:v>50.241508262521606</c:v>
                </c:pt>
                <c:pt idx="8">
                  <c:v>48.533611067691737</c:v>
                </c:pt>
                <c:pt idx="9">
                  <c:v>47.491253242079082</c:v>
                </c:pt>
                <c:pt idx="10">
                  <c:v>46.632121020099618</c:v>
                </c:pt>
              </c:numCache>
            </c:numRef>
          </c:val>
          <c:smooth val="0"/>
          <c:extLst>
            <c:ext xmlns:c16="http://schemas.microsoft.com/office/drawing/2014/chart" uri="{C3380CC4-5D6E-409C-BE32-E72D297353CC}">
              <c16:uniqueId val="{00000010-9759-47D7-B1AB-E098BA42F9BE}"/>
            </c:ext>
          </c:extLst>
        </c:ser>
        <c:ser>
          <c:idx val="10"/>
          <c:order val="10"/>
          <c:spPr>
            <a:ln w="28575" cap="rnd" cmpd="sng" algn="ctr">
              <a:solidFill>
                <a:schemeClr val="accent1">
                  <a:tint val="52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kursa'!$H$60:$R$60</c:f>
              <c:numCache>
                <c:formatCode>#,##0.0</c:formatCode>
                <c:ptCount val="11"/>
                <c:pt idx="0">
                  <c:v>67.678479463063553</c:v>
                </c:pt>
                <c:pt idx="1">
                  <c:v>57.788223811969416</c:v>
                </c:pt>
                <c:pt idx="2">
                  <c:v>53.621882530067857</c:v>
                </c:pt>
                <c:pt idx="3">
                  <c:v>51.9</c:v>
                </c:pt>
                <c:pt idx="4">
                  <c:v>57</c:v>
                </c:pt>
                <c:pt idx="5">
                  <c:v>56.510139896775023</c:v>
                </c:pt>
                <c:pt idx="6">
                  <c:v>55.1</c:v>
                </c:pt>
                <c:pt idx="7">
                  <c:v>49.408193302887092</c:v>
                </c:pt>
                <c:pt idx="8">
                  <c:v>47.717920125377603</c:v>
                </c:pt>
                <c:pt idx="9">
                  <c:v>46.693080918682803</c:v>
                </c:pt>
                <c:pt idx="10">
                  <c:v>45.858672025644886</c:v>
                </c:pt>
              </c:numCache>
            </c:numRef>
          </c:val>
          <c:smooth val="0"/>
          <c:extLst>
            <c:ext xmlns:c16="http://schemas.microsoft.com/office/drawing/2014/chart" uri="{C3380CC4-5D6E-409C-BE32-E72D297353CC}">
              <c16:uniqueId val="{00000011-9759-47D7-B1AB-E098BA42F9BE}"/>
            </c:ext>
          </c:extLst>
        </c:ser>
        <c:ser>
          <c:idx val="11"/>
          <c:order val="11"/>
          <c:spPr>
            <a:ln w="28575" cap="rnd" cmpd="sng" algn="ctr">
              <a:solidFill>
                <a:schemeClr val="accent1">
                  <a:tint val="41000"/>
                  <a:shade val="95000"/>
                  <a:satMod val="105000"/>
                </a:schemeClr>
              </a:solidFill>
              <a:prstDash val="solid"/>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12-9759-47D7-B1AB-E098BA42F9BE}"/>
                </c:ext>
              </c:extLst>
            </c:dLbl>
            <c:dLbl>
              <c:idx val="1"/>
              <c:delete val="1"/>
              <c:extLst>
                <c:ext xmlns:c15="http://schemas.microsoft.com/office/drawing/2012/chart" uri="{CE6537A1-D6FC-4f65-9D91-7224C49458BB}"/>
                <c:ext xmlns:c16="http://schemas.microsoft.com/office/drawing/2014/chart" uri="{C3380CC4-5D6E-409C-BE32-E72D297353CC}">
                  <c16:uniqueId val="{00000013-9759-47D7-B1AB-E098BA42F9BE}"/>
                </c:ext>
              </c:extLst>
            </c:dLbl>
            <c:dLbl>
              <c:idx val="2"/>
              <c:delete val="1"/>
              <c:extLst>
                <c:ext xmlns:c15="http://schemas.microsoft.com/office/drawing/2012/chart" uri="{CE6537A1-D6FC-4f65-9D91-7224C49458BB}"/>
                <c:ext xmlns:c16="http://schemas.microsoft.com/office/drawing/2014/chart" uri="{C3380CC4-5D6E-409C-BE32-E72D297353CC}">
                  <c16:uniqueId val="{00000014-9759-47D7-B1AB-E098BA42F9BE}"/>
                </c:ext>
              </c:extLst>
            </c:dLbl>
            <c:dLbl>
              <c:idx val="3"/>
              <c:delete val="1"/>
              <c:extLst>
                <c:ext xmlns:c15="http://schemas.microsoft.com/office/drawing/2012/chart" uri="{CE6537A1-D6FC-4f65-9D91-7224C49458BB}"/>
                <c:ext xmlns:c16="http://schemas.microsoft.com/office/drawing/2014/chart" uri="{C3380CC4-5D6E-409C-BE32-E72D297353CC}">
                  <c16:uniqueId val="{00000015-9759-47D7-B1AB-E098BA42F9BE}"/>
                </c:ext>
              </c:extLst>
            </c:dLbl>
            <c:dLbl>
              <c:idx val="4"/>
              <c:delete val="1"/>
              <c:extLst>
                <c:ext xmlns:c15="http://schemas.microsoft.com/office/drawing/2012/chart" uri="{CE6537A1-D6FC-4f65-9D91-7224C49458BB}"/>
                <c:ext xmlns:c16="http://schemas.microsoft.com/office/drawing/2014/chart" uri="{C3380CC4-5D6E-409C-BE32-E72D297353CC}">
                  <c16:uniqueId val="{00000016-9759-47D7-B1AB-E098BA42F9BE}"/>
                </c:ext>
              </c:extLst>
            </c:dLbl>
            <c:dLbl>
              <c:idx val="5"/>
              <c:delete val="1"/>
              <c:extLst>
                <c:ext xmlns:c15="http://schemas.microsoft.com/office/drawing/2012/chart" uri="{CE6537A1-D6FC-4f65-9D91-7224C49458BB}"/>
                <c:ext xmlns:c16="http://schemas.microsoft.com/office/drawing/2014/chart" uri="{C3380CC4-5D6E-409C-BE32-E72D297353CC}">
                  <c16:uniqueId val="{00000017-9759-47D7-B1AB-E098BA42F9BE}"/>
                </c:ext>
              </c:extLst>
            </c:dLbl>
            <c:dLbl>
              <c:idx val="6"/>
              <c:delete val="1"/>
              <c:extLst>
                <c:ext xmlns:c15="http://schemas.microsoft.com/office/drawing/2012/chart" uri="{CE6537A1-D6FC-4f65-9D91-7224C49458BB}"/>
                <c:ext xmlns:c16="http://schemas.microsoft.com/office/drawing/2014/chart" uri="{C3380CC4-5D6E-409C-BE32-E72D297353CC}">
                  <c16:uniqueId val="{00000018-9759-47D7-B1AB-E098BA42F9BE}"/>
                </c:ext>
              </c:extLst>
            </c:dLbl>
            <c:dLbl>
              <c:idx val="10"/>
              <c:layout>
                <c:manualLayout>
                  <c:x val="-1.2445562252297317E-2"/>
                  <c:y val="-9.953550099535623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C-9759-47D7-B1AB-E098BA42F9BE}"/>
                </c:ext>
              </c:extLst>
            </c:dLbl>
            <c:spPr>
              <a:noFill/>
              <a:ln>
                <a:noFill/>
              </a:ln>
              <a:effectLst/>
            </c:spPr>
            <c:txPr>
              <a:bodyPr rot="0" spcFirstLastPara="1" vertOverflow="ellipsis" vert="horz" wrap="square" lIns="38100" tIns="19050" rIns="38100" bIns="19050" anchor="t" anchorCtr="1">
                <a:spAutoFit/>
              </a:bodyPr>
              <a:lstStyle/>
              <a:p>
                <a:pPr>
                  <a:defRPr sz="800" b="0" i="0" u="none" strike="noStrike" kern="1200" baseline="0">
                    <a:solidFill>
                      <a:schemeClr val="tx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kursa'!$H$61:$R$61</c:f>
              <c:numCache>
                <c:formatCode>#,##0.0</c:formatCode>
                <c:ptCount val="11"/>
                <c:pt idx="0">
                  <c:v>67.678479463063553</c:v>
                </c:pt>
                <c:pt idx="1">
                  <c:v>57.788223811969416</c:v>
                </c:pt>
                <c:pt idx="2">
                  <c:v>53.621882530067857</c:v>
                </c:pt>
                <c:pt idx="3">
                  <c:v>51.9</c:v>
                </c:pt>
                <c:pt idx="4">
                  <c:v>57</c:v>
                </c:pt>
                <c:pt idx="5">
                  <c:v>56.510139896775023</c:v>
                </c:pt>
                <c:pt idx="6">
                  <c:v>55.1</c:v>
                </c:pt>
                <c:pt idx="7">
                  <c:v>48.574878343252571</c:v>
                </c:pt>
                <c:pt idx="8">
                  <c:v>46.902229183063447</c:v>
                </c:pt>
                <c:pt idx="9">
                  <c:v>45.894908595286516</c:v>
                </c:pt>
                <c:pt idx="10">
                  <c:v>45.085223031190161</c:v>
                </c:pt>
              </c:numCache>
            </c:numRef>
          </c:val>
          <c:smooth val="0"/>
          <c:extLst>
            <c:ext xmlns:c16="http://schemas.microsoft.com/office/drawing/2014/chart" uri="{C3380CC4-5D6E-409C-BE32-E72D297353CC}">
              <c16:uniqueId val="{0000001B-9759-47D7-B1AB-E098BA42F9BE}"/>
            </c:ext>
          </c:extLst>
        </c:ser>
        <c:dLbls>
          <c:showLegendKey val="0"/>
          <c:showVal val="0"/>
          <c:showCatName val="0"/>
          <c:showSerName val="0"/>
          <c:showPercent val="0"/>
          <c:showBubbleSize val="0"/>
        </c:dLbls>
        <c:marker val="1"/>
        <c:smooth val="0"/>
        <c:axId val="75069312"/>
        <c:axId val="75070848"/>
      </c:lineChart>
      <c:catAx>
        <c:axId val="75069312"/>
        <c:scaling>
          <c:orientation val="minMax"/>
        </c:scaling>
        <c:delete val="0"/>
        <c:axPos val="b"/>
        <c:majorGridlines>
          <c:spPr>
            <a:ln w="9525" cap="flat" cmpd="sng" algn="ctr">
              <a:noFill/>
              <a:prstDash val="solid"/>
              <a:round/>
            </a:ln>
            <a:effectLst/>
          </c:spPr>
        </c:majorGridlines>
        <c:minorGridlines>
          <c:spPr>
            <a:ln w="9525" cap="flat" cmpd="sng" algn="ctr">
              <a:noFill/>
              <a:prstDash val="solid"/>
              <a:round/>
            </a:ln>
            <a:effectLst/>
          </c:spPr>
        </c:minorGridlines>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800" b="1" i="0" u="none" strike="noStrike" kern="1200" baseline="0">
                <a:solidFill>
                  <a:schemeClr val="tx1"/>
                </a:solidFill>
                <a:latin typeface="+mn-lt"/>
                <a:ea typeface="+mn-ea"/>
                <a:cs typeface="+mn-cs"/>
              </a:defRPr>
            </a:pPr>
            <a:endParaRPr lang="sr-Latn-RS"/>
          </a:p>
        </c:txPr>
        <c:crossAx val="75070848"/>
        <c:crosses val="autoZero"/>
        <c:auto val="0"/>
        <c:lblAlgn val="ctr"/>
        <c:lblOffset val="100"/>
        <c:noMultiLvlLbl val="0"/>
      </c:catAx>
      <c:valAx>
        <c:axId val="75070848"/>
        <c:scaling>
          <c:orientation val="minMax"/>
          <c:max val="68"/>
          <c:min val="45"/>
        </c:scaling>
        <c:delete val="0"/>
        <c:axPos val="l"/>
        <c:majorGridlines>
          <c:spPr>
            <a:ln w="9525" cap="flat" cmpd="sng" algn="ctr">
              <a:noFill/>
              <a:prstDash val="solid"/>
              <a:round/>
            </a:ln>
            <a:effectLst/>
          </c:spPr>
        </c:majorGridlines>
        <c:numFmt formatCode="#,##0.0"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800" b="1" i="0" u="none" strike="noStrike" kern="1200" baseline="0">
                <a:solidFill>
                  <a:schemeClr val="tx1"/>
                </a:solidFill>
                <a:latin typeface="+mn-lt"/>
                <a:ea typeface="+mn-ea"/>
                <a:cs typeface="+mn-cs"/>
              </a:defRPr>
            </a:pPr>
            <a:endParaRPr lang="sr-Latn-RS"/>
          </a:p>
        </c:txPr>
        <c:crossAx val="75069312"/>
        <c:crosses val="autoZero"/>
        <c:crossBetween val="between"/>
        <c:majorUnit val="10"/>
        <c:minorUnit val="2"/>
      </c:valAx>
      <c:spPr>
        <a:noFill/>
        <a:ln>
          <a:noFill/>
        </a:ln>
        <a:effectLst/>
      </c:spPr>
    </c:plotArea>
    <c:plotVisOnly val="1"/>
    <c:dispBlanksAs val="gap"/>
    <c:showDLblsOverMax val="0"/>
  </c:chart>
  <c:spPr>
    <a:solidFill>
      <a:schemeClr val="bg1"/>
    </a:solidFill>
    <a:ln w="9525" cap="flat" cmpd="sng" algn="ctr">
      <a:noFill/>
      <a:prstDash val="solid"/>
      <a:round/>
    </a:ln>
    <a:effectLst/>
  </c:spPr>
  <c:txPr>
    <a:bodyPr/>
    <a:lstStyle/>
    <a:p>
      <a:pPr>
        <a:defRPr/>
      </a:pPr>
      <a:endParaRPr lang="sr-Latn-R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1.xml><?xml version="1.0" encoding="utf-8"?>
<cs:colorStyle xmlns:cs="http://schemas.microsoft.com/office/drawing/2012/chartStyle" xmlns:a="http://schemas.openxmlformats.org/drawingml/2006/main" meth="withinLinear" id="14">
  <a:schemeClr val="accent1"/>
</cs:colorStyle>
</file>

<file path=word/charts/colors5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5.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9.xml><?xml version="1.0" encoding="utf-8"?>
<cs:colorStyle xmlns:cs="http://schemas.microsoft.com/office/drawing/2012/chartStyle" xmlns:a="http://schemas.openxmlformats.org/drawingml/2006/main" meth="withinLinear" id="16">
  <a:schemeClr val="accent3"/>
</cs:colorStyle>
</file>

<file path=word/charts/colors60.xml><?xml version="1.0" encoding="utf-8"?>
<cs:colorStyle xmlns:cs="http://schemas.microsoft.com/office/drawing/2012/chartStyle" xmlns:a="http://schemas.openxmlformats.org/drawingml/2006/main" meth="withinLinear" id="16">
  <a:schemeClr val="accent3"/>
</cs:colorStyle>
</file>

<file path=word/charts/colors6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4.xml><?xml version="1.0" encoding="utf-8"?>
<cs:colorStyle xmlns:cs="http://schemas.microsoft.com/office/drawing/2012/chartStyle" xmlns:a="http://schemas.openxmlformats.org/drawingml/2006/main" meth="withinLinear" id="14">
  <a:schemeClr val="accent1"/>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1.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5.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6.xml><?xml version="1.0" encoding="utf-8"?>
<cs:chartStyle xmlns:cs="http://schemas.microsoft.com/office/drawing/2012/chartStyle" xmlns:a="http://schemas.openxmlformats.org/drawingml/2006/main" id="21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38100"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8"/>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b="0" kern="1200" cap="none" spc="0" normalizeH="0" baseline="0"/>
  </cs:title>
  <cs:trendline>
    <cs:lnRef idx="0">
      <cs:styleClr val="auto"/>
    </cs:lnRef>
    <cs:fillRef idx="0"/>
    <cs:effectRef idx="0"/>
    <cs:fontRef idx="minor">
      <a:schemeClr val="dk1"/>
    </cs:fontRef>
    <cs:spPr>
      <a:ln w="19050" cap="rnd">
        <a:solidFill>
          <a:schemeClr val="ph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5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9.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60.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6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3.xml><?xml version="1.0" encoding="utf-8"?>
<cs:chartStyle xmlns:cs="http://schemas.microsoft.com/office/drawing/2012/chartStyle" xmlns:a="http://schemas.openxmlformats.org/drawingml/2006/main" id="34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64.xml><?xml version="1.0" encoding="utf-8"?>
<cs:chartStyle xmlns:cs="http://schemas.microsoft.com/office/drawing/2012/chartStyle" xmlns:a="http://schemas.openxmlformats.org/drawingml/2006/main" id="105">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drawings/drawing1.xml><?xml version="1.0" encoding="utf-8"?>
<c:userShapes xmlns:c="http://schemas.openxmlformats.org/drawingml/2006/chart">
  <cdr:relSizeAnchor xmlns:cdr="http://schemas.openxmlformats.org/drawingml/2006/chartDrawing">
    <cdr:from>
      <cdr:x>0.08408</cdr:x>
      <cdr:y>0.70372</cdr:y>
    </cdr:from>
    <cdr:to>
      <cdr:x>0.91278</cdr:x>
      <cdr:y>0.93414</cdr:y>
    </cdr:to>
    <cdr:grpSp>
      <cdr:nvGrpSpPr>
        <cdr:cNvPr id="9" name="Group 8">
          <a:extLst xmlns:a="http://schemas.openxmlformats.org/drawingml/2006/main">
            <a:ext uri="{FF2B5EF4-FFF2-40B4-BE49-F238E27FC236}">
              <a16:creationId xmlns:a16="http://schemas.microsoft.com/office/drawing/2014/main" id="{D826C8D3-8C33-4439-AE96-2E607EE03160}"/>
            </a:ext>
          </a:extLst>
        </cdr:cNvPr>
        <cdr:cNvGrpSpPr/>
      </cdr:nvGrpSpPr>
      <cdr:grpSpPr>
        <a:xfrm xmlns:a="http://schemas.openxmlformats.org/drawingml/2006/main">
          <a:off x="230643" y="1342368"/>
          <a:ext cx="2273296" cy="439548"/>
          <a:chOff x="-19080" y="-299829"/>
          <a:chExt cx="2277096" cy="569046"/>
        </a:xfrm>
      </cdr:grpSpPr>
      <cdr:grpSp>
        <cdr:nvGrpSpPr>
          <cdr:cNvPr id="10" name="Group 9">
            <a:extLst xmlns:a="http://schemas.openxmlformats.org/drawingml/2006/main">
              <a:ext uri="{FF2B5EF4-FFF2-40B4-BE49-F238E27FC236}">
                <a16:creationId xmlns:a16="http://schemas.microsoft.com/office/drawing/2014/main" id="{7907F2C1-0652-4BF0-87FC-B9FFA921F61E}"/>
              </a:ext>
            </a:extLst>
          </cdr:cNvPr>
          <cdr:cNvGrpSpPr/>
        </cdr:nvGrpSpPr>
        <cdr:grpSpPr>
          <a:xfrm xmlns:a="http://schemas.openxmlformats.org/drawingml/2006/main">
            <a:off x="674226" y="-299829"/>
            <a:ext cx="1583790" cy="295283"/>
            <a:chOff x="673102" y="-299818"/>
            <a:chExt cx="1581150" cy="295273"/>
          </a:xfrm>
        </cdr:grpSpPr>
        <cdr:sp macro="" textlink="">
          <cdr:nvSpPr>
            <cdr:cNvPr id="13" name="TextBox 5"/>
            <cdr:cNvSpPr txBox="1"/>
          </cdr:nvSpPr>
          <cdr:spPr>
            <a:xfrm xmlns:a="http://schemas.openxmlformats.org/drawingml/2006/main">
              <a:off x="673102" y="-217750"/>
              <a:ext cx="469049" cy="1804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00A651"/>
                  </a:solidFill>
                </a:rPr>
                <a:t>Храна</a:t>
              </a:r>
              <a:endParaRPr lang="en-GB" sz="700" b="0">
                <a:solidFill>
                  <a:srgbClr val="00A651"/>
                </a:solidFill>
              </a:endParaRPr>
            </a:p>
          </cdr:txBody>
        </cdr:sp>
        <cdr:sp macro="" textlink="">
          <cdr:nvSpPr>
            <cdr:cNvPr id="14" name="TextBox 1"/>
            <cdr:cNvSpPr txBox="1"/>
          </cdr:nvSpPr>
          <cdr:spPr>
            <a:xfrm xmlns:a="http://schemas.openxmlformats.org/drawingml/2006/main">
              <a:off x="1135737" y="-235810"/>
              <a:ext cx="576965" cy="2165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EC008C"/>
                  </a:solidFill>
                </a:rPr>
                <a:t>Метали</a:t>
              </a:r>
              <a:endParaRPr lang="en-GB" sz="700" b="0">
                <a:solidFill>
                  <a:srgbClr val="EC008C"/>
                </a:solidFill>
              </a:endParaRPr>
            </a:p>
          </cdr:txBody>
        </cdr:sp>
        <cdr:sp macro="" textlink="">
          <cdr:nvSpPr>
            <cdr:cNvPr id="15" name="TextBox 1"/>
            <cdr:cNvSpPr txBox="1"/>
          </cdr:nvSpPr>
          <cdr:spPr>
            <a:xfrm xmlns:a="http://schemas.openxmlformats.org/drawingml/2006/main">
              <a:off x="1632203" y="-299818"/>
              <a:ext cx="622049" cy="29527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003891"/>
                  </a:solidFill>
                </a:rPr>
                <a:t>Просечна цена нафте</a:t>
              </a:r>
              <a:endParaRPr lang="en-GB" sz="700" b="0">
                <a:solidFill>
                  <a:srgbClr val="003891"/>
                </a:solidFill>
              </a:endParaRPr>
            </a:p>
          </cdr:txBody>
        </cdr:sp>
      </cdr:grpSp>
      <cdr:sp macro="" textlink="">
        <cdr:nvSpPr>
          <cdr:cNvPr id="11" name="TextBox 1"/>
          <cdr:cNvSpPr txBox="1"/>
        </cdr:nvSpPr>
        <cdr:spPr>
          <a:xfrm xmlns:a="http://schemas.openxmlformats.org/drawingml/2006/main">
            <a:off x="-19080" y="-65852"/>
            <a:ext cx="794653" cy="16609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00" b="0">
                <a:solidFill>
                  <a:schemeClr val="tx2"/>
                </a:solidFill>
              </a:rPr>
              <a:t>WEO, </a:t>
            </a:r>
            <a:r>
              <a:rPr lang="sr-Cyrl-RS" sz="700" b="0">
                <a:solidFill>
                  <a:schemeClr val="tx2"/>
                </a:solidFill>
              </a:rPr>
              <a:t>окт.</a:t>
            </a:r>
            <a:r>
              <a:rPr lang="sr-Cyrl-RS" sz="700" b="0" baseline="0">
                <a:solidFill>
                  <a:schemeClr val="tx2"/>
                </a:solidFill>
              </a:rPr>
              <a:t> 2022.</a:t>
            </a:r>
            <a:endParaRPr lang="en-GB" sz="700" b="0">
              <a:solidFill>
                <a:schemeClr val="tx2"/>
              </a:solidFill>
            </a:endParaRPr>
          </a:p>
        </cdr:txBody>
      </cdr:sp>
      <cdr:sp macro="" textlink="">
        <cdr:nvSpPr>
          <cdr:cNvPr id="12" name="TextBox 1"/>
          <cdr:cNvSpPr txBox="1"/>
        </cdr:nvSpPr>
        <cdr:spPr>
          <a:xfrm xmlns:a="http://schemas.openxmlformats.org/drawingml/2006/main">
            <a:off x="-19080" y="105755"/>
            <a:ext cx="794653" cy="1634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00" b="0">
                <a:solidFill>
                  <a:schemeClr val="tx2"/>
                </a:solidFill>
              </a:rPr>
              <a:t>WEO, </a:t>
            </a:r>
            <a:r>
              <a:rPr lang="sr-Cyrl-RS" sz="700" b="0">
                <a:solidFill>
                  <a:schemeClr val="tx2"/>
                </a:solidFill>
              </a:rPr>
              <a:t>апр</a:t>
            </a:r>
            <a:r>
              <a:rPr lang="en-GB" sz="700" b="0">
                <a:solidFill>
                  <a:schemeClr val="tx2"/>
                </a:solidFill>
              </a:rPr>
              <a:t>.</a:t>
            </a:r>
            <a:r>
              <a:rPr lang="sr-Cyrl-RS" sz="700" b="0" baseline="0">
                <a:solidFill>
                  <a:schemeClr val="tx2"/>
                </a:solidFill>
              </a:rPr>
              <a:t> 2023.</a:t>
            </a:r>
            <a:endParaRPr lang="en-GB" sz="700" b="0">
              <a:solidFill>
                <a:schemeClr val="tx2"/>
              </a:solidFill>
            </a:endParaRPr>
          </a:p>
        </cdr:txBody>
      </cdr:sp>
    </cdr:grpSp>
  </cdr:relSizeAnchor>
</c:userShapes>
</file>

<file path=word/drawings/drawing2.xml><?xml version="1.0" encoding="utf-8"?>
<c:userShapes xmlns:c="http://schemas.openxmlformats.org/drawingml/2006/chart">
  <cdr:relSizeAnchor xmlns:cdr="http://schemas.openxmlformats.org/drawingml/2006/chartDrawing">
    <cdr:from>
      <cdr:x>0.05959</cdr:x>
      <cdr:y>0.61594</cdr:y>
    </cdr:from>
    <cdr:to>
      <cdr:x>0.46719</cdr:x>
      <cdr:y>0.85192</cdr:y>
    </cdr:to>
    <cdr:sp macro="" textlink="">
      <cdr:nvSpPr>
        <cdr:cNvPr id="2" name="TextBox 1"/>
        <cdr:cNvSpPr txBox="1"/>
      </cdr:nvSpPr>
      <cdr:spPr>
        <a:xfrm xmlns:a="http://schemas.openxmlformats.org/drawingml/2006/main">
          <a:off x="79373" y="753914"/>
          <a:ext cx="542923"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0.5101</cdr:x>
      <cdr:y>0.60816</cdr:y>
    </cdr:from>
    <cdr:to>
      <cdr:x>0.91769</cdr:x>
      <cdr:y>0.84414</cdr:y>
    </cdr:to>
    <cdr:sp macro="" textlink="">
      <cdr:nvSpPr>
        <cdr:cNvPr id="3" name="TextBox 1"/>
        <cdr:cNvSpPr txBox="1"/>
      </cdr:nvSpPr>
      <cdr:spPr>
        <a:xfrm xmlns:a="http://schemas.openxmlformats.org/drawingml/2006/main">
          <a:off x="679452" y="744389"/>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3.xml><?xml version="1.0" encoding="utf-8"?>
<c:userShapes xmlns:c="http://schemas.openxmlformats.org/drawingml/2006/chart">
  <cdr:relSizeAnchor xmlns:cdr="http://schemas.openxmlformats.org/drawingml/2006/chartDrawing">
    <cdr:from>
      <cdr:x>0.06674</cdr:x>
      <cdr:y>0.6149</cdr:y>
    </cdr:from>
    <cdr:to>
      <cdr:x>0.47434</cdr:x>
      <cdr:y>0.85088</cdr:y>
    </cdr:to>
    <cdr:sp macro="" textlink="">
      <cdr:nvSpPr>
        <cdr:cNvPr id="2" name="TextBox 1"/>
        <cdr:cNvSpPr txBox="1"/>
      </cdr:nvSpPr>
      <cdr:spPr>
        <a:xfrm xmlns:a="http://schemas.openxmlformats.org/drawingml/2006/main">
          <a:off x="88899" y="752639"/>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0.61895</cdr:y>
    </cdr:from>
    <cdr:to>
      <cdr:x>0.92484</cdr:x>
      <cdr:y>0.85493</cdr:y>
    </cdr:to>
    <cdr:sp macro="" textlink="">
      <cdr:nvSpPr>
        <cdr:cNvPr id="3" name="TextBox 1"/>
        <cdr:cNvSpPr txBox="1"/>
      </cdr:nvSpPr>
      <cdr:spPr>
        <a:xfrm xmlns:a="http://schemas.openxmlformats.org/drawingml/2006/main">
          <a:off x="688978" y="757596"/>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4.xml><?xml version="1.0" encoding="utf-8"?>
<c:userShapes xmlns:c="http://schemas.openxmlformats.org/drawingml/2006/chart">
  <cdr:relSizeAnchor xmlns:cdr="http://schemas.openxmlformats.org/drawingml/2006/chartDrawing">
    <cdr:from>
      <cdr:x>0.05959</cdr:x>
      <cdr:y>0.18641</cdr:y>
    </cdr:from>
    <cdr:to>
      <cdr:x>0.46719</cdr:x>
      <cdr:y>0.42239</cdr:y>
    </cdr:to>
    <cdr:sp macro="" textlink="">
      <cdr:nvSpPr>
        <cdr:cNvPr id="2" name="TextBox 1"/>
        <cdr:cNvSpPr txBox="1"/>
      </cdr:nvSpPr>
      <cdr:spPr>
        <a:xfrm xmlns:a="http://schemas.openxmlformats.org/drawingml/2006/main">
          <a:off x="79374" y="228171"/>
          <a:ext cx="542923"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0.5101</cdr:x>
      <cdr:y>0.1863</cdr:y>
    </cdr:from>
    <cdr:to>
      <cdr:x>0.91769</cdr:x>
      <cdr:y>0.42228</cdr:y>
    </cdr:to>
    <cdr:sp macro="" textlink="">
      <cdr:nvSpPr>
        <cdr:cNvPr id="3" name="TextBox 1"/>
        <cdr:cNvSpPr txBox="1"/>
      </cdr:nvSpPr>
      <cdr:spPr>
        <a:xfrm xmlns:a="http://schemas.openxmlformats.org/drawingml/2006/main">
          <a:off x="679452" y="228037"/>
          <a:ext cx="542910"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5.xml><?xml version="1.0" encoding="utf-8"?>
<c:userShapes xmlns:c="http://schemas.openxmlformats.org/drawingml/2006/chart">
  <cdr:relSizeAnchor xmlns:cdr="http://schemas.openxmlformats.org/drawingml/2006/chartDrawing">
    <cdr:from>
      <cdr:x>0.05959</cdr:x>
      <cdr:y>0.17863</cdr:y>
    </cdr:from>
    <cdr:to>
      <cdr:x>0.46719</cdr:x>
      <cdr:y>0.41461</cdr:y>
    </cdr:to>
    <cdr:sp macro="" textlink="">
      <cdr:nvSpPr>
        <cdr:cNvPr id="2" name="TextBox 1"/>
        <cdr:cNvSpPr txBox="1"/>
      </cdr:nvSpPr>
      <cdr:spPr>
        <a:xfrm xmlns:a="http://schemas.openxmlformats.org/drawingml/2006/main">
          <a:off x="79374" y="218646"/>
          <a:ext cx="542923"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0.178</cdr:y>
    </cdr:from>
    <cdr:to>
      <cdr:x>0.92484</cdr:x>
      <cdr:y>0.41398</cdr:y>
    </cdr:to>
    <cdr:sp macro="" textlink="">
      <cdr:nvSpPr>
        <cdr:cNvPr id="3" name="TextBox 1"/>
        <cdr:cNvSpPr txBox="1"/>
      </cdr:nvSpPr>
      <cdr:spPr>
        <a:xfrm xmlns:a="http://schemas.openxmlformats.org/drawingml/2006/main">
          <a:off x="688977" y="217873"/>
          <a:ext cx="542910"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6.xml><?xml version="1.0" encoding="utf-8"?>
<c:userShapes xmlns:c="http://schemas.openxmlformats.org/drawingml/2006/chart">
  <cdr:relSizeAnchor xmlns:cdr="http://schemas.openxmlformats.org/drawingml/2006/chartDrawing">
    <cdr:from>
      <cdr:x>0.06674</cdr:x>
      <cdr:y>0.55531</cdr:y>
    </cdr:from>
    <cdr:to>
      <cdr:x>0.47434</cdr:x>
      <cdr:y>0.79129</cdr:y>
    </cdr:to>
    <cdr:sp macro="" textlink="">
      <cdr:nvSpPr>
        <cdr:cNvPr id="2" name="TextBox 1"/>
        <cdr:cNvSpPr txBox="1"/>
      </cdr:nvSpPr>
      <cdr:spPr>
        <a:xfrm xmlns:a="http://schemas.openxmlformats.org/drawingml/2006/main">
          <a:off x="88899" y="559751"/>
          <a:ext cx="542923"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0.54531</cdr:y>
    </cdr:from>
    <cdr:to>
      <cdr:x>0.92484</cdr:x>
      <cdr:y>0.78129</cdr:y>
    </cdr:to>
    <cdr:sp macro="" textlink="">
      <cdr:nvSpPr>
        <cdr:cNvPr id="3" name="TextBox 1"/>
        <cdr:cNvSpPr txBox="1"/>
      </cdr:nvSpPr>
      <cdr:spPr>
        <a:xfrm xmlns:a="http://schemas.openxmlformats.org/drawingml/2006/main">
          <a:off x="688977" y="549672"/>
          <a:ext cx="542910"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7.xml><?xml version="1.0" encoding="utf-8"?>
<c:userShapes xmlns:c="http://schemas.openxmlformats.org/drawingml/2006/chart">
  <cdr:relSizeAnchor xmlns:cdr="http://schemas.openxmlformats.org/drawingml/2006/chartDrawing">
    <cdr:from>
      <cdr:x>0.05959</cdr:x>
      <cdr:y>0.5553</cdr:y>
    </cdr:from>
    <cdr:to>
      <cdr:x>0.46719</cdr:x>
      <cdr:y>0.79128</cdr:y>
    </cdr:to>
    <cdr:sp macro="" textlink="">
      <cdr:nvSpPr>
        <cdr:cNvPr id="2" name="TextBox 1"/>
        <cdr:cNvSpPr txBox="1"/>
      </cdr:nvSpPr>
      <cdr:spPr>
        <a:xfrm xmlns:a="http://schemas.openxmlformats.org/drawingml/2006/main">
          <a:off x="79374" y="559745"/>
          <a:ext cx="542923"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0.54593</cdr:y>
    </cdr:from>
    <cdr:to>
      <cdr:x>0.92484</cdr:x>
      <cdr:y>0.78191</cdr:y>
    </cdr:to>
    <cdr:sp macro="" textlink="">
      <cdr:nvSpPr>
        <cdr:cNvPr id="3" name="TextBox 1"/>
        <cdr:cNvSpPr txBox="1"/>
      </cdr:nvSpPr>
      <cdr:spPr>
        <a:xfrm xmlns:a="http://schemas.openxmlformats.org/drawingml/2006/main">
          <a:off x="688977" y="550297"/>
          <a:ext cx="542910"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8.xml><?xml version="1.0" encoding="utf-8"?>
<c:userShapes xmlns:c="http://schemas.openxmlformats.org/drawingml/2006/chart">
  <cdr:relSizeAnchor xmlns:cdr="http://schemas.openxmlformats.org/drawingml/2006/chartDrawing">
    <cdr:from>
      <cdr:x>0.05959</cdr:x>
      <cdr:y>0.18683</cdr:y>
    </cdr:from>
    <cdr:to>
      <cdr:x>0.46719</cdr:x>
      <cdr:y>0.42282</cdr:y>
    </cdr:to>
    <cdr:sp macro="" textlink="">
      <cdr:nvSpPr>
        <cdr:cNvPr id="2" name="TextBox 1"/>
        <cdr:cNvSpPr txBox="1"/>
      </cdr:nvSpPr>
      <cdr:spPr>
        <a:xfrm xmlns:a="http://schemas.openxmlformats.org/drawingml/2006/main">
          <a:off x="79374" y="228680"/>
          <a:ext cx="542923" cy="288852"/>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0.5101</cdr:x>
      <cdr:y>0.18809</cdr:y>
    </cdr:from>
    <cdr:to>
      <cdr:x>0.91769</cdr:x>
      <cdr:y>0.42407</cdr:y>
    </cdr:to>
    <cdr:sp macro="" textlink="">
      <cdr:nvSpPr>
        <cdr:cNvPr id="3" name="TextBox 1"/>
        <cdr:cNvSpPr txBox="1"/>
      </cdr:nvSpPr>
      <cdr:spPr>
        <a:xfrm xmlns:a="http://schemas.openxmlformats.org/drawingml/2006/main">
          <a:off x="679453" y="230222"/>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9.xml><?xml version="1.0" encoding="utf-8"?>
<c:userShapes xmlns:c="http://schemas.openxmlformats.org/drawingml/2006/chart">
  <cdr:relSizeAnchor xmlns:cdr="http://schemas.openxmlformats.org/drawingml/2006/chartDrawing">
    <cdr:from>
      <cdr:x>0.06674</cdr:x>
      <cdr:y>0.15508</cdr:y>
    </cdr:from>
    <cdr:to>
      <cdr:x>0.47434</cdr:x>
      <cdr:y>0.39106</cdr:y>
    </cdr:to>
    <cdr:sp macro="" textlink="">
      <cdr:nvSpPr>
        <cdr:cNvPr id="2" name="TextBox 1"/>
        <cdr:cNvSpPr txBox="1"/>
      </cdr:nvSpPr>
      <cdr:spPr>
        <a:xfrm xmlns:a="http://schemas.openxmlformats.org/drawingml/2006/main">
          <a:off x="88898" y="189817"/>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0.15508</cdr:y>
    </cdr:from>
    <cdr:to>
      <cdr:x>0.92484</cdr:x>
      <cdr:y>0.39106</cdr:y>
    </cdr:to>
    <cdr:sp macro="" textlink="">
      <cdr:nvSpPr>
        <cdr:cNvPr id="3" name="TextBox 1"/>
        <cdr:cNvSpPr txBox="1"/>
      </cdr:nvSpPr>
      <cdr:spPr>
        <a:xfrm xmlns:a="http://schemas.openxmlformats.org/drawingml/2006/main">
          <a:off x="688977" y="189817"/>
          <a:ext cx="542910"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0.xml><?xml version="1.0" encoding="utf-8"?>
<c:userShapes xmlns:c="http://schemas.openxmlformats.org/drawingml/2006/chart">
  <cdr:relSizeAnchor xmlns:cdr="http://schemas.openxmlformats.org/drawingml/2006/chartDrawing">
    <cdr:from>
      <cdr:x>0.05959</cdr:x>
      <cdr:y>0.63166</cdr:y>
    </cdr:from>
    <cdr:to>
      <cdr:x>0.46719</cdr:x>
      <cdr:y>0.86764</cdr:y>
    </cdr:to>
    <cdr:sp macro="" textlink="">
      <cdr:nvSpPr>
        <cdr:cNvPr id="2" name="TextBox 1"/>
        <cdr:cNvSpPr txBox="1"/>
      </cdr:nvSpPr>
      <cdr:spPr>
        <a:xfrm xmlns:a="http://schemas.openxmlformats.org/drawingml/2006/main">
          <a:off x="79374" y="773152"/>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0.63166</cdr:y>
    </cdr:from>
    <cdr:to>
      <cdr:x>0.92484</cdr:x>
      <cdr:y>0.86764</cdr:y>
    </cdr:to>
    <cdr:sp macro="" textlink="">
      <cdr:nvSpPr>
        <cdr:cNvPr id="3" name="TextBox 1"/>
        <cdr:cNvSpPr txBox="1"/>
      </cdr:nvSpPr>
      <cdr:spPr>
        <a:xfrm xmlns:a="http://schemas.openxmlformats.org/drawingml/2006/main">
          <a:off x="688976" y="773152"/>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1.xml><?xml version="1.0" encoding="utf-8"?>
<c:userShapes xmlns:c="http://schemas.openxmlformats.org/drawingml/2006/chart">
  <cdr:relSizeAnchor xmlns:cdr="http://schemas.openxmlformats.org/drawingml/2006/chartDrawing">
    <cdr:from>
      <cdr:x>0.06674</cdr:x>
      <cdr:y>0.62451</cdr:y>
    </cdr:from>
    <cdr:to>
      <cdr:x>0.47434</cdr:x>
      <cdr:y>0.86049</cdr:y>
    </cdr:to>
    <cdr:sp macro="" textlink="">
      <cdr:nvSpPr>
        <cdr:cNvPr id="2" name="TextBox 1"/>
        <cdr:cNvSpPr txBox="1"/>
      </cdr:nvSpPr>
      <cdr:spPr>
        <a:xfrm xmlns:a="http://schemas.openxmlformats.org/drawingml/2006/main">
          <a:off x="88899" y="764400"/>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0.62451</cdr:y>
    </cdr:from>
    <cdr:to>
      <cdr:x>0.92484</cdr:x>
      <cdr:y>0.86049</cdr:y>
    </cdr:to>
    <cdr:sp macro="" textlink="">
      <cdr:nvSpPr>
        <cdr:cNvPr id="3" name="TextBox 1"/>
        <cdr:cNvSpPr txBox="1"/>
      </cdr:nvSpPr>
      <cdr:spPr>
        <a:xfrm xmlns:a="http://schemas.openxmlformats.org/drawingml/2006/main">
          <a:off x="688976" y="764400"/>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2.xml><?xml version="1.0" encoding="utf-8"?>
<c:userShapes xmlns:c="http://schemas.openxmlformats.org/drawingml/2006/chart">
  <cdr:relSizeAnchor xmlns:cdr="http://schemas.openxmlformats.org/drawingml/2006/chartDrawing">
    <cdr:from>
      <cdr:x>0.69995</cdr:x>
      <cdr:y>0</cdr:y>
    </cdr:from>
    <cdr:to>
      <cdr:x>0.96182</cdr:x>
      <cdr:y>0.26489</cdr:y>
    </cdr:to>
    <cdr:sp macro="" textlink="">
      <cdr:nvSpPr>
        <cdr:cNvPr id="2" name="TextBox 1"/>
        <cdr:cNvSpPr txBox="1"/>
      </cdr:nvSpPr>
      <cdr:spPr>
        <a:xfrm xmlns:a="http://schemas.openxmlformats.org/drawingml/2006/main">
          <a:off x="1920103" y="0"/>
          <a:ext cx="718362" cy="362310"/>
        </a:xfrm>
        <a:prstGeom xmlns:a="http://schemas.openxmlformats.org/drawingml/2006/main" prst="rect">
          <a:avLst/>
        </a:prstGeom>
      </cdr:spPr>
      <cdr:txBody>
        <a:bodyPr xmlns:a="http://schemas.openxmlformats.org/drawingml/2006/main" vertOverflow="clip" wrap="square" lIns="0" tIns="0" rIns="0" bIns="0" rtlCol="0" anchor="t" anchorCtr="0"/>
        <a:lstStyle xmlns:a="http://schemas.openxmlformats.org/drawingml/2006/main"/>
        <a:p xmlns:a="http://schemas.openxmlformats.org/drawingml/2006/main">
          <a:pPr algn="ctr"/>
          <a:r>
            <a:rPr lang="en-GB" sz="650" u="sng">
              <a:solidFill>
                <a:schemeClr val="tx2"/>
              </a:solidFill>
            </a:rPr>
            <a:t>Q1–Q2 </a:t>
          </a:r>
          <a:r>
            <a:rPr lang="sr-Latn-RS" sz="650" u="sng">
              <a:solidFill>
                <a:schemeClr val="tx2"/>
              </a:solidFill>
            </a:rPr>
            <a:t>20</a:t>
          </a:r>
          <a:r>
            <a:rPr lang="en-GB" sz="650" u="sng">
              <a:solidFill>
                <a:schemeClr val="tx2"/>
              </a:solidFill>
            </a:rPr>
            <a:t>23</a:t>
          </a:r>
          <a:endParaRPr lang="sr-Latn-RS" sz="650" u="none">
            <a:solidFill>
              <a:schemeClr val="tx2"/>
            </a:solidFill>
          </a:endParaRPr>
        </a:p>
        <a:p xmlns:a="http://schemas.openxmlformats.org/drawingml/2006/main">
          <a:pPr algn="ctr"/>
          <a:r>
            <a:rPr lang="en-GB" sz="650">
              <a:solidFill>
                <a:schemeClr val="tx2"/>
              </a:solidFill>
            </a:rPr>
            <a:t>Q1–Q2 </a:t>
          </a:r>
          <a:r>
            <a:rPr lang="sr-Latn-RS" sz="650">
              <a:solidFill>
                <a:schemeClr val="tx2"/>
              </a:solidFill>
            </a:rPr>
            <a:t>20</a:t>
          </a:r>
          <a:r>
            <a:rPr lang="en-GB" sz="650">
              <a:solidFill>
                <a:schemeClr val="tx2"/>
              </a:solidFill>
            </a:rPr>
            <a:t>22 </a:t>
          </a:r>
          <a:endParaRPr lang="sr-Latn-RS" sz="650">
            <a:solidFill>
              <a:schemeClr val="tx2"/>
            </a:solidFill>
          </a:endParaRPr>
        </a:p>
        <a:p xmlns:a="http://schemas.openxmlformats.org/drawingml/2006/main">
          <a:pPr algn="ctr"/>
          <a:r>
            <a:rPr lang="sr-Cyrl-RS" sz="650">
              <a:solidFill>
                <a:schemeClr val="tx2"/>
              </a:solidFill>
            </a:rPr>
            <a:t>индекси</a:t>
          </a:r>
        </a:p>
      </cdr:txBody>
    </cdr:sp>
  </cdr:relSizeAnchor>
</c:userShapes>
</file>

<file path=word/drawings/drawing13.xml><?xml version="1.0" encoding="utf-8"?>
<c:userShapes xmlns:c="http://schemas.openxmlformats.org/drawingml/2006/chart">
  <cdr:relSizeAnchor xmlns:cdr="http://schemas.openxmlformats.org/drawingml/2006/chartDrawing">
    <cdr:from>
      <cdr:x>0.70486</cdr:x>
      <cdr:y>0</cdr:y>
    </cdr:from>
    <cdr:to>
      <cdr:x>0.90625</cdr:x>
      <cdr:y>0.08178</cdr:y>
    </cdr:to>
    <cdr:sp macro="" textlink="">
      <cdr:nvSpPr>
        <cdr:cNvPr id="2" name="TextBox 1"/>
        <cdr:cNvSpPr txBox="1"/>
      </cdr:nvSpPr>
      <cdr:spPr>
        <a:xfrm xmlns:a="http://schemas.openxmlformats.org/drawingml/2006/main">
          <a:off x="1933575" y="0"/>
          <a:ext cx="552453" cy="126595"/>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r>
            <a:rPr lang="sr-Cyrl-RS" sz="700">
              <a:solidFill>
                <a:schemeClr val="tx2"/>
              </a:solidFill>
            </a:rPr>
            <a:t>(десна скала)</a:t>
          </a:r>
          <a:endParaRPr lang="en-GB" sz="700">
            <a:solidFill>
              <a:schemeClr val="tx2"/>
            </a:solidFill>
          </a:endParaRPr>
        </a:p>
      </cdr:txBody>
    </cdr:sp>
  </cdr:relSizeAnchor>
</c:userShapes>
</file>

<file path=word/drawings/drawing14.xml><?xml version="1.0" encoding="utf-8"?>
<c:userShapes xmlns:c="http://schemas.openxmlformats.org/drawingml/2006/chart">
  <cdr:relSizeAnchor xmlns:cdr="http://schemas.openxmlformats.org/drawingml/2006/chartDrawing">
    <cdr:from>
      <cdr:x>0.75347</cdr:x>
      <cdr:y>0.05136</cdr:y>
    </cdr:from>
    <cdr:to>
      <cdr:x>0.97569</cdr:x>
      <cdr:y>0.73884</cdr:y>
    </cdr:to>
    <cdr:sp macro="" textlink="">
      <cdr:nvSpPr>
        <cdr:cNvPr id="3" name="TextBox 1">
          <a:extLst xmlns:a="http://schemas.openxmlformats.org/drawingml/2006/main">
            <a:ext uri="{FF2B5EF4-FFF2-40B4-BE49-F238E27FC236}">
              <a16:creationId xmlns:a16="http://schemas.microsoft.com/office/drawing/2014/main" id="{CB67022E-D6AD-4B7B-A85C-598295CBC51B}"/>
            </a:ext>
          </a:extLst>
        </cdr:cNvPr>
        <cdr:cNvSpPr txBox="1"/>
      </cdr:nvSpPr>
      <cdr:spPr>
        <a:xfrm xmlns:a="http://schemas.openxmlformats.org/drawingml/2006/main">
          <a:off x="2066919" y="97995"/>
          <a:ext cx="609594" cy="1311705"/>
        </a:xfrm>
        <a:prstGeom xmlns:a="http://schemas.openxmlformats.org/drawingml/2006/main" prst="rect">
          <a:avLst/>
        </a:prstGeom>
        <a:solidFill xmlns:a="http://schemas.openxmlformats.org/drawingml/2006/main">
          <a:schemeClr val="accent5">
            <a:alpha val="10000"/>
          </a:schemeClr>
        </a:solidFill>
        <a:ln xmlns:a="http://schemas.openxmlformats.org/drawingml/2006/main">
          <a:solidFill>
            <a:schemeClr val="accent1"/>
          </a:solidFill>
          <a:prstDash val="dash"/>
        </a:ln>
      </cdr:spPr>
      <cdr:txBody>
        <a:bodyPr xmlns:a="http://schemas.openxmlformats.org/drawingml/2006/main" wrap="square" rtlCol="0" anchor="t"/>
        <a:lstStyle xmlns:a="http://schemas.openxmlformats.org/drawingml/2006/main"/>
        <a:p xmlns:a="http://schemas.openxmlformats.org/drawingml/2006/main">
          <a:endParaRPr lang="en-GB"/>
        </a:p>
      </cdr:txBody>
    </cdr:sp>
  </cdr:relSizeAnchor>
</c:userShapes>
</file>

<file path=word/drawings/drawing15.xml><?xml version="1.0" encoding="utf-8"?>
<c:userShapes xmlns:c="http://schemas.openxmlformats.org/drawingml/2006/chart">
  <cdr:relSizeAnchor xmlns:cdr="http://schemas.openxmlformats.org/drawingml/2006/chartDrawing">
    <cdr:from>
      <cdr:x>0.5885</cdr:x>
      <cdr:y>0</cdr:y>
    </cdr:from>
    <cdr:to>
      <cdr:x>0.98231</cdr:x>
      <cdr:y>0.73936</cdr:y>
    </cdr:to>
    <cdr:sp macro="" textlink="">
      <cdr:nvSpPr>
        <cdr:cNvPr id="3" name="TextBox 2"/>
        <cdr:cNvSpPr txBox="1"/>
      </cdr:nvSpPr>
      <cdr:spPr>
        <a:xfrm xmlns:a="http://schemas.openxmlformats.org/drawingml/2006/main">
          <a:off x="1689101" y="0"/>
          <a:ext cx="1130326" cy="154897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6.xml><?xml version="1.0" encoding="utf-8"?>
<c:userShapes xmlns:c="http://schemas.openxmlformats.org/drawingml/2006/chart">
  <cdr:relSizeAnchor xmlns:cdr="http://schemas.openxmlformats.org/drawingml/2006/chartDrawing">
    <cdr:from>
      <cdr:x>0.58333</cdr:x>
      <cdr:y>0</cdr:y>
    </cdr:from>
    <cdr:to>
      <cdr:x>0.97619</cdr:x>
      <cdr:y>0.73863</cdr:y>
    </cdr:to>
    <cdr:sp macro="" textlink="">
      <cdr:nvSpPr>
        <cdr:cNvPr id="3" name="TextBox 2"/>
        <cdr:cNvSpPr txBox="1"/>
      </cdr:nvSpPr>
      <cdr:spPr>
        <a:xfrm xmlns:a="http://schemas.openxmlformats.org/drawingml/2006/main">
          <a:off x="1600200" y="0"/>
          <a:ext cx="1077684" cy="156087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7.xml><?xml version="1.0" encoding="utf-8"?>
<c:userShapes xmlns:c="http://schemas.openxmlformats.org/drawingml/2006/chart">
  <cdr:relSizeAnchor xmlns:cdr="http://schemas.openxmlformats.org/drawingml/2006/chartDrawing">
    <cdr:from>
      <cdr:x>0.57798</cdr:x>
      <cdr:y>0.02446</cdr:y>
    </cdr:from>
    <cdr:to>
      <cdr:x>0.97062</cdr:x>
      <cdr:y>0.78514</cdr:y>
    </cdr:to>
    <cdr:sp macro="" textlink="">
      <cdr:nvSpPr>
        <cdr:cNvPr id="3" name="TextBox 2"/>
        <cdr:cNvSpPr txBox="1"/>
      </cdr:nvSpPr>
      <cdr:spPr>
        <a:xfrm xmlns:a="http://schemas.openxmlformats.org/drawingml/2006/main">
          <a:off x="1585515" y="52048"/>
          <a:ext cx="1077090" cy="1618640"/>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8.xml><?xml version="1.0" encoding="utf-8"?>
<c:userShapes xmlns:c="http://schemas.openxmlformats.org/drawingml/2006/chart">
  <cdr:relSizeAnchor xmlns:cdr="http://schemas.openxmlformats.org/drawingml/2006/chartDrawing">
    <cdr:from>
      <cdr:x>0.66671</cdr:x>
      <cdr:y>0</cdr:y>
    </cdr:from>
    <cdr:to>
      <cdr:x>1</cdr:x>
      <cdr:y>0.15397</cdr:y>
    </cdr:to>
    <cdr:sp macro="" textlink="">
      <cdr:nvSpPr>
        <cdr:cNvPr id="2" name="TextBox 1">
          <a:extLst xmlns:a="http://schemas.openxmlformats.org/drawingml/2006/main">
            <a:ext uri="{FF2B5EF4-FFF2-40B4-BE49-F238E27FC236}">
              <a16:creationId xmlns:a16="http://schemas.microsoft.com/office/drawing/2014/main" id="{EEBA72B3-E404-4722-5BD3-9A173FE23DD3}"/>
            </a:ext>
          </a:extLst>
        </cdr:cNvPr>
        <cdr:cNvSpPr txBox="1"/>
      </cdr:nvSpPr>
      <cdr:spPr>
        <a:xfrm xmlns:a="http://schemas.openxmlformats.org/drawingml/2006/main">
          <a:off x="1828915" y="0"/>
          <a:ext cx="914285" cy="275888"/>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a:solidFill>
                <a:schemeClr val="tx2"/>
              </a:solidFill>
            </a:rPr>
            <a:t>Стопа становништва ван радне снаге</a:t>
          </a:r>
          <a:endParaRPr lang="en-US" sz="750">
            <a:solidFill>
              <a:schemeClr val="tx2"/>
            </a:solidFill>
          </a:endParaRPr>
        </a:p>
      </cdr:txBody>
    </cdr:sp>
  </cdr:relSizeAnchor>
  <cdr:relSizeAnchor xmlns:cdr="http://schemas.openxmlformats.org/drawingml/2006/chartDrawing">
    <cdr:from>
      <cdr:x>0.35123</cdr:x>
      <cdr:y>0</cdr:y>
    </cdr:from>
    <cdr:to>
      <cdr:x>0.65307</cdr:x>
      <cdr:y>0.08</cdr:y>
    </cdr:to>
    <cdr:sp macro="" textlink="">
      <cdr:nvSpPr>
        <cdr:cNvPr id="3" name="TextBox 1">
          <a:extLst xmlns:a="http://schemas.openxmlformats.org/drawingml/2006/main">
            <a:ext uri="{FF2B5EF4-FFF2-40B4-BE49-F238E27FC236}">
              <a16:creationId xmlns:a16="http://schemas.microsoft.com/office/drawing/2014/main" id="{D63F64B9-2A3E-9C8E-FD5C-33974146D41E}"/>
            </a:ext>
          </a:extLst>
        </cdr:cNvPr>
        <cdr:cNvSpPr txBox="1"/>
      </cdr:nvSpPr>
      <cdr:spPr>
        <a:xfrm xmlns:a="http://schemas.openxmlformats.org/drawingml/2006/main">
          <a:off x="963501" y="0"/>
          <a:ext cx="828000" cy="143347"/>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a:solidFill>
                <a:schemeClr val="tx2"/>
              </a:solidFill>
            </a:rPr>
            <a:t>Стопа запослености</a:t>
          </a:r>
          <a:endParaRPr lang="en-US" sz="750">
            <a:solidFill>
              <a:schemeClr val="tx2"/>
            </a:solidFill>
          </a:endParaRPr>
        </a:p>
      </cdr:txBody>
    </cdr:sp>
  </cdr:relSizeAnchor>
  <cdr:relSizeAnchor xmlns:cdr="http://schemas.openxmlformats.org/drawingml/2006/chartDrawing">
    <cdr:from>
      <cdr:x>0</cdr:x>
      <cdr:y>0</cdr:y>
    </cdr:from>
    <cdr:to>
      <cdr:x>0.34121</cdr:x>
      <cdr:y>0.08</cdr:y>
    </cdr:to>
    <cdr:sp macro="" textlink="">
      <cdr:nvSpPr>
        <cdr:cNvPr id="4" name="TextBox 1">
          <a:extLst xmlns:a="http://schemas.openxmlformats.org/drawingml/2006/main">
            <a:ext uri="{FF2B5EF4-FFF2-40B4-BE49-F238E27FC236}">
              <a16:creationId xmlns:a16="http://schemas.microsoft.com/office/drawing/2014/main" id="{FD5E4A56-9597-87E6-88AD-15B99CCAA48D}"/>
            </a:ext>
          </a:extLst>
        </cdr:cNvPr>
        <cdr:cNvSpPr txBox="1"/>
      </cdr:nvSpPr>
      <cdr:spPr>
        <a:xfrm xmlns:a="http://schemas.openxmlformats.org/drawingml/2006/main">
          <a:off x="0" y="0"/>
          <a:ext cx="936000" cy="143347"/>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sr-Cyrl-RS" sz="750">
              <a:solidFill>
                <a:schemeClr val="tx2"/>
              </a:solidFill>
            </a:rPr>
            <a:t>Стопа незапослености</a:t>
          </a:r>
          <a:endParaRPr lang="en-US" sz="750">
            <a:solidFill>
              <a:schemeClr val="tx2"/>
            </a:solidFill>
          </a:endParaRPr>
        </a:p>
      </cdr:txBody>
    </cdr:sp>
  </cdr:relSizeAnchor>
</c:userShapes>
</file>

<file path=word/drawings/drawing19.xml><?xml version="1.0" encoding="utf-8"?>
<c:userShapes xmlns:c="http://schemas.openxmlformats.org/drawingml/2006/chart">
  <cdr:relSizeAnchor xmlns:cdr="http://schemas.openxmlformats.org/drawingml/2006/chartDrawing">
    <cdr:from>
      <cdr:x>0.0878</cdr:x>
      <cdr:y>0.72193</cdr:y>
    </cdr:from>
    <cdr:to>
      <cdr:x>0.95377</cdr:x>
      <cdr:y>0.72193</cdr:y>
    </cdr:to>
    <cdr:cxnSp macro="">
      <cdr:nvCxnSpPr>
        <cdr:cNvPr id="3" name="Straight Connector 2">
          <a:extLst xmlns:a="http://schemas.openxmlformats.org/drawingml/2006/main">
            <a:ext uri="{FF2B5EF4-FFF2-40B4-BE49-F238E27FC236}">
              <a16:creationId xmlns:a16="http://schemas.microsoft.com/office/drawing/2014/main" id="{92170C42-51AD-40FC-A279-09E604F64C1D}"/>
            </a:ext>
          </a:extLst>
        </cdr:cNvPr>
        <cdr:cNvCxnSpPr/>
      </cdr:nvCxnSpPr>
      <cdr:spPr>
        <a:xfrm xmlns:a="http://schemas.openxmlformats.org/drawingml/2006/main" flipV="1">
          <a:off x="240520" y="1305002"/>
          <a:ext cx="2372307" cy="0"/>
        </a:xfrm>
        <a:prstGeom xmlns:a="http://schemas.openxmlformats.org/drawingml/2006/main" prst="line">
          <a:avLst/>
        </a:prstGeom>
        <a:ln xmlns:a="http://schemas.openxmlformats.org/drawingml/2006/main" w="31750">
          <a:solidFill>
            <a:schemeClr val="bg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0.xml><?xml version="1.0" encoding="utf-8"?>
<c:userShapes xmlns:c="http://schemas.openxmlformats.org/drawingml/2006/chart">
  <cdr:relSizeAnchor xmlns:cdr="http://schemas.openxmlformats.org/drawingml/2006/chartDrawing">
    <cdr:from>
      <cdr:x>0.80976</cdr:x>
      <cdr:y>0.00888</cdr:y>
    </cdr:from>
    <cdr:to>
      <cdr:x>0.94583</cdr:x>
      <cdr:y>0.69978</cdr:y>
    </cdr:to>
    <cdr:sp macro="" textlink="">
      <cdr:nvSpPr>
        <cdr:cNvPr id="2" name="TextBox 1"/>
        <cdr:cNvSpPr txBox="1"/>
      </cdr:nvSpPr>
      <cdr:spPr>
        <a:xfrm xmlns:a="http://schemas.openxmlformats.org/drawingml/2006/main">
          <a:off x="2221334" y="14537"/>
          <a:ext cx="373267" cy="1131024"/>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530" b="1">
              <a:solidFill>
                <a:schemeClr val="tx2"/>
              </a:solidFill>
              <a:latin typeface="+mn-lt"/>
              <a:cs typeface="Arial" panose="020B0604020202020204" pitchFamily="34" charset="0"/>
            </a:rPr>
            <a:t>ПРОЈЕКЦИЈА</a:t>
          </a:r>
        </a:p>
      </cdr:txBody>
    </cdr:sp>
  </cdr:relSizeAnchor>
</c:userShapes>
</file>

<file path=word/drawings/drawing21.xml><?xml version="1.0" encoding="utf-8"?>
<c:userShapes xmlns:c="http://schemas.openxmlformats.org/drawingml/2006/chart">
  <cdr:relSizeAnchor xmlns:cdr="http://schemas.openxmlformats.org/drawingml/2006/chartDrawing">
    <cdr:from>
      <cdr:x>0.59869</cdr:x>
      <cdr:y>0</cdr:y>
    </cdr:from>
    <cdr:to>
      <cdr:x>0.9881</cdr:x>
      <cdr:y>0.76585</cdr:y>
    </cdr:to>
    <cdr:sp macro="" textlink="">
      <cdr:nvSpPr>
        <cdr:cNvPr id="2" name="TextBox 1"/>
        <cdr:cNvSpPr txBox="1"/>
      </cdr:nvSpPr>
      <cdr:spPr>
        <a:xfrm xmlns:a="http://schemas.openxmlformats.org/drawingml/2006/main">
          <a:off x="1648327" y="0"/>
          <a:ext cx="1072136" cy="163926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22.xml><?xml version="1.0" encoding="utf-8"?>
<c:userShapes xmlns:c="http://schemas.openxmlformats.org/drawingml/2006/chart">
  <cdr:relSizeAnchor xmlns:cdr="http://schemas.openxmlformats.org/drawingml/2006/chartDrawing">
    <cdr:from>
      <cdr:x>0.63371</cdr:x>
      <cdr:y>0.01417</cdr:y>
    </cdr:from>
    <cdr:to>
      <cdr:x>0.98264</cdr:x>
      <cdr:y>0.75123</cdr:y>
    </cdr:to>
    <cdr:sp macro="" textlink="">
      <cdr:nvSpPr>
        <cdr:cNvPr id="2" name="TextBox 1"/>
        <cdr:cNvSpPr txBox="1"/>
      </cdr:nvSpPr>
      <cdr:spPr>
        <a:xfrm xmlns:a="http://schemas.openxmlformats.org/drawingml/2006/main">
          <a:off x="1738396" y="28890"/>
          <a:ext cx="957180" cy="150276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23.xml><?xml version="1.0" encoding="utf-8"?>
<c:userShapes xmlns:c="http://schemas.openxmlformats.org/drawingml/2006/chart">
  <cdr:relSizeAnchor xmlns:cdr="http://schemas.openxmlformats.org/drawingml/2006/chartDrawing">
    <cdr:from>
      <cdr:x>0.5994</cdr:x>
      <cdr:y>0.31197</cdr:y>
    </cdr:from>
    <cdr:to>
      <cdr:x>0.5994</cdr:x>
      <cdr:y>0.34818</cdr:y>
    </cdr:to>
    <cdr:cxnSp macro="">
      <cdr:nvCxnSpPr>
        <cdr:cNvPr id="3" name="Straight Arrow Connector 2">
          <a:extLst xmlns:a="http://schemas.openxmlformats.org/drawingml/2006/main">
            <a:ext uri="{FF2B5EF4-FFF2-40B4-BE49-F238E27FC236}">
              <a16:creationId xmlns:a16="http://schemas.microsoft.com/office/drawing/2014/main" id="{A2C96F0A-6011-F01B-019B-4CE8B6F4E1BA}"/>
            </a:ext>
          </a:extLst>
        </cdr:cNvPr>
        <cdr:cNvCxnSpPr/>
      </cdr:nvCxnSpPr>
      <cdr:spPr>
        <a:xfrm xmlns:a="http://schemas.openxmlformats.org/drawingml/2006/main" flipV="1">
          <a:off x="3927978" y="1066789"/>
          <a:ext cx="0" cy="123819"/>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4.xml><?xml version="1.0" encoding="utf-8"?>
<c:userShapes xmlns:c="http://schemas.openxmlformats.org/drawingml/2006/chart">
  <cdr:relSizeAnchor xmlns:cdr="http://schemas.openxmlformats.org/drawingml/2006/chartDrawing">
    <cdr:from>
      <cdr:x>0.11417</cdr:x>
      <cdr:y>0.10232</cdr:y>
    </cdr:from>
    <cdr:to>
      <cdr:x>0.67815</cdr:x>
      <cdr:y>0.19396</cdr:y>
    </cdr:to>
    <cdr:sp macro="" textlink="">
      <cdr:nvSpPr>
        <cdr:cNvPr id="4" name="Text Box 94"/>
        <cdr:cNvSpPr txBox="1"/>
      </cdr:nvSpPr>
      <cdr:spPr>
        <a:xfrm xmlns:a="http://schemas.openxmlformats.org/drawingml/2006/main">
          <a:off x="345586" y="414326"/>
          <a:ext cx="1707203" cy="371102"/>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algn="ctr">
            <a:lnSpc>
              <a:spcPct val="107000"/>
            </a:lnSpc>
            <a:spcAft>
              <a:spcPts val="800"/>
            </a:spcAft>
          </a:pPr>
          <a:r>
            <a:rPr lang="sr-Cyrl-RS" sz="700" b="1">
              <a:solidFill>
                <a:srgbClr val="44546A"/>
              </a:solidFill>
              <a:effectLst/>
              <a:latin typeface="Calibri" panose="020F0502020204030204" pitchFamily="34" charset="0"/>
              <a:ea typeface="Calibri" panose="020F0502020204030204" pitchFamily="34" charset="0"/>
              <a:cs typeface="Times New Roman" panose="02020603050405020304" pitchFamily="18" charset="0"/>
            </a:rPr>
            <a:t>Праг фискалног подиндекса (0,36)</a:t>
          </a:r>
          <a:endParaRPr lang="en-GB" sz="1000">
            <a:solidFill>
              <a:srgbClr val="44546A"/>
            </a:solidFill>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0.50413</cdr:x>
      <cdr:y>0.19408</cdr:y>
    </cdr:from>
    <cdr:to>
      <cdr:x>0.99144</cdr:x>
      <cdr:y>0.2239</cdr:y>
    </cdr:to>
    <cdr:sp macro="" textlink="">
      <cdr:nvSpPr>
        <cdr:cNvPr id="6" name="Text Box 96"/>
        <cdr:cNvSpPr txBox="1"/>
      </cdr:nvSpPr>
      <cdr:spPr>
        <a:xfrm xmlns:a="http://schemas.openxmlformats.org/drawingml/2006/main">
          <a:off x="1526032" y="785903"/>
          <a:ext cx="1475116" cy="120770"/>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0" tIns="0" rIns="0" bIns="0" numCol="1" spcCol="0" rtlCol="0" fromWordArt="0" anchor="t" anchorCtr="0" forceAA="0" compatLnSpc="1">
          <a:prstTxWarp prst="textNoShape">
            <a:avLst/>
          </a:prstTxWarp>
          <a:noAutofit/>
        </a:bodyPr>
        <a:lstStyle xmlns:a="http://schemas.openxmlformats.org/drawingml/2006/main"/>
        <a:p xmlns:a="http://schemas.openxmlformats.org/drawingml/2006/main">
          <a:pPr algn="just">
            <a:lnSpc>
              <a:spcPct val="107000"/>
            </a:lnSpc>
            <a:spcAft>
              <a:spcPts val="800"/>
            </a:spcAft>
          </a:pPr>
          <a:r>
            <a:rPr lang="sr-Cyrl-RS" sz="700" b="1">
              <a:solidFill>
                <a:srgbClr val="44546A"/>
              </a:solidFill>
              <a:effectLst/>
              <a:latin typeface="Calibri" panose="020F0502020204030204" pitchFamily="34" charset="0"/>
              <a:ea typeface="Calibri" panose="020F0502020204030204" pitchFamily="34" charset="0"/>
              <a:cs typeface="Times New Roman" panose="02020603050405020304" pitchFamily="18" charset="0"/>
            </a:rPr>
            <a:t>Праг финансијског подиндекса (0,49)</a:t>
          </a:r>
          <a:endParaRPr lang="en-GB" sz="1000">
            <a:solidFill>
              <a:srgbClr val="44546A"/>
            </a:solidFill>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0.9078</cdr:x>
      <cdr:y>0.22241</cdr:y>
    </cdr:from>
    <cdr:to>
      <cdr:x>0.93141</cdr:x>
      <cdr:y>0.24898</cdr:y>
    </cdr:to>
    <cdr:cxnSp macro="">
      <cdr:nvCxnSpPr>
        <cdr:cNvPr id="8" name="Straight Arrow Connector 7">
          <a:extLst xmlns:a="http://schemas.openxmlformats.org/drawingml/2006/main">
            <a:ext uri="{FF2B5EF4-FFF2-40B4-BE49-F238E27FC236}">
              <a16:creationId xmlns:a16="http://schemas.microsoft.com/office/drawing/2014/main" id="{B7CF4F90-DE13-DC95-B68E-578DDCB320AD}"/>
            </a:ext>
          </a:extLst>
        </cdr:cNvPr>
        <cdr:cNvCxnSpPr/>
      </cdr:nvCxnSpPr>
      <cdr:spPr>
        <a:xfrm xmlns:a="http://schemas.openxmlformats.org/drawingml/2006/main" flipH="1" flipV="1">
          <a:off x="2747963" y="900640"/>
          <a:ext cx="71442" cy="107592"/>
        </a:xfrm>
        <a:prstGeom xmlns:a="http://schemas.openxmlformats.org/drawingml/2006/main" prst="straightConnector1">
          <a:avLst/>
        </a:prstGeom>
        <a:ln xmlns:a="http://schemas.openxmlformats.org/drawingml/2006/main">
          <a:solidFill>
            <a:schemeClr val="tx1">
              <a:lumMod val="75000"/>
              <a:lumOff val="25000"/>
            </a:schemeClr>
          </a:solidFill>
          <a:prstDash val="sysDash"/>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0.46331</cdr:x>
      <cdr:y>0.14546</cdr:y>
    </cdr:from>
    <cdr:to>
      <cdr:x>0.50189</cdr:x>
      <cdr:y>0.16531</cdr:y>
    </cdr:to>
    <cdr:cxnSp macro="">
      <cdr:nvCxnSpPr>
        <cdr:cNvPr id="2" name="Straight Arrow Connector 1"/>
        <cdr:cNvCxnSpPr/>
      </cdr:nvCxnSpPr>
      <cdr:spPr>
        <a:xfrm xmlns:a="http://schemas.openxmlformats.org/drawingml/2006/main" flipH="1" flipV="1">
          <a:off x="1402454" y="589031"/>
          <a:ext cx="116794" cy="80355"/>
        </a:xfrm>
        <a:prstGeom xmlns:a="http://schemas.openxmlformats.org/drawingml/2006/main" prst="straightConnector1">
          <a:avLst/>
        </a:prstGeom>
        <a:ln xmlns:a="http://schemas.openxmlformats.org/drawingml/2006/main">
          <a:solidFill>
            <a:schemeClr val="tx1">
              <a:lumMod val="75000"/>
              <a:lumOff val="25000"/>
            </a:schemeClr>
          </a:solidFill>
          <a:prstDash val="sysDash"/>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5.xml><?xml version="1.0" encoding="utf-8"?>
<c:userShapes xmlns:c="http://schemas.openxmlformats.org/drawingml/2006/chart">
  <cdr:relSizeAnchor xmlns:cdr="http://schemas.openxmlformats.org/drawingml/2006/chartDrawing">
    <cdr:from>
      <cdr:x>0.83237</cdr:x>
      <cdr:y>0.04452</cdr:y>
    </cdr:from>
    <cdr:to>
      <cdr:x>0.96904</cdr:x>
      <cdr:y>0.10408</cdr:y>
    </cdr:to>
    <cdr:sp macro="" textlink="">
      <cdr:nvSpPr>
        <cdr:cNvPr id="2" name="TextBox 1"/>
        <cdr:cNvSpPr txBox="1"/>
      </cdr:nvSpPr>
      <cdr:spPr>
        <a:xfrm xmlns:a="http://schemas.openxmlformats.org/drawingml/2006/main">
          <a:off x="5378606" y="170300"/>
          <a:ext cx="883129" cy="227845"/>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endParaRPr lang="en-US" sz="1100">
            <a:latin typeface="+mj-lt"/>
          </a:endParaRPr>
        </a:p>
      </cdr:txBody>
    </cdr:sp>
  </cdr:relSizeAnchor>
</c:userShapes>
</file>

<file path=word/drawings/drawing26.xml><?xml version="1.0" encoding="utf-8"?>
<c:userShapes xmlns:c="http://schemas.openxmlformats.org/drawingml/2006/chart">
  <cdr:relSizeAnchor xmlns:cdr="http://schemas.openxmlformats.org/drawingml/2006/chartDrawing">
    <cdr:from>
      <cdr:x>0.44464</cdr:x>
      <cdr:y>0.05719</cdr:y>
    </cdr:from>
    <cdr:to>
      <cdr:x>0.98223</cdr:x>
      <cdr:y>0.15962</cdr:y>
    </cdr:to>
    <cdr:sp macro="" textlink="">
      <cdr:nvSpPr>
        <cdr:cNvPr id="3" name="TextBox 2"/>
        <cdr:cNvSpPr txBox="1"/>
      </cdr:nvSpPr>
      <cdr:spPr>
        <a:xfrm xmlns:a="http://schemas.openxmlformats.org/drawingml/2006/main">
          <a:off x="1202808" y="140006"/>
          <a:ext cx="1454235" cy="25074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sr-Cyrl-RS" sz="900">
              <a:solidFill>
                <a:schemeClr val="tx2"/>
              </a:solidFill>
            </a:rPr>
            <a:t>у милионима динара</a:t>
          </a:r>
          <a:endParaRPr lang="en-US" sz="900">
            <a:solidFill>
              <a:schemeClr val="tx2"/>
            </a:solidFill>
          </a:endParaRPr>
        </a:p>
      </cdr:txBody>
    </cdr:sp>
  </cdr:relSizeAnchor>
</c:userShapes>
</file>

<file path=word/drawings/drawing27.xml><?xml version="1.0" encoding="utf-8"?>
<c:userShapes xmlns:c="http://schemas.openxmlformats.org/drawingml/2006/chart">
  <cdr:relSizeAnchor xmlns:cdr="http://schemas.openxmlformats.org/drawingml/2006/chartDrawing">
    <cdr:from>
      <cdr:x>0.375</cdr:x>
      <cdr:y>0.01988</cdr:y>
    </cdr:from>
    <cdr:to>
      <cdr:x>0.98996</cdr:x>
      <cdr:y>0.13557</cdr:y>
    </cdr:to>
    <cdr:sp macro="" textlink="">
      <cdr:nvSpPr>
        <cdr:cNvPr id="3" name="TextBox 1"/>
        <cdr:cNvSpPr txBox="1"/>
      </cdr:nvSpPr>
      <cdr:spPr>
        <a:xfrm xmlns:a="http://schemas.openxmlformats.org/drawingml/2006/main">
          <a:off x="1028701" y="47625"/>
          <a:ext cx="1686958" cy="27709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sr-Cyrl-RS" sz="900">
              <a:solidFill>
                <a:schemeClr val="tx2"/>
              </a:solidFill>
            </a:rPr>
            <a:t>у милионима динара</a:t>
          </a:r>
          <a:endParaRPr lang="en-US" sz="900">
            <a:solidFill>
              <a:schemeClr val="tx2"/>
            </a:solidFill>
          </a:endParaRPr>
        </a:p>
      </cdr:txBody>
    </cdr:sp>
  </cdr:relSizeAnchor>
</c:userShapes>
</file>

<file path=word/drawings/drawing28.xml><?xml version="1.0" encoding="utf-8"?>
<c:userShapes xmlns:c="http://schemas.openxmlformats.org/drawingml/2006/chart">
  <cdr:relSizeAnchor xmlns:cdr="http://schemas.openxmlformats.org/drawingml/2006/chartDrawing">
    <cdr:from>
      <cdr:x>0.81932</cdr:x>
      <cdr:y>0.0769</cdr:y>
    </cdr:from>
    <cdr:to>
      <cdr:x>0.82058</cdr:x>
      <cdr:y>0.9015</cdr:y>
    </cdr:to>
    <cdr:cxnSp macro="">
      <cdr:nvCxnSpPr>
        <cdr:cNvPr id="3" name="Straight Connector 2"/>
        <cdr:cNvCxnSpPr/>
      </cdr:nvCxnSpPr>
      <cdr:spPr>
        <a:xfrm xmlns:a="http://schemas.openxmlformats.org/drawingml/2006/main">
          <a:off x="6231367" y="342471"/>
          <a:ext cx="9583" cy="3672244"/>
        </a:xfrm>
        <a:prstGeom xmlns:a="http://schemas.openxmlformats.org/drawingml/2006/main" prst="line">
          <a:avLst/>
        </a:prstGeom>
        <a:ln xmlns:a="http://schemas.openxmlformats.org/drawingml/2006/main">
          <a:prstDash val="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29.xml><?xml version="1.0" encoding="utf-8"?>
<c:userShapes xmlns:c="http://schemas.openxmlformats.org/drawingml/2006/chart">
  <cdr:relSizeAnchor xmlns:cdr="http://schemas.openxmlformats.org/drawingml/2006/chartDrawing">
    <cdr:from>
      <cdr:x>0.11452</cdr:x>
      <cdr:y>0.17764</cdr:y>
    </cdr:from>
    <cdr:to>
      <cdr:x>0.34636</cdr:x>
      <cdr:y>0.5815</cdr:y>
    </cdr:to>
    <cdr:sp macro="" textlink="">
      <cdr:nvSpPr>
        <cdr:cNvPr id="11" name="Oval 10"/>
        <cdr:cNvSpPr/>
      </cdr:nvSpPr>
      <cdr:spPr>
        <a:xfrm xmlns:a="http://schemas.openxmlformats.org/drawingml/2006/main">
          <a:off x="802917" y="810478"/>
          <a:ext cx="1625484" cy="1842601"/>
        </a:xfrm>
        <a:prstGeom xmlns:a="http://schemas.openxmlformats.org/drawingml/2006/main" prst="ellipse">
          <a:avLst/>
        </a:prstGeom>
        <a:solidFill xmlns:a="http://schemas.openxmlformats.org/drawingml/2006/main">
          <a:srgbClr val="51BBE7">
            <a:alpha val="16000"/>
          </a:srgbClr>
        </a:solidFill>
        <a:ln xmlns:a="http://schemas.openxmlformats.org/drawingml/2006/main">
          <a:solidFill>
            <a:srgbClr val="29489A">
              <a:alpha val="50000"/>
            </a:srgb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0.19839</cdr:x>
      <cdr:y>0.21032</cdr:y>
    </cdr:from>
    <cdr:to>
      <cdr:x>0.25558</cdr:x>
      <cdr:y>0.36468</cdr:y>
    </cdr:to>
    <cdr:sp macro="" textlink="">
      <cdr:nvSpPr>
        <cdr:cNvPr id="5" name="Straight Arrow Connector 4"/>
        <cdr:cNvSpPr/>
      </cdr:nvSpPr>
      <cdr:spPr>
        <a:xfrm xmlns:a="http://schemas.openxmlformats.org/drawingml/2006/main" flipV="1">
          <a:off x="547121" y="504825"/>
          <a:ext cx="157729" cy="370516"/>
        </a:xfrm>
        <a:prstGeom xmlns:a="http://schemas.openxmlformats.org/drawingml/2006/main" prst="straightConnector1">
          <a:avLst/>
        </a:prstGeom>
        <a:ln xmlns:a="http://schemas.openxmlformats.org/drawingml/2006/main">
          <a:solidFill>
            <a:schemeClr val="dk1">
              <a:alpha val="54000"/>
            </a:schemeClr>
          </a:solidFill>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0.22207</cdr:x>
      <cdr:y>0.12824</cdr:y>
    </cdr:from>
    <cdr:to>
      <cdr:x>0.47663</cdr:x>
      <cdr:y>0.1746</cdr:y>
    </cdr:to>
    <cdr:sp macro="" textlink="">
      <cdr:nvSpPr>
        <cdr:cNvPr id="6" name="TextBox 5"/>
        <cdr:cNvSpPr txBox="1"/>
      </cdr:nvSpPr>
      <cdr:spPr>
        <a:xfrm xmlns:a="http://schemas.openxmlformats.org/drawingml/2006/main">
          <a:off x="612426" y="307815"/>
          <a:ext cx="702024" cy="11128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i="0" u="none" strike="noStrike" kern="1200" baseline="0">
              <a:solidFill>
                <a:srgbClr val="44546A"/>
              </a:solidFill>
              <a:effectLst/>
              <a:latin typeface="+mn-lt"/>
              <a:ea typeface="+mn-ea"/>
              <a:cs typeface="+mn-cs"/>
            </a:rPr>
            <a:t>Експанзивна</a:t>
          </a:r>
          <a:r>
            <a:rPr lang="en-US" sz="600" baseline="0">
              <a:latin typeface="+mn-lt"/>
            </a:rPr>
            <a:t> </a:t>
          </a:r>
        </a:p>
      </cdr:txBody>
    </cdr:sp>
  </cdr:relSizeAnchor>
  <cdr:relSizeAnchor xmlns:cdr="http://schemas.openxmlformats.org/drawingml/2006/chartDrawing">
    <cdr:from>
      <cdr:x>0.38338</cdr:x>
      <cdr:y>0.72094</cdr:y>
    </cdr:from>
    <cdr:to>
      <cdr:x>0.65813</cdr:x>
      <cdr:y>0.77778</cdr:y>
    </cdr:to>
    <cdr:sp macro="" textlink="">
      <cdr:nvSpPr>
        <cdr:cNvPr id="7" name="TextBox 6"/>
        <cdr:cNvSpPr txBox="1"/>
      </cdr:nvSpPr>
      <cdr:spPr>
        <a:xfrm xmlns:a="http://schemas.openxmlformats.org/drawingml/2006/main">
          <a:off x="1057275" y="1730472"/>
          <a:ext cx="757719" cy="13642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rgbClr val="44546A"/>
              </a:solidFill>
              <a:latin typeface="+mn-lt"/>
              <a:cs typeface="Times New Roman" pitchFamily="18" charset="0"/>
            </a:rPr>
            <a:t>Рестриктивна</a:t>
          </a:r>
          <a:endParaRPr lang="en-US" sz="600" b="1" baseline="0">
            <a:solidFill>
              <a:srgbClr val="44546A"/>
            </a:solidFill>
            <a:latin typeface="+mn-lt"/>
            <a:cs typeface="Times New Roman" pitchFamily="18" charset="0"/>
          </a:endParaRPr>
        </a:p>
      </cdr:txBody>
    </cdr:sp>
  </cdr:relSizeAnchor>
  <cdr:relSizeAnchor xmlns:cdr="http://schemas.openxmlformats.org/drawingml/2006/chartDrawing">
    <cdr:from>
      <cdr:x>0.345</cdr:x>
      <cdr:y>0.24444</cdr:y>
    </cdr:from>
    <cdr:to>
      <cdr:x>0.42788</cdr:x>
      <cdr:y>0.61707</cdr:y>
    </cdr:to>
    <cdr:sp macro="" textlink="">
      <cdr:nvSpPr>
        <cdr:cNvPr id="12" name="Oval 11"/>
        <cdr:cNvSpPr/>
      </cdr:nvSpPr>
      <cdr:spPr>
        <a:xfrm xmlns:a="http://schemas.openxmlformats.org/drawingml/2006/main">
          <a:off x="2418848" y="1115251"/>
          <a:ext cx="581053" cy="1700115"/>
        </a:xfrm>
        <a:prstGeom xmlns:a="http://schemas.openxmlformats.org/drawingml/2006/main" prst="ellipse">
          <a:avLst/>
        </a:prstGeom>
        <a:solidFill xmlns:a="http://schemas.openxmlformats.org/drawingml/2006/main">
          <a:schemeClr val="accent3">
            <a:lumMod val="40000"/>
            <a:lumOff val="60000"/>
            <a:alpha val="15000"/>
          </a:schemeClr>
        </a:solidFill>
        <a:ln xmlns:a="http://schemas.openxmlformats.org/drawingml/2006/main">
          <a:solidFill>
            <a:schemeClr val="accent3">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latin typeface="Cambria" pitchFamily="18" charset="0"/>
          </a:endParaRPr>
        </a:p>
      </cdr:txBody>
    </cdr:sp>
  </cdr:relSizeAnchor>
  <cdr:relSizeAnchor xmlns:cdr="http://schemas.openxmlformats.org/drawingml/2006/chartDrawing">
    <cdr:from>
      <cdr:x>0.56041</cdr:x>
      <cdr:y>0.13825</cdr:y>
    </cdr:from>
    <cdr:to>
      <cdr:x>0.72635</cdr:x>
      <cdr:y>0.19124</cdr:y>
    </cdr:to>
    <cdr:sp macro="" textlink="">
      <cdr:nvSpPr>
        <cdr:cNvPr id="17" name="TextBox 16"/>
        <cdr:cNvSpPr txBox="1"/>
      </cdr:nvSpPr>
      <cdr:spPr>
        <a:xfrm xmlns:a="http://schemas.openxmlformats.org/drawingml/2006/main">
          <a:off x="3667126" y="571500"/>
          <a:ext cx="1085850"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0.1207</cdr:x>
      <cdr:y>0.23831</cdr:y>
    </cdr:from>
    <cdr:to>
      <cdr:x>0.36265</cdr:x>
      <cdr:y>0.33333</cdr:y>
    </cdr:to>
    <cdr:sp macro="" textlink="">
      <cdr:nvSpPr>
        <cdr:cNvPr id="18" name="TextBox 17"/>
        <cdr:cNvSpPr txBox="1"/>
      </cdr:nvSpPr>
      <cdr:spPr>
        <a:xfrm xmlns:a="http://schemas.openxmlformats.org/drawingml/2006/main">
          <a:off x="332857" y="572020"/>
          <a:ext cx="667268" cy="22808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rgbClr val="44546A"/>
              </a:solidFill>
              <a:latin typeface="+mn-lt"/>
              <a:cs typeface="Times New Roman" pitchFamily="18" charset="0"/>
            </a:rPr>
            <a:t>Проциклична</a:t>
          </a:r>
          <a:endParaRPr lang="en-US" sz="600" b="1" baseline="0">
            <a:solidFill>
              <a:srgbClr val="44546A"/>
            </a:solidFill>
            <a:latin typeface="+mn-lt"/>
            <a:cs typeface="Times New Roman" pitchFamily="18" charset="0"/>
          </a:endParaRPr>
        </a:p>
      </cdr:txBody>
    </cdr:sp>
  </cdr:relSizeAnchor>
  <cdr:relSizeAnchor xmlns:cdr="http://schemas.openxmlformats.org/drawingml/2006/chartDrawing">
    <cdr:from>
      <cdr:x>0.24522</cdr:x>
      <cdr:y>0.33333</cdr:y>
    </cdr:from>
    <cdr:to>
      <cdr:x>0.53189</cdr:x>
      <cdr:y>0.40476</cdr:y>
    </cdr:to>
    <cdr:sp macro="" textlink="">
      <cdr:nvSpPr>
        <cdr:cNvPr id="19" name="TextBox 18"/>
        <cdr:cNvSpPr txBox="1"/>
      </cdr:nvSpPr>
      <cdr:spPr>
        <a:xfrm xmlns:a="http://schemas.openxmlformats.org/drawingml/2006/main">
          <a:off x="676276" y="800100"/>
          <a:ext cx="790574" cy="1714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rgbClr val="44546A"/>
              </a:solidFill>
              <a:latin typeface="+mn-lt"/>
              <a:cs typeface="Times New Roman" pitchFamily="18" charset="0"/>
            </a:rPr>
            <a:t>Контрациклична</a:t>
          </a:r>
          <a:endParaRPr lang="en-US" sz="600" b="1" baseline="0">
            <a:solidFill>
              <a:srgbClr val="44546A"/>
            </a:solidFill>
            <a:latin typeface="+mn-lt"/>
            <a:cs typeface="Times New Roman" pitchFamily="18" charset="0"/>
          </a:endParaRPr>
        </a:p>
      </cdr:txBody>
    </cdr:sp>
  </cdr:relSizeAnchor>
  <cdr:relSizeAnchor xmlns:cdr="http://schemas.openxmlformats.org/drawingml/2006/chartDrawing">
    <cdr:from>
      <cdr:x>0.42923</cdr:x>
      <cdr:y>0.1902</cdr:y>
    </cdr:from>
    <cdr:to>
      <cdr:x>0.67106</cdr:x>
      <cdr:y>0.7217</cdr:y>
    </cdr:to>
    <cdr:sp macro="" textlink="">
      <cdr:nvSpPr>
        <cdr:cNvPr id="10" name="Oval 9"/>
        <cdr:cNvSpPr/>
      </cdr:nvSpPr>
      <cdr:spPr>
        <a:xfrm xmlns:a="http://schemas.openxmlformats.org/drawingml/2006/main">
          <a:off x="3009426" y="867783"/>
          <a:ext cx="1695478" cy="2424955"/>
        </a:xfrm>
        <a:prstGeom xmlns:a="http://schemas.openxmlformats.org/drawingml/2006/main" prst="ellipse">
          <a:avLst/>
        </a:prstGeom>
        <a:solidFill xmlns:a="http://schemas.openxmlformats.org/drawingml/2006/main">
          <a:srgbClr val="51BBE7">
            <a:alpha val="15000"/>
          </a:srgbClr>
        </a:solidFill>
        <a:ln xmlns:a="http://schemas.openxmlformats.org/drawingml/2006/main">
          <a:solidFill>
            <a:schemeClr val="accent1">
              <a:shade val="50000"/>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0.43864</cdr:x>
      <cdr:y>0.25559</cdr:y>
    </cdr:from>
    <cdr:to>
      <cdr:x>0.70458</cdr:x>
      <cdr:y>0.3373</cdr:y>
    </cdr:to>
    <cdr:sp macro="" textlink="">
      <cdr:nvSpPr>
        <cdr:cNvPr id="13" name="TextBox 12"/>
        <cdr:cNvSpPr txBox="1"/>
      </cdr:nvSpPr>
      <cdr:spPr>
        <a:xfrm xmlns:a="http://schemas.openxmlformats.org/drawingml/2006/main">
          <a:off x="1209675" y="613499"/>
          <a:ext cx="733425" cy="19612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600" b="1" baseline="0">
              <a:solidFill>
                <a:srgbClr val="44546A"/>
              </a:solidFill>
              <a:latin typeface="+mn-lt"/>
            </a:rPr>
            <a:t>Проциклична</a:t>
          </a:r>
          <a:endParaRPr lang="en-US" sz="600" b="1" baseline="0">
            <a:solidFill>
              <a:srgbClr val="44546A"/>
            </a:solidFill>
            <a:latin typeface="+mn-lt"/>
          </a:endParaRPr>
        </a:p>
      </cdr:txBody>
    </cdr:sp>
  </cdr:relSizeAnchor>
  <cdr:relSizeAnchor xmlns:cdr="http://schemas.openxmlformats.org/drawingml/2006/chartDrawing">
    <cdr:from>
      <cdr:x>0.59061</cdr:x>
      <cdr:y>0.11508</cdr:y>
    </cdr:from>
    <cdr:to>
      <cdr:x>0.8795</cdr:x>
      <cdr:y>0.17391</cdr:y>
    </cdr:to>
    <cdr:sp macro="" textlink="">
      <cdr:nvSpPr>
        <cdr:cNvPr id="15" name="TextBox 1"/>
        <cdr:cNvSpPr txBox="1"/>
      </cdr:nvSpPr>
      <cdr:spPr>
        <a:xfrm xmlns:a="http://schemas.openxmlformats.org/drawingml/2006/main">
          <a:off x="1628775" y="276224"/>
          <a:ext cx="796711" cy="14121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RS" sz="600" b="1" i="0" u="none" strike="noStrike" kern="1200" baseline="0">
              <a:solidFill>
                <a:srgbClr val="44546A"/>
              </a:solidFill>
              <a:effectLst/>
              <a:latin typeface="+mn-lt"/>
              <a:ea typeface="+mn-ea"/>
              <a:cs typeface="+mn-cs"/>
            </a:rPr>
            <a:t>Експанзивна</a:t>
          </a:r>
          <a:r>
            <a:rPr lang="en-US" sz="600" baseline="0">
              <a:latin typeface="+mn-lt"/>
            </a:rPr>
            <a:t> </a:t>
          </a:r>
        </a:p>
      </cdr:txBody>
    </cdr:sp>
  </cdr:relSizeAnchor>
  <cdr:relSizeAnchor xmlns:cdr="http://schemas.openxmlformats.org/drawingml/2006/chartDrawing">
    <cdr:from>
      <cdr:x>0.67004</cdr:x>
      <cdr:y>0.03968</cdr:y>
    </cdr:from>
    <cdr:to>
      <cdr:x>0.82321</cdr:x>
      <cdr:y>0.75514</cdr:y>
    </cdr:to>
    <cdr:sp macro="" textlink="">
      <cdr:nvSpPr>
        <cdr:cNvPr id="16" name="Oval 15"/>
        <cdr:cNvSpPr/>
      </cdr:nvSpPr>
      <cdr:spPr>
        <a:xfrm xmlns:a="http://schemas.openxmlformats.org/drawingml/2006/main">
          <a:off x="1847850" y="95250"/>
          <a:ext cx="422403" cy="1717313"/>
        </a:xfrm>
        <a:prstGeom xmlns:a="http://schemas.openxmlformats.org/drawingml/2006/main" prst="ellipse">
          <a:avLst/>
        </a:prstGeom>
        <a:solidFill xmlns:a="http://schemas.openxmlformats.org/drawingml/2006/main">
          <a:schemeClr val="accent3">
            <a:lumMod val="40000"/>
            <a:lumOff val="60000"/>
            <a:alpha val="15000"/>
          </a:schemeClr>
        </a:solidFill>
        <a:ln xmlns:a="http://schemas.openxmlformats.org/drawingml/2006/main">
          <a:solidFill>
            <a:schemeClr val="accent3">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effectLst/>
          </a:endParaRPr>
        </a:p>
      </cdr:txBody>
    </cdr:sp>
  </cdr:relSizeAnchor>
  <cdr:relSizeAnchor xmlns:cdr="http://schemas.openxmlformats.org/drawingml/2006/chartDrawing">
    <cdr:from>
      <cdr:x>0.61824</cdr:x>
      <cdr:y>0.60242</cdr:y>
    </cdr:from>
    <cdr:to>
      <cdr:x>0.898</cdr:x>
      <cdr:y>0.73809</cdr:y>
    </cdr:to>
    <cdr:sp macro="" textlink="">
      <cdr:nvSpPr>
        <cdr:cNvPr id="20" name="TextBox 1"/>
        <cdr:cNvSpPr txBox="1"/>
      </cdr:nvSpPr>
      <cdr:spPr>
        <a:xfrm xmlns:a="http://schemas.openxmlformats.org/drawingml/2006/main">
          <a:off x="1704975" y="1445988"/>
          <a:ext cx="771525" cy="32566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RS" sz="600" b="1" baseline="0">
              <a:solidFill>
                <a:srgbClr val="44546A"/>
              </a:solidFill>
              <a:latin typeface="+mn-lt"/>
              <a:cs typeface="Times New Roman" pitchFamily="18" charset="0"/>
            </a:rPr>
            <a:t>Контрациклична</a:t>
          </a:r>
          <a:endParaRPr lang="en-US" sz="600" b="1" baseline="0">
            <a:solidFill>
              <a:srgbClr val="44546A"/>
            </a:solidFill>
            <a:latin typeface="+mn-lt"/>
            <a:cs typeface="Times New Roman" pitchFamily="18" charset="0"/>
          </a:endParaRPr>
        </a:p>
      </cdr:txBody>
    </cdr:sp>
  </cdr:relSizeAnchor>
</c:userShapes>
</file>

<file path=word/drawings/drawing30.xml><?xml version="1.0" encoding="utf-8"?>
<c:userShapes xmlns:c="http://schemas.openxmlformats.org/drawingml/2006/chart">
  <cdr:relSizeAnchor xmlns:cdr="http://schemas.openxmlformats.org/drawingml/2006/chartDrawing">
    <cdr:from>
      <cdr:x>0.04375</cdr:x>
      <cdr:y>0.88368</cdr:y>
    </cdr:from>
    <cdr:to>
      <cdr:x>0.16667</cdr:x>
      <cdr:y>0.93576</cdr:y>
    </cdr:to>
    <cdr:sp macro="" textlink="">
      <cdr:nvSpPr>
        <cdr:cNvPr id="2"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0.04792</cdr:x>
      <cdr:y>0.73785</cdr:y>
    </cdr:from>
    <cdr:to>
      <cdr:x>0.24167</cdr:x>
      <cdr:y>0.86979</cdr:y>
    </cdr:to>
    <cdr:sp macro="" textlink="">
      <cdr:nvSpPr>
        <cdr:cNvPr id="3" name="TextBox 2"/>
        <cdr:cNvSpPr txBox="1"/>
      </cdr:nvSpPr>
      <cdr:spPr>
        <a:xfrm xmlns:a="http://schemas.openxmlformats.org/drawingml/2006/main">
          <a:off x="228061" y="2482144"/>
          <a:ext cx="922095" cy="44384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800">
            <a:latin typeface="+mj-lt"/>
          </a:endParaRPr>
        </a:p>
      </cdr:txBody>
    </cdr:sp>
  </cdr:relSizeAnchor>
  <cdr:relSizeAnchor xmlns:cdr="http://schemas.openxmlformats.org/drawingml/2006/chartDrawing">
    <cdr:from>
      <cdr:x>0.66875</cdr:x>
      <cdr:y>0.74826</cdr:y>
    </cdr:from>
    <cdr:to>
      <cdr:x>0.9125</cdr:x>
      <cdr:y>0.84549</cdr:y>
    </cdr:to>
    <cdr:sp macro="" textlink="">
      <cdr:nvSpPr>
        <cdr:cNvPr id="4"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0.76703</cdr:x>
      <cdr:y>0.16819</cdr:y>
    </cdr:from>
    <cdr:to>
      <cdr:x>0.98856</cdr:x>
      <cdr:y>0.2903</cdr:y>
    </cdr:to>
    <cdr:sp macro="" textlink="">
      <cdr:nvSpPr>
        <cdr:cNvPr id="5" name="TextBox 1"/>
        <cdr:cNvSpPr txBox="1"/>
      </cdr:nvSpPr>
      <cdr:spPr>
        <a:xfrm xmlns:a="http://schemas.openxmlformats.org/drawingml/2006/main">
          <a:off x="3650440" y="565780"/>
          <a:ext cx="1054306"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0.73125</cdr:x>
      <cdr:y>0.8206</cdr:y>
    </cdr:from>
    <cdr:to>
      <cdr:x>0.95417</cdr:x>
      <cdr:y>0.94271</cdr:y>
    </cdr:to>
    <cdr:sp macro="" textlink="">
      <cdr:nvSpPr>
        <cdr:cNvPr id="6" name="TextBox 1"/>
        <cdr:cNvSpPr txBox="1"/>
      </cdr:nvSpPr>
      <cdr:spPr>
        <a:xfrm xmlns:a="http://schemas.openxmlformats.org/drawingml/2006/main">
          <a:off x="3480164" y="2760516"/>
          <a:ext cx="1060921"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0.04928</cdr:x>
      <cdr:y>0.22036</cdr:y>
    </cdr:from>
    <cdr:to>
      <cdr:x>0.27219</cdr:x>
      <cdr:y>0.34247</cdr:y>
    </cdr:to>
    <cdr:sp macro="" textlink="">
      <cdr:nvSpPr>
        <cdr:cNvPr id="7" name="TextBox 1"/>
        <cdr:cNvSpPr txBox="1"/>
      </cdr:nvSpPr>
      <cdr:spPr>
        <a:xfrm xmlns:a="http://schemas.openxmlformats.org/drawingml/2006/main">
          <a:off x="234530" y="741312"/>
          <a:ext cx="1060873" cy="4107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Cambria" panose="02040503050406030204" pitchFamily="18" charset="0"/>
          </a:endParaRPr>
        </a:p>
      </cdr:txBody>
    </cdr:sp>
  </cdr:relSizeAnchor>
  <cdr:relSizeAnchor xmlns:cdr="http://schemas.openxmlformats.org/drawingml/2006/chartDrawing">
    <cdr:from>
      <cdr:x>0.04375</cdr:x>
      <cdr:y>0.88368</cdr:y>
    </cdr:from>
    <cdr:to>
      <cdr:x>0.16667</cdr:x>
      <cdr:y>0.93576</cdr:y>
    </cdr:to>
    <cdr:sp macro="" textlink="">
      <cdr:nvSpPr>
        <cdr:cNvPr id="14"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cdr:x>
      <cdr:y>0.87273</cdr:y>
    </cdr:from>
    <cdr:to>
      <cdr:x>0.30765</cdr:x>
      <cdr:y>1</cdr:y>
    </cdr:to>
    <cdr:sp macro="" textlink="">
      <cdr:nvSpPr>
        <cdr:cNvPr id="15" name="TextBox 2"/>
        <cdr:cNvSpPr txBox="1"/>
      </cdr:nvSpPr>
      <cdr:spPr>
        <a:xfrm xmlns:a="http://schemas.openxmlformats.org/drawingml/2006/main">
          <a:off x="-4114800" y="2743200"/>
          <a:ext cx="848450" cy="4000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700" b="1">
              <a:solidFill>
                <a:srgbClr val="44546A"/>
              </a:solidFill>
              <a:latin typeface="Calibri" panose="020F0502020204030204" pitchFamily="34" charset="0"/>
            </a:rPr>
            <a:t>проциклично</a:t>
          </a:r>
          <a:r>
            <a:rPr lang="sr-Cyrl-CS" sz="700" b="1" baseline="0">
              <a:solidFill>
                <a:srgbClr val="44546A"/>
              </a:solidFill>
              <a:latin typeface="Calibri" panose="020F0502020204030204" pitchFamily="34" charset="0"/>
            </a:rPr>
            <a:t> - рестриктивна</a:t>
          </a:r>
          <a:endParaRPr lang="sr-Cyrl-CS" sz="700" b="1">
            <a:solidFill>
              <a:srgbClr val="44546A"/>
            </a:solidFill>
            <a:latin typeface="Calibri" panose="020F0502020204030204" pitchFamily="34" charset="0"/>
          </a:endParaRPr>
        </a:p>
      </cdr:txBody>
    </cdr:sp>
  </cdr:relSizeAnchor>
  <cdr:relSizeAnchor xmlns:cdr="http://schemas.openxmlformats.org/drawingml/2006/chartDrawing">
    <cdr:from>
      <cdr:x>0.66875</cdr:x>
      <cdr:y>0.74826</cdr:y>
    </cdr:from>
    <cdr:to>
      <cdr:x>0.9125</cdr:x>
      <cdr:y>0.84549</cdr:y>
    </cdr:to>
    <cdr:sp macro="" textlink="">
      <cdr:nvSpPr>
        <cdr:cNvPr id="16"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0.70804</cdr:x>
      <cdr:y>0.00227</cdr:y>
    </cdr:from>
    <cdr:to>
      <cdr:x>1</cdr:x>
      <cdr:y>0.12438</cdr:y>
    </cdr:to>
    <cdr:sp macro="" textlink="">
      <cdr:nvSpPr>
        <cdr:cNvPr id="17" name="TextBox 1"/>
        <cdr:cNvSpPr txBox="1"/>
      </cdr:nvSpPr>
      <cdr:spPr>
        <a:xfrm xmlns:a="http://schemas.openxmlformats.org/drawingml/2006/main">
          <a:off x="1952626" y="7135"/>
          <a:ext cx="805179" cy="38382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700" b="1">
              <a:solidFill>
                <a:srgbClr val="44546A"/>
              </a:solidFill>
              <a:latin typeface="Calibri" panose="020F0502020204030204" pitchFamily="34" charset="0"/>
            </a:rPr>
            <a:t>проциклично</a:t>
          </a:r>
          <a:r>
            <a:rPr lang="sr-Cyrl-CS" sz="700" b="1" baseline="0">
              <a:solidFill>
                <a:srgbClr val="44546A"/>
              </a:solidFill>
              <a:latin typeface="Calibri" panose="020F0502020204030204" pitchFamily="34" charset="0"/>
            </a:rPr>
            <a:t> - експанзивна</a:t>
          </a:r>
          <a:endParaRPr lang="sr-Cyrl-CS" sz="700" b="1">
            <a:solidFill>
              <a:srgbClr val="44546A"/>
            </a:solidFill>
            <a:latin typeface="Calibri" panose="020F0502020204030204" pitchFamily="34" charset="0"/>
          </a:endParaRPr>
        </a:p>
      </cdr:txBody>
    </cdr:sp>
  </cdr:relSizeAnchor>
  <cdr:relSizeAnchor xmlns:cdr="http://schemas.openxmlformats.org/drawingml/2006/chartDrawing">
    <cdr:from>
      <cdr:x>0.67004</cdr:x>
      <cdr:y>0.87273</cdr:y>
    </cdr:from>
    <cdr:to>
      <cdr:x>1</cdr:x>
      <cdr:y>1</cdr:y>
    </cdr:to>
    <cdr:sp macro="" textlink="">
      <cdr:nvSpPr>
        <cdr:cNvPr id="18" name="TextBox 1"/>
        <cdr:cNvSpPr txBox="1"/>
      </cdr:nvSpPr>
      <cdr:spPr>
        <a:xfrm xmlns:a="http://schemas.openxmlformats.org/drawingml/2006/main">
          <a:off x="1847850" y="2743201"/>
          <a:ext cx="909955" cy="40004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700" b="1">
              <a:solidFill>
                <a:srgbClr val="44546A"/>
              </a:solidFill>
              <a:latin typeface="Calibri" panose="020F0502020204030204" pitchFamily="34" charset="0"/>
            </a:rPr>
            <a:t>контрациклично</a:t>
          </a:r>
          <a:r>
            <a:rPr lang="sr-Cyrl-CS" sz="700" b="1" baseline="0">
              <a:solidFill>
                <a:srgbClr val="44546A"/>
              </a:solidFill>
              <a:latin typeface="Calibri" panose="020F0502020204030204" pitchFamily="34" charset="0"/>
            </a:rPr>
            <a:t> - рестриктивна</a:t>
          </a:r>
          <a:endParaRPr lang="sr-Cyrl-CS" sz="700" b="1">
            <a:solidFill>
              <a:srgbClr val="44546A"/>
            </a:solidFill>
            <a:latin typeface="Calibri" panose="020F0502020204030204" pitchFamily="34" charset="0"/>
          </a:endParaRPr>
        </a:p>
      </cdr:txBody>
    </cdr:sp>
  </cdr:relSizeAnchor>
  <cdr:relSizeAnchor xmlns:cdr="http://schemas.openxmlformats.org/drawingml/2006/chartDrawing">
    <cdr:from>
      <cdr:x>0</cdr:x>
      <cdr:y>0</cdr:y>
    </cdr:from>
    <cdr:to>
      <cdr:x>0.30394</cdr:x>
      <cdr:y>0.12211</cdr:y>
    </cdr:to>
    <cdr:sp macro="" textlink="">
      <cdr:nvSpPr>
        <cdr:cNvPr id="19" name="TextBox 1"/>
        <cdr:cNvSpPr txBox="1"/>
      </cdr:nvSpPr>
      <cdr:spPr>
        <a:xfrm xmlns:a="http://schemas.openxmlformats.org/drawingml/2006/main">
          <a:off x="0" y="0"/>
          <a:ext cx="838200" cy="38382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700" b="1">
              <a:solidFill>
                <a:srgbClr val="44546A"/>
              </a:solidFill>
              <a:latin typeface="Calibri" panose="020F0502020204030204" pitchFamily="34" charset="0"/>
            </a:rPr>
            <a:t>контрациклично</a:t>
          </a:r>
          <a:r>
            <a:rPr lang="sr-Cyrl-CS" sz="700" b="1" baseline="0">
              <a:solidFill>
                <a:srgbClr val="44546A"/>
              </a:solidFill>
              <a:latin typeface="Calibri" panose="020F0502020204030204" pitchFamily="34" charset="0"/>
            </a:rPr>
            <a:t> - експанзивна</a:t>
          </a:r>
          <a:endParaRPr lang="sr-Cyrl-CS" sz="700" b="1">
            <a:solidFill>
              <a:srgbClr val="44546A"/>
            </a:solidFill>
            <a:latin typeface="Calibri" panose="020F0502020204030204" pitchFamily="34" charset="0"/>
          </a:endParaRPr>
        </a:p>
      </cdr:txBody>
    </cdr:sp>
  </cdr:relSizeAnchor>
</c:userShapes>
</file>

<file path=word/drawings/drawing31.xml><?xml version="1.0" encoding="utf-8"?>
<c:userShapes xmlns:c="http://schemas.openxmlformats.org/drawingml/2006/chart">
  <cdr:relSizeAnchor xmlns:cdr="http://schemas.openxmlformats.org/drawingml/2006/chartDrawing">
    <cdr:from>
      <cdr:x>0.0846</cdr:x>
      <cdr:y>0.63549</cdr:y>
    </cdr:from>
    <cdr:to>
      <cdr:x>0.9665</cdr:x>
      <cdr:y>0.63845</cdr:y>
    </cdr:to>
    <cdr:sp macro="" textlink="">
      <cdr:nvSpPr>
        <cdr:cNvPr id="3" name="Straight Connector 2"/>
        <cdr:cNvSpPr/>
      </cdr:nvSpPr>
      <cdr:spPr>
        <a:xfrm xmlns:a="http://schemas.openxmlformats.org/drawingml/2006/main">
          <a:off x="529167" y="2804584"/>
          <a:ext cx="5516061" cy="13054"/>
        </a:xfrm>
        <a:prstGeom xmlns:a="http://schemas.openxmlformats.org/drawingml/2006/main" prst="line">
          <a:avLst/>
        </a:prstGeom>
        <a:ln xmlns:a="http://schemas.openxmlformats.org/drawingml/2006/main" w="15875">
          <a:solidFill>
            <a:schemeClr val="dk1">
              <a:shade val="95000"/>
              <a:satMod val="105000"/>
              <a:alpha val="70000"/>
            </a:schemeClr>
          </a:solidFill>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0.07445</cdr:x>
      <cdr:y>0.17658</cdr:y>
    </cdr:from>
    <cdr:to>
      <cdr:x>0.97329</cdr:x>
      <cdr:y>0.18192</cdr:y>
    </cdr:to>
    <cdr:cxnSp macro="">
      <cdr:nvCxnSpPr>
        <cdr:cNvPr id="4" name="Straight Connector 3">
          <a:extLst xmlns:a="http://schemas.openxmlformats.org/drawingml/2006/main">
            <a:ext uri="{FF2B5EF4-FFF2-40B4-BE49-F238E27FC236}">
              <a16:creationId xmlns:a16="http://schemas.microsoft.com/office/drawing/2014/main" id="{12B4E1F9-C0BE-5F5D-96A4-48B91145F0C8}"/>
            </a:ext>
          </a:extLst>
        </cdr:cNvPr>
        <cdr:cNvCxnSpPr/>
      </cdr:nvCxnSpPr>
      <cdr:spPr>
        <a:xfrm xmlns:a="http://schemas.openxmlformats.org/drawingml/2006/main" flipV="1">
          <a:off x="465652" y="779308"/>
          <a:ext cx="5622019" cy="23567"/>
        </a:xfrm>
        <a:prstGeom xmlns:a="http://schemas.openxmlformats.org/drawingml/2006/main" prst="line">
          <a:avLst/>
        </a:prstGeom>
        <a:ln xmlns:a="http://schemas.openxmlformats.org/drawingml/2006/main" w="15875">
          <a:solidFill>
            <a:schemeClr val="accent2">
              <a:shade val="95000"/>
              <a:satMod val="105000"/>
              <a:alpha val="70000"/>
            </a:schemeClr>
          </a:solidFill>
          <a:prstDash val="sysDash"/>
        </a:l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dr:relSizeAnchor xmlns:cdr="http://schemas.openxmlformats.org/drawingml/2006/chartDrawing">
    <cdr:from>
      <cdr:x>0.07073</cdr:x>
      <cdr:y>0.33466</cdr:y>
    </cdr:from>
    <cdr:to>
      <cdr:x>0.97335</cdr:x>
      <cdr:y>0.33705</cdr:y>
    </cdr:to>
    <cdr:sp macro="" textlink="">
      <cdr:nvSpPr>
        <cdr:cNvPr id="5" name="Straight Connector 4"/>
        <cdr:cNvSpPr/>
      </cdr:nvSpPr>
      <cdr:spPr>
        <a:xfrm xmlns:a="http://schemas.openxmlformats.org/drawingml/2006/main">
          <a:off x="442385" y="1476950"/>
          <a:ext cx="5645662" cy="10548"/>
        </a:xfrm>
        <a:prstGeom xmlns:a="http://schemas.openxmlformats.org/drawingml/2006/main" prst="line">
          <a:avLst/>
        </a:prstGeom>
        <a:ln xmlns:a="http://schemas.openxmlformats.org/drawingml/2006/main" w="15875">
          <a:solidFill>
            <a:schemeClr val="accent3">
              <a:lumMod val="75000"/>
              <a:alpha val="70000"/>
            </a:schemeClr>
          </a:solidFill>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9.xml><?xml version="1.0" encoding="utf-8"?>
<a:themeOverride xmlns:a="http://schemas.openxmlformats.org/drawingml/2006/main">
  <a:clrScheme name="Business Set_Red">
    <a:dk1>
      <a:sysClr val="windowText" lastClr="000000"/>
    </a:dk1>
    <a:lt1>
      <a:sysClr val="window" lastClr="FFFFFF"/>
    </a:lt1>
    <a:dk2>
      <a:srgbClr val="000000"/>
    </a:dk2>
    <a:lt2>
      <a:srgbClr val="F8F8F8"/>
    </a:lt2>
    <a:accent1>
      <a:srgbClr val="EF4623"/>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1FE307-C604-4672-8F4D-3568C4C6B4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97</Pages>
  <Words>42719</Words>
  <Characters>243500</Characters>
  <Application>Microsoft Office Word</Application>
  <DocSecurity>0</DocSecurity>
  <Lines>2029</Lines>
  <Paragraphs>571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285648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Nenad Jevtović</dc:creator>
  <cp:keywords/>
  <dc:description/>
  <cp:lastModifiedBy>Ivana Vojinović</cp:lastModifiedBy>
  <cp:revision>2</cp:revision>
  <cp:lastPrinted>2023-06-09T05:36:00Z</cp:lastPrinted>
  <dcterms:created xsi:type="dcterms:W3CDTF">2023-10-06T10:29:00Z</dcterms:created>
  <dcterms:modified xsi:type="dcterms:W3CDTF">2023-10-06T10:29:00Z</dcterms:modified>
</cp:coreProperties>
</file>